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textAlignment w:val="auto"/>
        <w:rPr>
          <w:rFonts w:hint="eastAsia" w:eastAsia="方正小标宋_GBK"/>
          <w:sz w:val="44"/>
          <w:szCs w:val="44"/>
          <w:lang w:val="en-US" w:eastAsia="zh-CN"/>
        </w:rPr>
      </w:pPr>
      <w:r>
        <w:rPr>
          <w:rFonts w:hint="eastAsia" w:eastAsia="方正黑体_GBK"/>
          <w:sz w:val="32"/>
          <w:szCs w:val="32"/>
          <w:lang w:val="en-US" w:eastAsia="zh-CN"/>
        </w:rPr>
        <w:t>附件2</w:t>
      </w:r>
    </w:p>
    <w:p>
      <w:pPr>
        <w:keepNext w:val="0"/>
        <w:keepLines w:val="0"/>
        <w:pageBreakBefore w:val="0"/>
        <w:widowControl w:val="0"/>
        <w:kinsoku/>
        <w:wordWrap/>
        <w:overflowPunct/>
        <w:topLinePunct w:val="0"/>
        <w:bidi w:val="0"/>
        <w:adjustRightInd/>
        <w:snapToGrid/>
        <w:spacing w:line="600" w:lineRule="exact"/>
        <w:jc w:val="center"/>
        <w:textAlignment w:val="auto"/>
      </w:pPr>
      <w:r>
        <w:rPr>
          <w:rFonts w:eastAsia="方正小标宋_GBK"/>
          <w:sz w:val="44"/>
          <w:szCs w:val="44"/>
        </w:rPr>
        <w:t>消防安全重点单位申报备案登记表</w:t>
      </w:r>
    </w:p>
    <w:tbl>
      <w:tblPr>
        <w:tblStyle w:val="21"/>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09"/>
        <w:gridCol w:w="1287"/>
        <w:gridCol w:w="36"/>
        <w:gridCol w:w="1152"/>
        <w:gridCol w:w="1215"/>
        <w:gridCol w:w="1140"/>
        <w:gridCol w:w="45"/>
        <w:gridCol w:w="1095"/>
        <w:gridCol w:w="1395"/>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48" w:type="dxa"/>
            <w:gridSpan w:val="2"/>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单位名称</w:t>
            </w:r>
          </w:p>
        </w:tc>
        <w:tc>
          <w:tcPr>
            <w:tcW w:w="5970" w:type="dxa"/>
            <w:gridSpan w:val="7"/>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395"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联系电话</w:t>
            </w:r>
          </w:p>
        </w:tc>
        <w:tc>
          <w:tcPr>
            <w:tcW w:w="1447" w:type="dxa"/>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地址</w:t>
            </w:r>
          </w:p>
        </w:tc>
        <w:tc>
          <w:tcPr>
            <w:tcW w:w="5970"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 xml:space="preserve">     市        区（县）      路（乡、镇）        号</w:t>
            </w:r>
          </w:p>
        </w:tc>
        <w:tc>
          <w:tcPr>
            <w:tcW w:w="13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邮编</w:t>
            </w:r>
          </w:p>
        </w:tc>
        <w:tc>
          <w:tcPr>
            <w:tcW w:w="144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法定代表人</w:t>
            </w:r>
          </w:p>
        </w:tc>
        <w:tc>
          <w:tcPr>
            <w:tcW w:w="12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18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消防安全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责任人</w:t>
            </w:r>
          </w:p>
        </w:tc>
        <w:tc>
          <w:tcPr>
            <w:tcW w:w="12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18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消防安全管理人</w:t>
            </w:r>
          </w:p>
        </w:tc>
        <w:tc>
          <w:tcPr>
            <w:tcW w:w="10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3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职工人数（人）</w:t>
            </w:r>
          </w:p>
        </w:tc>
        <w:tc>
          <w:tcPr>
            <w:tcW w:w="144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有无自动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消防设施</w:t>
            </w:r>
          </w:p>
        </w:tc>
        <w:tc>
          <w:tcPr>
            <w:tcW w:w="24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有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无</w:t>
            </w:r>
          </w:p>
        </w:tc>
        <w:tc>
          <w:tcPr>
            <w:tcW w:w="12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占地面积（㎡）</w:t>
            </w:r>
          </w:p>
        </w:tc>
        <w:tc>
          <w:tcPr>
            <w:tcW w:w="228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3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建筑</w:t>
            </w:r>
            <w:r>
              <w:rPr>
                <w:rFonts w:hint="default" w:ascii="Times New Roman" w:hAnsi="Times New Roman" w:cs="Times New Roman" w:eastAsiaTheme="minorEastAsia"/>
                <w:sz w:val="18"/>
                <w:szCs w:val="18"/>
                <w:lang w:eastAsia="zh-CN"/>
              </w:rPr>
              <w:t>面积</w:t>
            </w:r>
            <w:r>
              <w:rPr>
                <w:rFonts w:hint="default" w:ascii="Times New Roman" w:hAnsi="Times New Roman" w:cs="Times New Roman" w:eastAsiaTheme="minorEastAsia"/>
                <w:sz w:val="18"/>
                <w:szCs w:val="18"/>
              </w:rPr>
              <w:t>（㎡）</w:t>
            </w:r>
          </w:p>
        </w:tc>
        <w:tc>
          <w:tcPr>
            <w:tcW w:w="144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建筑高</w:t>
            </w:r>
            <w:r>
              <w:rPr>
                <w:rFonts w:hint="default" w:ascii="Times New Roman" w:hAnsi="Times New Roman" w:cs="Times New Roman" w:eastAsiaTheme="minorEastAsia"/>
                <w:sz w:val="18"/>
                <w:szCs w:val="18"/>
                <w:lang w:eastAsia="zh-CN"/>
              </w:rPr>
              <w:t>度</w:t>
            </w:r>
            <w:r>
              <w:rPr>
                <w:rFonts w:hint="default" w:ascii="Times New Roman" w:hAnsi="Times New Roman" w:cs="Times New Roman" w:eastAsiaTheme="minorEastAsia"/>
                <w:sz w:val="18"/>
                <w:szCs w:val="18"/>
              </w:rPr>
              <w:t>（m）</w:t>
            </w:r>
          </w:p>
        </w:tc>
        <w:tc>
          <w:tcPr>
            <w:tcW w:w="1323"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1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建筑层数</w:t>
            </w:r>
          </w:p>
        </w:tc>
        <w:tc>
          <w:tcPr>
            <w:tcW w:w="12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1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所在建筑层数</w:t>
            </w:r>
          </w:p>
        </w:tc>
        <w:tc>
          <w:tcPr>
            <w:tcW w:w="11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3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经营面积</w:t>
            </w:r>
            <w:r>
              <w:rPr>
                <w:rFonts w:hint="default" w:ascii="Times New Roman" w:hAnsi="Times New Roman" w:cs="Times New Roman" w:eastAsiaTheme="minorEastAsia"/>
                <w:sz w:val="18"/>
                <w:szCs w:val="18"/>
              </w:rPr>
              <w:t>（㎡）</w:t>
            </w:r>
          </w:p>
        </w:tc>
        <w:tc>
          <w:tcPr>
            <w:tcW w:w="144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组织机构代码</w:t>
            </w:r>
          </w:p>
        </w:tc>
        <w:tc>
          <w:tcPr>
            <w:tcW w:w="24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2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单位成立时间</w:t>
            </w:r>
          </w:p>
        </w:tc>
        <w:tc>
          <w:tcPr>
            <w:tcW w:w="228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c>
          <w:tcPr>
            <w:tcW w:w="13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上级主管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部门</w:t>
            </w:r>
          </w:p>
        </w:tc>
        <w:tc>
          <w:tcPr>
            <w:tcW w:w="1447"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448" w:type="dxa"/>
            <w:gridSpan w:val="2"/>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单位性质</w:t>
            </w:r>
          </w:p>
        </w:tc>
        <w:tc>
          <w:tcPr>
            <w:tcW w:w="8812" w:type="dxa"/>
            <w:gridSpan w:val="9"/>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机关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团体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事业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国有企业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集体企业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私营企业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联营企业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股份制企业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外商投资企业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 xml:space="preserve">港澳台投资企业   </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rPr>
              <w:t xml:space="preserve"> </w:t>
            </w:r>
            <w:r>
              <w:rPr>
                <w:rFonts w:hint="default" w:ascii="Times New Roman" w:hAnsi="Times New Roman" w:cs="Times New Roman" w:eastAsiaTheme="minorEastAsia"/>
                <w:sz w:val="18"/>
                <w:szCs w:val="18"/>
              </w:rPr>
              <w:sym w:font="Wingdings 2" w:char="00A3"/>
            </w:r>
            <w:r>
              <w:rPr>
                <w:rFonts w:hint="default" w:ascii="Times New Roman" w:hAnsi="Times New Roman" w:cs="Times New Roman" w:eastAsiaTheme="minor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39" w:type="dxa"/>
            <w:vMerge w:val="restart"/>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1"/>
                <w:szCs w:val="21"/>
              </w:rPr>
            </w:pPr>
          </w:p>
          <w:p>
            <w:pPr>
              <w:pStyle w:val="2"/>
              <w:keepNext w:val="0"/>
              <w:keepLines w:val="0"/>
              <w:suppressLineNumbers w:val="0"/>
              <w:ind w:right="0"/>
              <w:rPr>
                <w:rFonts w:hint="default" w:ascii="Times New Roman" w:hAnsi="Times New Roman" w:cs="Times New Roman" w:eastAsiaTheme="minorEastAsia"/>
                <w:sz w:val="21"/>
                <w:szCs w:val="21"/>
              </w:rPr>
            </w:pPr>
          </w:p>
          <w:p>
            <w:pPr>
              <w:keepNext w:val="0"/>
              <w:keepLines w:val="0"/>
              <w:suppressLineNumbers w:val="0"/>
              <w:spacing w:before="0" w:beforeAutospacing="0" w:after="0" w:afterAutospacing="0"/>
              <w:ind w:left="0" w:right="0"/>
              <w:rPr>
                <w:rFonts w:hint="default" w:ascii="Times New Roman" w:hAnsi="Times New Roman" w:cs="Times New Roman" w:eastAsiaTheme="minorEastAsia"/>
                <w:sz w:val="21"/>
                <w:szCs w:val="21"/>
              </w:rPr>
            </w:pPr>
          </w:p>
          <w:p>
            <w:pPr>
              <w:pStyle w:val="2"/>
              <w:keepNext w:val="0"/>
              <w:keepLines w:val="0"/>
              <w:suppressLineNumbers w:val="0"/>
              <w:ind w:right="0"/>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别</w:t>
            </w:r>
          </w:p>
        </w:tc>
        <w:tc>
          <w:tcPr>
            <w:tcW w:w="219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主 类</w:t>
            </w: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 xml:space="preserve">分    </w:t>
            </w:r>
            <w:bookmarkStart w:id="0" w:name="_GoBack"/>
            <w:bookmarkEnd w:id="0"/>
            <w:r>
              <w:rPr>
                <w:rFonts w:hint="default" w:ascii="Times New Roman" w:hAnsi="Times New Roman" w:cs="Times New Roman" w:eastAsiaTheme="minorEastAsia"/>
                <w:b/>
                <w:bCs/>
                <w:sz w:val="21"/>
                <w:szCs w:val="21"/>
              </w:rPr>
              <w:t xml:space="preserve">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1、商场（商店、市场）、宾馆（旅馆）、体育场（馆）、会堂、餐饮场所、公共娱乐场所、新兴场所</w:t>
            </w: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30" w:right="0" w:hanging="630" w:hangingChars="3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 任一层建筑面积1500平方米或总建筑面积3000平方米以上（含本数，下同）且经营可燃商品的商场（商店、市场）；设置于地下、半地下建筑面积500平方米以上，且经营可燃商品的商场（商店、市场等）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30" w:right="0" w:hanging="630" w:hangingChars="3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1.2 客房数在50间以上的（旅馆、饭店）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30" w:right="0" w:hanging="630" w:hangingChars="3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1.3 公共的体育场（馆）、会堂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48" w:leftChars="0" w:right="0" w:hanging="648" w:hangingChars="309"/>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1.4 单层建筑面积1500平方米以上，或总建筑面积3000平方米以上的餐饮场所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 xml:space="preserve">□ 1.5 </w:t>
            </w:r>
            <w:r>
              <w:rPr>
                <w:rFonts w:hint="default" w:ascii="Times New Roman" w:hAnsi="Times New Roman" w:cs="Times New Roman" w:eastAsiaTheme="minorEastAsia"/>
                <w:sz w:val="21"/>
                <w:szCs w:val="21"/>
              </w:rPr>
              <w:t>建筑</w:t>
            </w:r>
            <w:r>
              <w:rPr>
                <w:rFonts w:hint="default" w:ascii="Times New Roman" w:hAnsi="Times New Roman" w:cs="Times New Roman" w:eastAsiaTheme="minorEastAsia"/>
                <w:sz w:val="21"/>
                <w:szCs w:val="21"/>
                <w:lang w:val="en-US" w:eastAsia="zh-CN"/>
              </w:rPr>
              <w:t>面积500平方米以上的下列公共娱乐场所（影剧院、录像厅、礼堂等演出、放映场所、舞厅、卡拉OK厅等歌舞娱乐场所、具有娱乐功能的夜总会、音乐茶座和餐饮场所、游艺、游乐场所、保龄球馆、旱冰场、桑拿浴室等营业性健身、休闲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1.6 建筑面积500平方米以上的剧本娱乐、密室逃脱、婚纱影楼等新兴场所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2、医院、养老院、儿童福利机构和寄宿制的学校、托儿所、幼儿园</w:t>
            </w: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2.1 主管部门核准住院床位在50张以上的医院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2.2 主管部门备案养老床位在50张以上的养老院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2.3 主管部门核准备案的合计床位在50张以上医养结合机构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2.4 儿童福利机构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2.5 学生住宿床位在100张以上的学校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2.6 幼儿住宿床位在 50 张以上的托儿所、幼儿园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3、国家机关</w:t>
            </w: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3.1 区县以上的党委、人大、政府、政协、纪检监察机关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3.2 人民检察院、人民法院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4、广播、电视和邮政、通信枢纽</w:t>
            </w: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4.1 广播电台、电视台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4.2 区县级以上的邮政和通信枢纽单位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5、客运车站、码头、轨道交通站点</w:t>
            </w: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5.1 候车厅建筑面积3000平方米以上的客运车站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5.2 侯船厅建筑面积3000平方米以上的客运码头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5.3 轨道交通运营管理单位；轨道交通两线及以上换乘车站；为轨道交通运营服务的高层建筑及控制中心；其他消防安全风险较大的轨道交通运营车站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6、公共图书馆、展览馆、博物馆、档案馆以及具有火灾危险性的文物保护单位</w:t>
            </w: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6.1 建筑面积2000平方米以上的公共图书馆、公共展览馆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6.2 建筑面积2000平方米以上的公共博物馆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6.3 县级以上档案馆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6.4对外开放且具有火灾危险性的市级以上文物保护单位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7、发电厂（站）、储能电站和电网经营企业</w:t>
            </w: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7.1 火力发电厂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7.2 装机容量300MW以上的水电枢纽工程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7.3 国家电网公司确定的三类以上的变电站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7.4 装机容量50MW以上的光伏发电站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7.5 功率为1MW或容量为1MW·h以上的储能电站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7.6 县级以上电网经营企业、承担电力调度功能的供电单位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8、易燃易爆化学物品的生产、充装、储存、供应、销售单位</w:t>
            </w: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8.1 建筑面积1500平方米以上的甲、乙类生产企业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8.2 易燃易爆气体和液体的灌装站、调压站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8.3 储存易燃易爆化学物品的专用仓库（堆场、储罐场所）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8.4 二级以上汽车加油加气加氢站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8.5 液化石油气储存站、储配站、灌装站、气化站、混气站、瓶装气化站以及Ⅱ类以上瓶装供应站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9、劳动密集型生产、加工企业</w:t>
            </w: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9.1 生产车间员工在100人以上的服装、鞋帽、玩具等劳动密集型企业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10、重要的科研单位</w:t>
            </w: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10.1 国家和部（委）级科研单位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10.2 市级重点科研单位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10.3 科研中具有火灾爆炸危险的科研单位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11、高层公共建筑、地下铁道、地下观光隧道，粮、棉、木材、百货等物资仓库和堆场</w:t>
            </w: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11.1 高层公共建筑的办公楼、公寓楼等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11.2 国家储备粮库、总储备量10000吨以上的其他粮库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11.3 总储量500吨以上的棉库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11.4 总储量10000立方米以上的木材堆场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11.5 占地面积6000平方米以上的丙类仓库，占地面积 6000平方米以上可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312" w:right="0" w:firstLine="182" w:firstLineChars="87"/>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燃物品堆场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12、其他发生火灾可能性较大以及一旦发生火灾可能造成人身重大伤亡或者财产重大损失的单位</w:t>
            </w: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12.1 总建筑面积2万平方米以上的商业综合体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833" w:leftChars="0" w:right="0" w:hanging="833" w:hangingChars="397"/>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12.2 生产、制造火灾危险性较大的烟草、汽车、冶金、造纸、纺织、电器、电子工业等中型以上工业企业（从业人员300人以上，且营业收入2000万元以上的工业企业）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39" w:type="dxa"/>
            <w:vMerge w:val="continue"/>
            <w:tcBorders>
              <w:lef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c>
          <w:tcPr>
            <w:tcW w:w="2196" w:type="dxa"/>
            <w:gridSpan w:val="2"/>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lang w:val="en-US" w:eastAsia="zh-CN"/>
              </w:rPr>
            </w:pPr>
          </w:p>
        </w:tc>
        <w:tc>
          <w:tcPr>
            <w:tcW w:w="7525"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655" w:leftChars="0" w:right="0" w:hanging="655" w:hangingChars="312"/>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12.3 各银行在渝的省级分支机构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6" w:hRule="atLeast"/>
          <w:jc w:val="center"/>
        </w:trPr>
        <w:tc>
          <w:tcPr>
            <w:tcW w:w="10260" w:type="dxa"/>
            <w:gridSpan w:val="11"/>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根据《中华人民共和国消防法》《机关、团体、企业、事业单位消防安全管理规定》《</w:t>
            </w:r>
            <w:r>
              <w:rPr>
                <w:rFonts w:hint="eastAsia" w:ascii="Times New Roman" w:hAnsi="Times New Roman" w:cs="Times New Roman" w:eastAsiaTheme="minorEastAsia"/>
                <w:sz w:val="21"/>
                <w:szCs w:val="21"/>
                <w:lang w:eastAsia="zh-CN"/>
              </w:rPr>
              <w:t>重庆市</w:t>
            </w:r>
            <w:r>
              <w:rPr>
                <w:rFonts w:hint="default" w:ascii="Times New Roman" w:hAnsi="Times New Roman" w:cs="Times New Roman" w:eastAsiaTheme="minorEastAsia"/>
                <w:sz w:val="21"/>
                <w:szCs w:val="21"/>
              </w:rPr>
              <w:t>消防安全重点单位界定标准（试行）》等法律法规，</w:t>
            </w:r>
            <w:r>
              <w:rPr>
                <w:rFonts w:hint="default" w:ascii="Times New Roman" w:hAnsi="Times New Roman" w:cs="Times New Roman" w:eastAsiaTheme="minorEastAsia"/>
                <w:sz w:val="21"/>
                <w:szCs w:val="21"/>
                <w:lang w:val="en-US" w:eastAsia="zh-CN"/>
              </w:rPr>
              <w:t>我</w:t>
            </w:r>
            <w:r>
              <w:rPr>
                <w:rFonts w:hint="default" w:ascii="Times New Roman" w:hAnsi="Times New Roman" w:cs="Times New Roman" w:eastAsiaTheme="minorEastAsia"/>
                <w:sz w:val="21"/>
                <w:szCs w:val="21"/>
              </w:rPr>
              <w:t>单位应属消防安全重点单位，现予以登记。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eastAsiaTheme="minorEastAsia"/>
                <w:sz w:val="21"/>
                <w:szCs w:val="21"/>
              </w:rPr>
            </w:pPr>
          </w:p>
          <w:p>
            <w:pPr>
              <w:pStyle w:val="2"/>
              <w:keepNext w:val="0"/>
              <w:keepLines w:val="0"/>
              <w:suppressLineNumbers w:val="0"/>
              <w:ind w:right="0"/>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法定代表人或主要负责人（签名）</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单位（盖章）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935" w:firstLineChars="2350"/>
              <w:textAlignment w:val="auto"/>
              <w:rPr>
                <w:rFonts w:hint="default" w:ascii="Times New Roman" w:hAnsi="Times New Roman" w:cs="Times New Roman" w:eastAsiaTheme="minorEastAsia"/>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eastAsia" w:asciiTheme="minorEastAsia" w:hAnsiTheme="minorEastAsia" w:eastAsiaTheme="minorEastAsia" w:cstheme="minorEastAsia"/>
                <w:sz w:val="21"/>
                <w:szCs w:val="21"/>
              </w:rPr>
              <w:t>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sz w:val="21"/>
                <w:szCs w:val="21"/>
              </w:rPr>
            </w:pPr>
          </w:p>
        </w:tc>
      </w:tr>
    </w:tbl>
    <w:p>
      <w:pPr>
        <w:rPr>
          <w:rFonts w:hint="default"/>
          <w:lang w:val="en-US" w:eastAsia="zh-CN"/>
        </w:rPr>
      </w:pPr>
    </w:p>
    <w:sectPr>
      <w:headerReference r:id="rId3" w:type="default"/>
      <w:footerReference r:id="rId4" w:type="default"/>
      <w:pgSz w:w="11906" w:h="16838"/>
      <w:pgMar w:top="2098" w:right="1531" w:bottom="1984"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1616" w:wrap="around" w:vAnchor="text" w:hAnchor="margin" w:xAlign="outside" w:y="1"/>
      <w:ind w:firstLine="280" w:firstLineChars="100"/>
      <w:rPr>
        <w:rStyle w:val="24"/>
        <w:rFonts w:ascii="宋体" w:hAnsi="宋体"/>
        <w:sz w:val="28"/>
        <w:szCs w:val="28"/>
      </w:rPr>
    </w:pPr>
    <w:r>
      <w:rPr>
        <w:rStyle w:val="24"/>
        <w:rFonts w:hint="eastAsia" w:ascii="宋体" w:hAnsi="宋体"/>
        <w:sz w:val="28"/>
        <w:szCs w:val="28"/>
      </w:rPr>
      <w:t xml:space="preserve">— </w:t>
    </w:r>
    <w:r>
      <w:rPr>
        <w:rFonts w:hint="eastAsia" w:ascii="宋体" w:hAnsi="宋体"/>
        <w:sz w:val="28"/>
        <w:szCs w:val="28"/>
      </w:rPr>
      <w:fldChar w:fldCharType="begin"/>
    </w:r>
    <w:r>
      <w:rPr>
        <w:rStyle w:val="24"/>
        <w:rFonts w:hint="eastAsia"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w:t>
    </w:r>
    <w:r>
      <w:rPr>
        <w:rFonts w:hint="eastAsia" w:ascii="宋体" w:hAnsi="宋体"/>
        <w:sz w:val="28"/>
        <w:szCs w:val="28"/>
      </w:rPr>
      <w:fldChar w:fldCharType="end"/>
    </w:r>
    <w:r>
      <w:rPr>
        <w:rStyle w:val="24"/>
        <w:rFonts w:hint="eastAsia" w:ascii="宋体" w:hAnsi="宋体"/>
        <w:sz w:val="28"/>
        <w:szCs w:val="28"/>
      </w:rPr>
      <w:t xml:space="preserve"> —</w:t>
    </w:r>
  </w:p>
  <w:p>
    <w:pPr>
      <w:pStyle w:val="13"/>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8"/>
                              <w:szCs w:val="28"/>
                            </w:rPr>
                          </w:pP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VG47EBAABO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2dUeK4xRHtnx73v172zw9kWn0+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E1UbjsQEA&#10;AE4DAAAOAAAAAAAAAAEAIAAAAB4BAABkcnMvZTJvRG9jLnhtbFBLBQYAAAAABgAGAFkBAABBBQAA&#10;AAA=&#10;">
              <v:fill on="f" focussize="0,0"/>
              <v:stroke on="f"/>
              <v:imagedata o:title=""/>
              <o:lock v:ext="edit" aspectratio="f"/>
              <v:textbox inset="0mm,0mm,0mm,0mm" style="mso-fit-shape-to-text:t;">
                <w:txbxContent>
                  <w:p>
                    <w:pPr>
                      <w:pStyle w:val="13"/>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jQ4ZDQ4NGE5NzMzOTdhYTMyMDYzYmFmOWE2ZmQifQ=="/>
  </w:docVars>
  <w:rsids>
    <w:rsidRoot w:val="007A2A73"/>
    <w:rsid w:val="00000FBE"/>
    <w:rsid w:val="0000124B"/>
    <w:rsid w:val="00002BA4"/>
    <w:rsid w:val="00004AF5"/>
    <w:rsid w:val="00005702"/>
    <w:rsid w:val="00007A04"/>
    <w:rsid w:val="00010025"/>
    <w:rsid w:val="00011B0C"/>
    <w:rsid w:val="00015AA0"/>
    <w:rsid w:val="00016E02"/>
    <w:rsid w:val="00017314"/>
    <w:rsid w:val="00025F2C"/>
    <w:rsid w:val="000326B2"/>
    <w:rsid w:val="00036915"/>
    <w:rsid w:val="00037E80"/>
    <w:rsid w:val="00044069"/>
    <w:rsid w:val="0004546D"/>
    <w:rsid w:val="00053B67"/>
    <w:rsid w:val="0005444A"/>
    <w:rsid w:val="00055C40"/>
    <w:rsid w:val="00062982"/>
    <w:rsid w:val="00067F47"/>
    <w:rsid w:val="00072B48"/>
    <w:rsid w:val="000747E8"/>
    <w:rsid w:val="0008330D"/>
    <w:rsid w:val="0008585F"/>
    <w:rsid w:val="00085D58"/>
    <w:rsid w:val="00087014"/>
    <w:rsid w:val="00091C28"/>
    <w:rsid w:val="00091C90"/>
    <w:rsid w:val="00091DEA"/>
    <w:rsid w:val="000953D8"/>
    <w:rsid w:val="000A16AA"/>
    <w:rsid w:val="000A31F1"/>
    <w:rsid w:val="000A7360"/>
    <w:rsid w:val="000A784B"/>
    <w:rsid w:val="000B20E3"/>
    <w:rsid w:val="000C47B6"/>
    <w:rsid w:val="000C7FAE"/>
    <w:rsid w:val="000D4900"/>
    <w:rsid w:val="000E731E"/>
    <w:rsid w:val="00100737"/>
    <w:rsid w:val="001013AE"/>
    <w:rsid w:val="00101D41"/>
    <w:rsid w:val="00104E85"/>
    <w:rsid w:val="00105D49"/>
    <w:rsid w:val="001062CA"/>
    <w:rsid w:val="00107236"/>
    <w:rsid w:val="00110A5B"/>
    <w:rsid w:val="00112B38"/>
    <w:rsid w:val="0011387B"/>
    <w:rsid w:val="001161F4"/>
    <w:rsid w:val="00116A0B"/>
    <w:rsid w:val="00117BDA"/>
    <w:rsid w:val="00122A7E"/>
    <w:rsid w:val="00124D86"/>
    <w:rsid w:val="00133FDC"/>
    <w:rsid w:val="0013749A"/>
    <w:rsid w:val="00147944"/>
    <w:rsid w:val="001603E5"/>
    <w:rsid w:val="001630F7"/>
    <w:rsid w:val="00166E93"/>
    <w:rsid w:val="00167713"/>
    <w:rsid w:val="0017116F"/>
    <w:rsid w:val="0018209C"/>
    <w:rsid w:val="00182F03"/>
    <w:rsid w:val="00183EC0"/>
    <w:rsid w:val="0018481B"/>
    <w:rsid w:val="00191451"/>
    <w:rsid w:val="00191E1B"/>
    <w:rsid w:val="00191F4B"/>
    <w:rsid w:val="001A045E"/>
    <w:rsid w:val="001A09B7"/>
    <w:rsid w:val="001B2EED"/>
    <w:rsid w:val="001B43B3"/>
    <w:rsid w:val="001B6231"/>
    <w:rsid w:val="001C1FAF"/>
    <w:rsid w:val="001C3AC8"/>
    <w:rsid w:val="001C4686"/>
    <w:rsid w:val="001C588A"/>
    <w:rsid w:val="001C662D"/>
    <w:rsid w:val="001D240C"/>
    <w:rsid w:val="001D54CD"/>
    <w:rsid w:val="001D7467"/>
    <w:rsid w:val="001D7830"/>
    <w:rsid w:val="001E0944"/>
    <w:rsid w:val="001E1575"/>
    <w:rsid w:val="001E3616"/>
    <w:rsid w:val="001E3875"/>
    <w:rsid w:val="001E4932"/>
    <w:rsid w:val="001F4C53"/>
    <w:rsid w:val="001F5049"/>
    <w:rsid w:val="001F5D44"/>
    <w:rsid w:val="001F5D8F"/>
    <w:rsid w:val="00200E21"/>
    <w:rsid w:val="00203344"/>
    <w:rsid w:val="0020429D"/>
    <w:rsid w:val="00205CA5"/>
    <w:rsid w:val="00205D58"/>
    <w:rsid w:val="0020654F"/>
    <w:rsid w:val="002111C9"/>
    <w:rsid w:val="0022358B"/>
    <w:rsid w:val="00223939"/>
    <w:rsid w:val="00223D9B"/>
    <w:rsid w:val="002262F0"/>
    <w:rsid w:val="00227718"/>
    <w:rsid w:val="00227B4D"/>
    <w:rsid w:val="00232395"/>
    <w:rsid w:val="00234F03"/>
    <w:rsid w:val="00236155"/>
    <w:rsid w:val="00236B3A"/>
    <w:rsid w:val="002508E5"/>
    <w:rsid w:val="00251A96"/>
    <w:rsid w:val="00257A85"/>
    <w:rsid w:val="00260D9F"/>
    <w:rsid w:val="002624B0"/>
    <w:rsid w:val="002708D4"/>
    <w:rsid w:val="00274E5F"/>
    <w:rsid w:val="00280F40"/>
    <w:rsid w:val="002810B3"/>
    <w:rsid w:val="00282CBA"/>
    <w:rsid w:val="00285248"/>
    <w:rsid w:val="00290A8A"/>
    <w:rsid w:val="00290C96"/>
    <w:rsid w:val="002915FF"/>
    <w:rsid w:val="0029242F"/>
    <w:rsid w:val="0029775A"/>
    <w:rsid w:val="002A3B65"/>
    <w:rsid w:val="002B28A1"/>
    <w:rsid w:val="002B5911"/>
    <w:rsid w:val="002B693D"/>
    <w:rsid w:val="002C12FA"/>
    <w:rsid w:val="002C396D"/>
    <w:rsid w:val="002C43B0"/>
    <w:rsid w:val="002C6E20"/>
    <w:rsid w:val="002D0B26"/>
    <w:rsid w:val="002D386A"/>
    <w:rsid w:val="002E4112"/>
    <w:rsid w:val="002E5015"/>
    <w:rsid w:val="002E594C"/>
    <w:rsid w:val="002E619A"/>
    <w:rsid w:val="002E61B2"/>
    <w:rsid w:val="002F46BA"/>
    <w:rsid w:val="002F55D1"/>
    <w:rsid w:val="003015C5"/>
    <w:rsid w:val="00320891"/>
    <w:rsid w:val="00324D4D"/>
    <w:rsid w:val="00324EEE"/>
    <w:rsid w:val="00330B65"/>
    <w:rsid w:val="00333939"/>
    <w:rsid w:val="00334547"/>
    <w:rsid w:val="00334716"/>
    <w:rsid w:val="00335E06"/>
    <w:rsid w:val="00345FD0"/>
    <w:rsid w:val="00350FE7"/>
    <w:rsid w:val="00351CD4"/>
    <w:rsid w:val="003522BA"/>
    <w:rsid w:val="00353168"/>
    <w:rsid w:val="0035485C"/>
    <w:rsid w:val="00356F72"/>
    <w:rsid w:val="0036503E"/>
    <w:rsid w:val="0036574D"/>
    <w:rsid w:val="0036621B"/>
    <w:rsid w:val="00372DDC"/>
    <w:rsid w:val="003752A8"/>
    <w:rsid w:val="00375798"/>
    <w:rsid w:val="00380BDC"/>
    <w:rsid w:val="003810CC"/>
    <w:rsid w:val="00383614"/>
    <w:rsid w:val="003839B7"/>
    <w:rsid w:val="00385160"/>
    <w:rsid w:val="00390531"/>
    <w:rsid w:val="0039543F"/>
    <w:rsid w:val="0039599F"/>
    <w:rsid w:val="0039633F"/>
    <w:rsid w:val="00397BDA"/>
    <w:rsid w:val="003A07CE"/>
    <w:rsid w:val="003A0817"/>
    <w:rsid w:val="003A5558"/>
    <w:rsid w:val="003B202C"/>
    <w:rsid w:val="003B3430"/>
    <w:rsid w:val="003B4753"/>
    <w:rsid w:val="003C04ED"/>
    <w:rsid w:val="003C4CDD"/>
    <w:rsid w:val="003C5DC9"/>
    <w:rsid w:val="003C6ADA"/>
    <w:rsid w:val="003D34EA"/>
    <w:rsid w:val="003D66B0"/>
    <w:rsid w:val="003E2195"/>
    <w:rsid w:val="003E753D"/>
    <w:rsid w:val="003F2AD8"/>
    <w:rsid w:val="003F2F04"/>
    <w:rsid w:val="003F4F38"/>
    <w:rsid w:val="003F5599"/>
    <w:rsid w:val="00403A15"/>
    <w:rsid w:val="00413062"/>
    <w:rsid w:val="004130A0"/>
    <w:rsid w:val="00413DFD"/>
    <w:rsid w:val="0041557D"/>
    <w:rsid w:val="00416A4F"/>
    <w:rsid w:val="004179B9"/>
    <w:rsid w:val="00421908"/>
    <w:rsid w:val="0042490B"/>
    <w:rsid w:val="004254DC"/>
    <w:rsid w:val="004346F9"/>
    <w:rsid w:val="00434CD6"/>
    <w:rsid w:val="00435215"/>
    <w:rsid w:val="00435F5A"/>
    <w:rsid w:val="00436FC9"/>
    <w:rsid w:val="00440B69"/>
    <w:rsid w:val="0044221C"/>
    <w:rsid w:val="00443AE7"/>
    <w:rsid w:val="00444746"/>
    <w:rsid w:val="00444857"/>
    <w:rsid w:val="00446B8C"/>
    <w:rsid w:val="00454EC6"/>
    <w:rsid w:val="00456006"/>
    <w:rsid w:val="0046050B"/>
    <w:rsid w:val="00463913"/>
    <w:rsid w:val="00463D22"/>
    <w:rsid w:val="004740E5"/>
    <w:rsid w:val="00483493"/>
    <w:rsid w:val="00485765"/>
    <w:rsid w:val="004907FE"/>
    <w:rsid w:val="00490C5C"/>
    <w:rsid w:val="00491ABF"/>
    <w:rsid w:val="004928AD"/>
    <w:rsid w:val="00492963"/>
    <w:rsid w:val="00495AAC"/>
    <w:rsid w:val="004A2ED7"/>
    <w:rsid w:val="004A2FD9"/>
    <w:rsid w:val="004A7B17"/>
    <w:rsid w:val="004B1513"/>
    <w:rsid w:val="004B1F4D"/>
    <w:rsid w:val="004B33BA"/>
    <w:rsid w:val="004B44D3"/>
    <w:rsid w:val="004C1AA1"/>
    <w:rsid w:val="004C27FB"/>
    <w:rsid w:val="004C2CFF"/>
    <w:rsid w:val="004C6877"/>
    <w:rsid w:val="004C6DAD"/>
    <w:rsid w:val="004C7563"/>
    <w:rsid w:val="004D1B42"/>
    <w:rsid w:val="004D267F"/>
    <w:rsid w:val="004D3AA4"/>
    <w:rsid w:val="004D507B"/>
    <w:rsid w:val="004D5F63"/>
    <w:rsid w:val="004E3C4C"/>
    <w:rsid w:val="004F0712"/>
    <w:rsid w:val="004F26CA"/>
    <w:rsid w:val="004F3B52"/>
    <w:rsid w:val="004F713B"/>
    <w:rsid w:val="00502F7B"/>
    <w:rsid w:val="0050436A"/>
    <w:rsid w:val="00504780"/>
    <w:rsid w:val="00507279"/>
    <w:rsid w:val="005078EE"/>
    <w:rsid w:val="0051287A"/>
    <w:rsid w:val="005149EC"/>
    <w:rsid w:val="00514ABB"/>
    <w:rsid w:val="005172B3"/>
    <w:rsid w:val="00523C3C"/>
    <w:rsid w:val="00523E58"/>
    <w:rsid w:val="00531E9F"/>
    <w:rsid w:val="00533F7B"/>
    <w:rsid w:val="00534AEF"/>
    <w:rsid w:val="00537F2B"/>
    <w:rsid w:val="00540779"/>
    <w:rsid w:val="00543755"/>
    <w:rsid w:val="005456F3"/>
    <w:rsid w:val="00546981"/>
    <w:rsid w:val="00553762"/>
    <w:rsid w:val="00563094"/>
    <w:rsid w:val="00563796"/>
    <w:rsid w:val="005643BE"/>
    <w:rsid w:val="00571B09"/>
    <w:rsid w:val="00573356"/>
    <w:rsid w:val="005745D8"/>
    <w:rsid w:val="00582452"/>
    <w:rsid w:val="00584C15"/>
    <w:rsid w:val="00586061"/>
    <w:rsid w:val="0059260A"/>
    <w:rsid w:val="00595621"/>
    <w:rsid w:val="00596B8D"/>
    <w:rsid w:val="00597016"/>
    <w:rsid w:val="005A228E"/>
    <w:rsid w:val="005A29FE"/>
    <w:rsid w:val="005B39E1"/>
    <w:rsid w:val="005C08BE"/>
    <w:rsid w:val="005C253C"/>
    <w:rsid w:val="005D3E7B"/>
    <w:rsid w:val="005D4799"/>
    <w:rsid w:val="005D53BB"/>
    <w:rsid w:val="005E1AD5"/>
    <w:rsid w:val="005E22D2"/>
    <w:rsid w:val="005E423D"/>
    <w:rsid w:val="005E4762"/>
    <w:rsid w:val="005F0FA8"/>
    <w:rsid w:val="005F109D"/>
    <w:rsid w:val="005F1460"/>
    <w:rsid w:val="005F3F01"/>
    <w:rsid w:val="005F4ABF"/>
    <w:rsid w:val="005F5DA3"/>
    <w:rsid w:val="006012B5"/>
    <w:rsid w:val="0060154D"/>
    <w:rsid w:val="00603168"/>
    <w:rsid w:val="006105B6"/>
    <w:rsid w:val="006153AE"/>
    <w:rsid w:val="006173B8"/>
    <w:rsid w:val="0062307B"/>
    <w:rsid w:val="0062348E"/>
    <w:rsid w:val="006252C7"/>
    <w:rsid w:val="006259CB"/>
    <w:rsid w:val="00635872"/>
    <w:rsid w:val="00635D3F"/>
    <w:rsid w:val="00635FFE"/>
    <w:rsid w:val="00637F0E"/>
    <w:rsid w:val="0064245F"/>
    <w:rsid w:val="00650EF8"/>
    <w:rsid w:val="006521DE"/>
    <w:rsid w:val="00660724"/>
    <w:rsid w:val="0067418C"/>
    <w:rsid w:val="00675E00"/>
    <w:rsid w:val="0068519F"/>
    <w:rsid w:val="006857DA"/>
    <w:rsid w:val="00686FBC"/>
    <w:rsid w:val="00687C6F"/>
    <w:rsid w:val="006945F8"/>
    <w:rsid w:val="00697F0C"/>
    <w:rsid w:val="006A213D"/>
    <w:rsid w:val="006A2DA3"/>
    <w:rsid w:val="006A41E4"/>
    <w:rsid w:val="006A7207"/>
    <w:rsid w:val="006B045D"/>
    <w:rsid w:val="006B1994"/>
    <w:rsid w:val="006B284C"/>
    <w:rsid w:val="006B52FE"/>
    <w:rsid w:val="006C1B29"/>
    <w:rsid w:val="006C327E"/>
    <w:rsid w:val="006C3BE4"/>
    <w:rsid w:val="006C42DE"/>
    <w:rsid w:val="006C479A"/>
    <w:rsid w:val="006C7F04"/>
    <w:rsid w:val="006D5154"/>
    <w:rsid w:val="006D53FE"/>
    <w:rsid w:val="006D793B"/>
    <w:rsid w:val="006E1CBD"/>
    <w:rsid w:val="006E7C13"/>
    <w:rsid w:val="006F36DC"/>
    <w:rsid w:val="006F6389"/>
    <w:rsid w:val="006F6921"/>
    <w:rsid w:val="006F7A90"/>
    <w:rsid w:val="00710EEB"/>
    <w:rsid w:val="00714735"/>
    <w:rsid w:val="00714966"/>
    <w:rsid w:val="00717607"/>
    <w:rsid w:val="00717832"/>
    <w:rsid w:val="00717922"/>
    <w:rsid w:val="0072251B"/>
    <w:rsid w:val="00723A47"/>
    <w:rsid w:val="00725AA2"/>
    <w:rsid w:val="00730744"/>
    <w:rsid w:val="00732C6D"/>
    <w:rsid w:val="007376EE"/>
    <w:rsid w:val="007404DD"/>
    <w:rsid w:val="007406A3"/>
    <w:rsid w:val="00741CC0"/>
    <w:rsid w:val="0074393F"/>
    <w:rsid w:val="00751EB9"/>
    <w:rsid w:val="00752B42"/>
    <w:rsid w:val="0075769A"/>
    <w:rsid w:val="00761148"/>
    <w:rsid w:val="007645C3"/>
    <w:rsid w:val="007648D5"/>
    <w:rsid w:val="00764BC6"/>
    <w:rsid w:val="0076603B"/>
    <w:rsid w:val="00767002"/>
    <w:rsid w:val="0077629C"/>
    <w:rsid w:val="007831A4"/>
    <w:rsid w:val="00783BDE"/>
    <w:rsid w:val="00785D61"/>
    <w:rsid w:val="0078768E"/>
    <w:rsid w:val="00790F0E"/>
    <w:rsid w:val="00792055"/>
    <w:rsid w:val="00794709"/>
    <w:rsid w:val="00794FCF"/>
    <w:rsid w:val="007A2742"/>
    <w:rsid w:val="007A2A73"/>
    <w:rsid w:val="007B0046"/>
    <w:rsid w:val="007B3D51"/>
    <w:rsid w:val="007B45FE"/>
    <w:rsid w:val="007B5161"/>
    <w:rsid w:val="007C0CE8"/>
    <w:rsid w:val="007C5B4E"/>
    <w:rsid w:val="007D1538"/>
    <w:rsid w:val="007E1448"/>
    <w:rsid w:val="007E3544"/>
    <w:rsid w:val="007E4C91"/>
    <w:rsid w:val="007E52FC"/>
    <w:rsid w:val="007E5407"/>
    <w:rsid w:val="007E71E7"/>
    <w:rsid w:val="007E74A6"/>
    <w:rsid w:val="007E7A1C"/>
    <w:rsid w:val="007E7AB8"/>
    <w:rsid w:val="007F64E6"/>
    <w:rsid w:val="007F6997"/>
    <w:rsid w:val="008000A3"/>
    <w:rsid w:val="00802545"/>
    <w:rsid w:val="00803C56"/>
    <w:rsid w:val="0080741F"/>
    <w:rsid w:val="00812CBD"/>
    <w:rsid w:val="00813C54"/>
    <w:rsid w:val="008226CF"/>
    <w:rsid w:val="008335BC"/>
    <w:rsid w:val="00847374"/>
    <w:rsid w:val="00854A7C"/>
    <w:rsid w:val="00857C2D"/>
    <w:rsid w:val="00861352"/>
    <w:rsid w:val="00866834"/>
    <w:rsid w:val="00867A1C"/>
    <w:rsid w:val="008706D9"/>
    <w:rsid w:val="008729D9"/>
    <w:rsid w:val="0087401B"/>
    <w:rsid w:val="00874AA6"/>
    <w:rsid w:val="00874F77"/>
    <w:rsid w:val="00890C91"/>
    <w:rsid w:val="00891517"/>
    <w:rsid w:val="00891EFC"/>
    <w:rsid w:val="008A1C12"/>
    <w:rsid w:val="008A1D71"/>
    <w:rsid w:val="008A2226"/>
    <w:rsid w:val="008A6C8D"/>
    <w:rsid w:val="008C0A29"/>
    <w:rsid w:val="008C228F"/>
    <w:rsid w:val="008C5DBC"/>
    <w:rsid w:val="008D0AF1"/>
    <w:rsid w:val="008D7436"/>
    <w:rsid w:val="008E338E"/>
    <w:rsid w:val="008E4FEA"/>
    <w:rsid w:val="008E7A28"/>
    <w:rsid w:val="008F260A"/>
    <w:rsid w:val="008F3827"/>
    <w:rsid w:val="008F4700"/>
    <w:rsid w:val="008F6EB0"/>
    <w:rsid w:val="00906DB8"/>
    <w:rsid w:val="00921141"/>
    <w:rsid w:val="009228E7"/>
    <w:rsid w:val="00925130"/>
    <w:rsid w:val="0092524A"/>
    <w:rsid w:val="009334C1"/>
    <w:rsid w:val="00933805"/>
    <w:rsid w:val="00934637"/>
    <w:rsid w:val="00937BFB"/>
    <w:rsid w:val="0094079A"/>
    <w:rsid w:val="00944CA4"/>
    <w:rsid w:val="0094792E"/>
    <w:rsid w:val="00947CF9"/>
    <w:rsid w:val="00950D0D"/>
    <w:rsid w:val="00954725"/>
    <w:rsid w:val="00954C1A"/>
    <w:rsid w:val="009615B7"/>
    <w:rsid w:val="009658B3"/>
    <w:rsid w:val="00975081"/>
    <w:rsid w:val="00976639"/>
    <w:rsid w:val="009770C4"/>
    <w:rsid w:val="009778C1"/>
    <w:rsid w:val="00980589"/>
    <w:rsid w:val="00985C5D"/>
    <w:rsid w:val="0098792F"/>
    <w:rsid w:val="009905EE"/>
    <w:rsid w:val="00995CBA"/>
    <w:rsid w:val="00996908"/>
    <w:rsid w:val="009A5D28"/>
    <w:rsid w:val="009A6690"/>
    <w:rsid w:val="009B262B"/>
    <w:rsid w:val="009B77B1"/>
    <w:rsid w:val="009C1179"/>
    <w:rsid w:val="009C6186"/>
    <w:rsid w:val="009D425D"/>
    <w:rsid w:val="009D749B"/>
    <w:rsid w:val="009E7F86"/>
    <w:rsid w:val="009F2228"/>
    <w:rsid w:val="009F2B43"/>
    <w:rsid w:val="009F3CDE"/>
    <w:rsid w:val="00A003B6"/>
    <w:rsid w:val="00A02273"/>
    <w:rsid w:val="00A02BCB"/>
    <w:rsid w:val="00A06C8A"/>
    <w:rsid w:val="00A07872"/>
    <w:rsid w:val="00A121FD"/>
    <w:rsid w:val="00A123CD"/>
    <w:rsid w:val="00A12D27"/>
    <w:rsid w:val="00A21264"/>
    <w:rsid w:val="00A22BB8"/>
    <w:rsid w:val="00A22BCB"/>
    <w:rsid w:val="00A32BFB"/>
    <w:rsid w:val="00A3599C"/>
    <w:rsid w:val="00A416CC"/>
    <w:rsid w:val="00A46114"/>
    <w:rsid w:val="00A46E8B"/>
    <w:rsid w:val="00A52D57"/>
    <w:rsid w:val="00A56C61"/>
    <w:rsid w:val="00A57947"/>
    <w:rsid w:val="00A63418"/>
    <w:rsid w:val="00A65B2A"/>
    <w:rsid w:val="00A66A1B"/>
    <w:rsid w:val="00A711B5"/>
    <w:rsid w:val="00A72695"/>
    <w:rsid w:val="00A73B9B"/>
    <w:rsid w:val="00A748FF"/>
    <w:rsid w:val="00A76707"/>
    <w:rsid w:val="00A76A80"/>
    <w:rsid w:val="00A7799B"/>
    <w:rsid w:val="00A831AB"/>
    <w:rsid w:val="00A84C0C"/>
    <w:rsid w:val="00A92CC9"/>
    <w:rsid w:val="00AB3366"/>
    <w:rsid w:val="00AB3624"/>
    <w:rsid w:val="00AB7201"/>
    <w:rsid w:val="00AD4856"/>
    <w:rsid w:val="00AE3096"/>
    <w:rsid w:val="00AE3460"/>
    <w:rsid w:val="00AE36EE"/>
    <w:rsid w:val="00AE4F9E"/>
    <w:rsid w:val="00AF4884"/>
    <w:rsid w:val="00AF4DE3"/>
    <w:rsid w:val="00B024FE"/>
    <w:rsid w:val="00B04160"/>
    <w:rsid w:val="00B068D9"/>
    <w:rsid w:val="00B077BF"/>
    <w:rsid w:val="00B10D52"/>
    <w:rsid w:val="00B1451A"/>
    <w:rsid w:val="00B15440"/>
    <w:rsid w:val="00B167E2"/>
    <w:rsid w:val="00B23554"/>
    <w:rsid w:val="00B23AB6"/>
    <w:rsid w:val="00B23DAB"/>
    <w:rsid w:val="00B24FF6"/>
    <w:rsid w:val="00B30472"/>
    <w:rsid w:val="00B35CCF"/>
    <w:rsid w:val="00B368A1"/>
    <w:rsid w:val="00B42725"/>
    <w:rsid w:val="00B432D8"/>
    <w:rsid w:val="00B4667A"/>
    <w:rsid w:val="00B47843"/>
    <w:rsid w:val="00B50772"/>
    <w:rsid w:val="00B609D3"/>
    <w:rsid w:val="00B661C5"/>
    <w:rsid w:val="00B72B95"/>
    <w:rsid w:val="00B91A9E"/>
    <w:rsid w:val="00B93221"/>
    <w:rsid w:val="00B95981"/>
    <w:rsid w:val="00BB0040"/>
    <w:rsid w:val="00BB2504"/>
    <w:rsid w:val="00BB341C"/>
    <w:rsid w:val="00BB3BE8"/>
    <w:rsid w:val="00BB5403"/>
    <w:rsid w:val="00BB6968"/>
    <w:rsid w:val="00BC14D1"/>
    <w:rsid w:val="00BC5F6A"/>
    <w:rsid w:val="00BD6DA1"/>
    <w:rsid w:val="00BE074C"/>
    <w:rsid w:val="00BE0B79"/>
    <w:rsid w:val="00BE4385"/>
    <w:rsid w:val="00BE6DA9"/>
    <w:rsid w:val="00BF3D06"/>
    <w:rsid w:val="00BF497C"/>
    <w:rsid w:val="00BF7B3F"/>
    <w:rsid w:val="00C02BF3"/>
    <w:rsid w:val="00C03B49"/>
    <w:rsid w:val="00C1310A"/>
    <w:rsid w:val="00C17D9C"/>
    <w:rsid w:val="00C211CB"/>
    <w:rsid w:val="00C21679"/>
    <w:rsid w:val="00C22B2E"/>
    <w:rsid w:val="00C241C8"/>
    <w:rsid w:val="00C269C8"/>
    <w:rsid w:val="00C271D1"/>
    <w:rsid w:val="00C31E17"/>
    <w:rsid w:val="00C349E0"/>
    <w:rsid w:val="00C40567"/>
    <w:rsid w:val="00C411B8"/>
    <w:rsid w:val="00C41C06"/>
    <w:rsid w:val="00C45D96"/>
    <w:rsid w:val="00C47C98"/>
    <w:rsid w:val="00C56045"/>
    <w:rsid w:val="00C5656B"/>
    <w:rsid w:val="00C61C86"/>
    <w:rsid w:val="00C70CDF"/>
    <w:rsid w:val="00C72581"/>
    <w:rsid w:val="00C777E5"/>
    <w:rsid w:val="00C80772"/>
    <w:rsid w:val="00C8217D"/>
    <w:rsid w:val="00C82553"/>
    <w:rsid w:val="00C878FE"/>
    <w:rsid w:val="00C91330"/>
    <w:rsid w:val="00CA0712"/>
    <w:rsid w:val="00CA544A"/>
    <w:rsid w:val="00CA5A88"/>
    <w:rsid w:val="00CA6597"/>
    <w:rsid w:val="00CA7101"/>
    <w:rsid w:val="00CB2D97"/>
    <w:rsid w:val="00CB47FC"/>
    <w:rsid w:val="00CC09B4"/>
    <w:rsid w:val="00CC3485"/>
    <w:rsid w:val="00CC4150"/>
    <w:rsid w:val="00CD0172"/>
    <w:rsid w:val="00CD042A"/>
    <w:rsid w:val="00CD08A6"/>
    <w:rsid w:val="00CD0A23"/>
    <w:rsid w:val="00CD1A37"/>
    <w:rsid w:val="00CD412A"/>
    <w:rsid w:val="00CE163C"/>
    <w:rsid w:val="00CE46FA"/>
    <w:rsid w:val="00CE5409"/>
    <w:rsid w:val="00CE5493"/>
    <w:rsid w:val="00CE5A10"/>
    <w:rsid w:val="00CE5F5B"/>
    <w:rsid w:val="00CE6EE6"/>
    <w:rsid w:val="00CE7404"/>
    <w:rsid w:val="00CF01A0"/>
    <w:rsid w:val="00CF4D80"/>
    <w:rsid w:val="00CF60C2"/>
    <w:rsid w:val="00D01D94"/>
    <w:rsid w:val="00D026FD"/>
    <w:rsid w:val="00D2249A"/>
    <w:rsid w:val="00D253B5"/>
    <w:rsid w:val="00D3190E"/>
    <w:rsid w:val="00D31DB9"/>
    <w:rsid w:val="00D41064"/>
    <w:rsid w:val="00D43204"/>
    <w:rsid w:val="00D43E82"/>
    <w:rsid w:val="00D46DE1"/>
    <w:rsid w:val="00D46DF9"/>
    <w:rsid w:val="00D540A2"/>
    <w:rsid w:val="00D551E0"/>
    <w:rsid w:val="00D57E73"/>
    <w:rsid w:val="00D6195B"/>
    <w:rsid w:val="00D62630"/>
    <w:rsid w:val="00D6338A"/>
    <w:rsid w:val="00D6433B"/>
    <w:rsid w:val="00D6738C"/>
    <w:rsid w:val="00D67460"/>
    <w:rsid w:val="00D6796F"/>
    <w:rsid w:val="00D73394"/>
    <w:rsid w:val="00D73AB1"/>
    <w:rsid w:val="00D74AED"/>
    <w:rsid w:val="00D85AF7"/>
    <w:rsid w:val="00D85DEB"/>
    <w:rsid w:val="00D95221"/>
    <w:rsid w:val="00D9789A"/>
    <w:rsid w:val="00DA657B"/>
    <w:rsid w:val="00DB182F"/>
    <w:rsid w:val="00DB3FE4"/>
    <w:rsid w:val="00DC01A5"/>
    <w:rsid w:val="00DC3369"/>
    <w:rsid w:val="00DC3CF0"/>
    <w:rsid w:val="00DD3A17"/>
    <w:rsid w:val="00DD45F5"/>
    <w:rsid w:val="00DD50DC"/>
    <w:rsid w:val="00DD51D6"/>
    <w:rsid w:val="00DD61A5"/>
    <w:rsid w:val="00DE0319"/>
    <w:rsid w:val="00DE063C"/>
    <w:rsid w:val="00DE29F6"/>
    <w:rsid w:val="00DE37F6"/>
    <w:rsid w:val="00DE46F3"/>
    <w:rsid w:val="00DE4E85"/>
    <w:rsid w:val="00DE67DF"/>
    <w:rsid w:val="00DF7287"/>
    <w:rsid w:val="00E04FA2"/>
    <w:rsid w:val="00E068D1"/>
    <w:rsid w:val="00E074EE"/>
    <w:rsid w:val="00E0798B"/>
    <w:rsid w:val="00E1037B"/>
    <w:rsid w:val="00E10952"/>
    <w:rsid w:val="00E11C21"/>
    <w:rsid w:val="00E130E4"/>
    <w:rsid w:val="00E16DB1"/>
    <w:rsid w:val="00E20F54"/>
    <w:rsid w:val="00E21737"/>
    <w:rsid w:val="00E267D8"/>
    <w:rsid w:val="00E27329"/>
    <w:rsid w:val="00E27907"/>
    <w:rsid w:val="00E32072"/>
    <w:rsid w:val="00E3295F"/>
    <w:rsid w:val="00E333E9"/>
    <w:rsid w:val="00E338F4"/>
    <w:rsid w:val="00E40EE4"/>
    <w:rsid w:val="00E42101"/>
    <w:rsid w:val="00E43869"/>
    <w:rsid w:val="00E4408B"/>
    <w:rsid w:val="00E509B1"/>
    <w:rsid w:val="00E5348E"/>
    <w:rsid w:val="00E54166"/>
    <w:rsid w:val="00E555DF"/>
    <w:rsid w:val="00E566BD"/>
    <w:rsid w:val="00E56BED"/>
    <w:rsid w:val="00E70CAE"/>
    <w:rsid w:val="00E71CFC"/>
    <w:rsid w:val="00E75539"/>
    <w:rsid w:val="00E76191"/>
    <w:rsid w:val="00E80055"/>
    <w:rsid w:val="00E83A8D"/>
    <w:rsid w:val="00E8441E"/>
    <w:rsid w:val="00E85D86"/>
    <w:rsid w:val="00EA2D36"/>
    <w:rsid w:val="00EA3CCE"/>
    <w:rsid w:val="00EA47FC"/>
    <w:rsid w:val="00EA7E7D"/>
    <w:rsid w:val="00EB3252"/>
    <w:rsid w:val="00EB5492"/>
    <w:rsid w:val="00EB56C0"/>
    <w:rsid w:val="00EB72D8"/>
    <w:rsid w:val="00EC05D1"/>
    <w:rsid w:val="00EC3A38"/>
    <w:rsid w:val="00ED057B"/>
    <w:rsid w:val="00ED196F"/>
    <w:rsid w:val="00ED2ED3"/>
    <w:rsid w:val="00ED39A1"/>
    <w:rsid w:val="00ED4C74"/>
    <w:rsid w:val="00ED4FDA"/>
    <w:rsid w:val="00ED55CB"/>
    <w:rsid w:val="00ED5934"/>
    <w:rsid w:val="00ED7F50"/>
    <w:rsid w:val="00EE25B3"/>
    <w:rsid w:val="00EE4A99"/>
    <w:rsid w:val="00EE6B82"/>
    <w:rsid w:val="00EF075B"/>
    <w:rsid w:val="00EF0A95"/>
    <w:rsid w:val="00EF14AD"/>
    <w:rsid w:val="00EF1552"/>
    <w:rsid w:val="00F01A38"/>
    <w:rsid w:val="00F023EB"/>
    <w:rsid w:val="00F02D86"/>
    <w:rsid w:val="00F05934"/>
    <w:rsid w:val="00F06545"/>
    <w:rsid w:val="00F204BE"/>
    <w:rsid w:val="00F20FC2"/>
    <w:rsid w:val="00F226C3"/>
    <w:rsid w:val="00F227B4"/>
    <w:rsid w:val="00F238FB"/>
    <w:rsid w:val="00F26049"/>
    <w:rsid w:val="00F27017"/>
    <w:rsid w:val="00F27920"/>
    <w:rsid w:val="00F47302"/>
    <w:rsid w:val="00F509CE"/>
    <w:rsid w:val="00F51866"/>
    <w:rsid w:val="00F543A4"/>
    <w:rsid w:val="00F67880"/>
    <w:rsid w:val="00F75D6F"/>
    <w:rsid w:val="00F82A5D"/>
    <w:rsid w:val="00F91AEE"/>
    <w:rsid w:val="00F928AA"/>
    <w:rsid w:val="00F94335"/>
    <w:rsid w:val="00F94C3A"/>
    <w:rsid w:val="00F955B8"/>
    <w:rsid w:val="00F9743C"/>
    <w:rsid w:val="00F977BB"/>
    <w:rsid w:val="00FA2CCC"/>
    <w:rsid w:val="00FA49FF"/>
    <w:rsid w:val="00FB2B11"/>
    <w:rsid w:val="00FB53AF"/>
    <w:rsid w:val="00FB6485"/>
    <w:rsid w:val="00FB6B34"/>
    <w:rsid w:val="00FC0F4F"/>
    <w:rsid w:val="00FC25FF"/>
    <w:rsid w:val="00FC2631"/>
    <w:rsid w:val="00FC2A5E"/>
    <w:rsid w:val="00FC6937"/>
    <w:rsid w:val="00FD551A"/>
    <w:rsid w:val="00FD5CFF"/>
    <w:rsid w:val="00FF6D98"/>
    <w:rsid w:val="01155AC7"/>
    <w:rsid w:val="014B738F"/>
    <w:rsid w:val="022950E4"/>
    <w:rsid w:val="033D441F"/>
    <w:rsid w:val="03B5196C"/>
    <w:rsid w:val="03C06FC8"/>
    <w:rsid w:val="05D610DF"/>
    <w:rsid w:val="07F97A23"/>
    <w:rsid w:val="08A2799E"/>
    <w:rsid w:val="09C33687"/>
    <w:rsid w:val="0B993706"/>
    <w:rsid w:val="0B9C2483"/>
    <w:rsid w:val="0CE56E2B"/>
    <w:rsid w:val="0D205087"/>
    <w:rsid w:val="0DB51F60"/>
    <w:rsid w:val="0DC40E67"/>
    <w:rsid w:val="0DE545B5"/>
    <w:rsid w:val="0E39220B"/>
    <w:rsid w:val="0E8F4521"/>
    <w:rsid w:val="0F3808C6"/>
    <w:rsid w:val="0F3E1201"/>
    <w:rsid w:val="101B0F4C"/>
    <w:rsid w:val="10F91150"/>
    <w:rsid w:val="11BE73EE"/>
    <w:rsid w:val="11E71254"/>
    <w:rsid w:val="12AA1929"/>
    <w:rsid w:val="131B2D2B"/>
    <w:rsid w:val="133C45AB"/>
    <w:rsid w:val="13D27F21"/>
    <w:rsid w:val="1414359C"/>
    <w:rsid w:val="14860EFD"/>
    <w:rsid w:val="15FD2194"/>
    <w:rsid w:val="16E7186A"/>
    <w:rsid w:val="177465B8"/>
    <w:rsid w:val="17A94447"/>
    <w:rsid w:val="17D2534C"/>
    <w:rsid w:val="182C2DE0"/>
    <w:rsid w:val="183121A5"/>
    <w:rsid w:val="18730A0F"/>
    <w:rsid w:val="1912639F"/>
    <w:rsid w:val="19AF6F8A"/>
    <w:rsid w:val="19E51499"/>
    <w:rsid w:val="1A3F1C02"/>
    <w:rsid w:val="1A4474F2"/>
    <w:rsid w:val="1A961955"/>
    <w:rsid w:val="1A973088"/>
    <w:rsid w:val="1B456222"/>
    <w:rsid w:val="1E0C3027"/>
    <w:rsid w:val="1E27095C"/>
    <w:rsid w:val="1E8F2704"/>
    <w:rsid w:val="210B5B23"/>
    <w:rsid w:val="217A51D2"/>
    <w:rsid w:val="226F0499"/>
    <w:rsid w:val="22A834EE"/>
    <w:rsid w:val="23241284"/>
    <w:rsid w:val="23300840"/>
    <w:rsid w:val="23665F8E"/>
    <w:rsid w:val="23A21A79"/>
    <w:rsid w:val="240C62FE"/>
    <w:rsid w:val="24143171"/>
    <w:rsid w:val="25312AFE"/>
    <w:rsid w:val="258A2B7A"/>
    <w:rsid w:val="25BF2CCE"/>
    <w:rsid w:val="25D731A6"/>
    <w:rsid w:val="25ED5DFA"/>
    <w:rsid w:val="261314DE"/>
    <w:rsid w:val="26B45979"/>
    <w:rsid w:val="26B74BCC"/>
    <w:rsid w:val="27014A96"/>
    <w:rsid w:val="27C76682"/>
    <w:rsid w:val="282C47B3"/>
    <w:rsid w:val="288F2182"/>
    <w:rsid w:val="291E0523"/>
    <w:rsid w:val="2A202D8E"/>
    <w:rsid w:val="2A21651D"/>
    <w:rsid w:val="2B085619"/>
    <w:rsid w:val="2B6C7C6C"/>
    <w:rsid w:val="2BD173B3"/>
    <w:rsid w:val="2D7B0875"/>
    <w:rsid w:val="2DF37624"/>
    <w:rsid w:val="2E324BC8"/>
    <w:rsid w:val="2E650CB1"/>
    <w:rsid w:val="2EC6763F"/>
    <w:rsid w:val="2ED007EF"/>
    <w:rsid w:val="2F89294C"/>
    <w:rsid w:val="30EB518F"/>
    <w:rsid w:val="310B2831"/>
    <w:rsid w:val="311839E7"/>
    <w:rsid w:val="312863E3"/>
    <w:rsid w:val="31A46A1E"/>
    <w:rsid w:val="32481551"/>
    <w:rsid w:val="325A56F0"/>
    <w:rsid w:val="330E51E8"/>
    <w:rsid w:val="337A0A4C"/>
    <w:rsid w:val="34B57136"/>
    <w:rsid w:val="35DB01D3"/>
    <w:rsid w:val="37CC78C9"/>
    <w:rsid w:val="37E60F2A"/>
    <w:rsid w:val="39724DA4"/>
    <w:rsid w:val="39B95075"/>
    <w:rsid w:val="39C3010A"/>
    <w:rsid w:val="39CA3D14"/>
    <w:rsid w:val="3A06457C"/>
    <w:rsid w:val="3A1E65D5"/>
    <w:rsid w:val="3A577D39"/>
    <w:rsid w:val="3A5906FF"/>
    <w:rsid w:val="3ADF3376"/>
    <w:rsid w:val="3B0F1D50"/>
    <w:rsid w:val="3B11613A"/>
    <w:rsid w:val="3BAD5295"/>
    <w:rsid w:val="3C4740C3"/>
    <w:rsid w:val="3CFD5404"/>
    <w:rsid w:val="3D8D1D6A"/>
    <w:rsid w:val="3E0535EA"/>
    <w:rsid w:val="42EB500A"/>
    <w:rsid w:val="4389659D"/>
    <w:rsid w:val="438F2199"/>
    <w:rsid w:val="44330B7E"/>
    <w:rsid w:val="44734426"/>
    <w:rsid w:val="45297B20"/>
    <w:rsid w:val="45A26392"/>
    <w:rsid w:val="45D249F5"/>
    <w:rsid w:val="46696E2A"/>
    <w:rsid w:val="469554E8"/>
    <w:rsid w:val="47755503"/>
    <w:rsid w:val="479D2B0D"/>
    <w:rsid w:val="47C907A9"/>
    <w:rsid w:val="484555C4"/>
    <w:rsid w:val="486303B7"/>
    <w:rsid w:val="49262DB0"/>
    <w:rsid w:val="4951442C"/>
    <w:rsid w:val="497D17C4"/>
    <w:rsid w:val="4A2319E6"/>
    <w:rsid w:val="4BA964A0"/>
    <w:rsid w:val="4D006E91"/>
    <w:rsid w:val="4D1C5B6A"/>
    <w:rsid w:val="4DB13AC4"/>
    <w:rsid w:val="4E7925B5"/>
    <w:rsid w:val="4F493C9D"/>
    <w:rsid w:val="4F5148FF"/>
    <w:rsid w:val="4F540738"/>
    <w:rsid w:val="4FCB7540"/>
    <w:rsid w:val="4FF736F9"/>
    <w:rsid w:val="50BE0448"/>
    <w:rsid w:val="513149E8"/>
    <w:rsid w:val="513B20BF"/>
    <w:rsid w:val="517E35DA"/>
    <w:rsid w:val="517E3D73"/>
    <w:rsid w:val="521368F9"/>
    <w:rsid w:val="5365107B"/>
    <w:rsid w:val="538325E2"/>
    <w:rsid w:val="53935C66"/>
    <w:rsid w:val="53A65A1D"/>
    <w:rsid w:val="540D347C"/>
    <w:rsid w:val="541F7C9F"/>
    <w:rsid w:val="547075D6"/>
    <w:rsid w:val="559F72F8"/>
    <w:rsid w:val="55A60A22"/>
    <w:rsid w:val="57F201EA"/>
    <w:rsid w:val="58CA6C24"/>
    <w:rsid w:val="58E44AC4"/>
    <w:rsid w:val="5AD448D0"/>
    <w:rsid w:val="5AEA11F4"/>
    <w:rsid w:val="5B134969"/>
    <w:rsid w:val="5B3C2B26"/>
    <w:rsid w:val="5B972AFB"/>
    <w:rsid w:val="5BF03D15"/>
    <w:rsid w:val="5D101956"/>
    <w:rsid w:val="5D924A61"/>
    <w:rsid w:val="5DFD7C4D"/>
    <w:rsid w:val="5E504982"/>
    <w:rsid w:val="5EEE13A0"/>
    <w:rsid w:val="5F355218"/>
    <w:rsid w:val="5FE61138"/>
    <w:rsid w:val="60073AA4"/>
    <w:rsid w:val="603D7A2E"/>
    <w:rsid w:val="60B54B3D"/>
    <w:rsid w:val="60F70360"/>
    <w:rsid w:val="62433DEE"/>
    <w:rsid w:val="63AE7394"/>
    <w:rsid w:val="6418350F"/>
    <w:rsid w:val="655F7738"/>
    <w:rsid w:val="67087B42"/>
    <w:rsid w:val="67825B46"/>
    <w:rsid w:val="68445113"/>
    <w:rsid w:val="68B41D2F"/>
    <w:rsid w:val="68C62E6C"/>
    <w:rsid w:val="6960145B"/>
    <w:rsid w:val="696A60B8"/>
    <w:rsid w:val="69B17DFB"/>
    <w:rsid w:val="6A0024A9"/>
    <w:rsid w:val="6A072332"/>
    <w:rsid w:val="6AAC3DF1"/>
    <w:rsid w:val="6CC72349"/>
    <w:rsid w:val="6D6F34FA"/>
    <w:rsid w:val="6DE94229"/>
    <w:rsid w:val="6E122ED2"/>
    <w:rsid w:val="6F872384"/>
    <w:rsid w:val="6FEF7AF1"/>
    <w:rsid w:val="71C62CD4"/>
    <w:rsid w:val="71EC4A96"/>
    <w:rsid w:val="730A48CA"/>
    <w:rsid w:val="732405DD"/>
    <w:rsid w:val="7361291F"/>
    <w:rsid w:val="746957B5"/>
    <w:rsid w:val="74FD0501"/>
    <w:rsid w:val="75117552"/>
    <w:rsid w:val="75712ADF"/>
    <w:rsid w:val="75BC67DC"/>
    <w:rsid w:val="763757FD"/>
    <w:rsid w:val="763E45FA"/>
    <w:rsid w:val="76602A84"/>
    <w:rsid w:val="768A0745"/>
    <w:rsid w:val="76EF2780"/>
    <w:rsid w:val="77095724"/>
    <w:rsid w:val="77E64E17"/>
    <w:rsid w:val="78291921"/>
    <w:rsid w:val="790243F1"/>
    <w:rsid w:val="79053D7E"/>
    <w:rsid w:val="792D02DD"/>
    <w:rsid w:val="7A2C5E40"/>
    <w:rsid w:val="7B145A11"/>
    <w:rsid w:val="7B5B24DE"/>
    <w:rsid w:val="7BC86E4D"/>
    <w:rsid w:val="7BE40725"/>
    <w:rsid w:val="7C0D4AF9"/>
    <w:rsid w:val="7C2E083B"/>
    <w:rsid w:val="7C6F7EC1"/>
    <w:rsid w:val="7CA232B0"/>
    <w:rsid w:val="7CB41EA6"/>
    <w:rsid w:val="7D607A29"/>
    <w:rsid w:val="7D983444"/>
    <w:rsid w:val="7E17093E"/>
    <w:rsid w:val="7E5963C6"/>
    <w:rsid w:val="7E9718C6"/>
    <w:rsid w:val="7EC0639D"/>
    <w:rsid w:val="7F2C04B3"/>
    <w:rsid w:val="7F761695"/>
    <w:rsid w:val="7F8C6E5F"/>
    <w:rsid w:val="7F9148C3"/>
    <w:rsid w:val="7FC87C81"/>
    <w:rsid w:val="7FCA53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link w:val="28"/>
    <w:qFormat/>
    <w:uiPriority w:val="0"/>
    <w:pPr>
      <w:keepNext/>
      <w:keepLines/>
      <w:jc w:val="left"/>
      <w:outlineLvl w:val="3"/>
    </w:pPr>
    <w:rPr>
      <w:rFonts w:hint="eastAsia" w:ascii="Arial" w:hAnsi="Arial" w:eastAsia="宋体" w:cs="Times New Roman"/>
      <w:b/>
      <w:sz w:val="32"/>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rPr>
      <w:rFonts w:ascii="Times New Roman" w:hAnsi="Times New Roman"/>
      <w:szCs w:val="21"/>
    </w:rPr>
  </w:style>
  <w:style w:type="paragraph" w:styleId="4">
    <w:name w:val="Normal Indent"/>
    <w:basedOn w:val="1"/>
    <w:next w:val="1"/>
    <w:unhideWhenUsed/>
    <w:qFormat/>
    <w:uiPriority w:val="99"/>
    <w:pPr>
      <w:snapToGrid w:val="0"/>
      <w:spacing w:line="300" w:lineRule="auto"/>
      <w:ind w:firstLine="482"/>
    </w:pPr>
    <w:rPr>
      <w:rFonts w:ascii="宋体" w:hAnsi="宋体" w:cs="宋体"/>
      <w:kern w:val="0"/>
      <w:sz w:val="24"/>
      <w:szCs w:val="24"/>
    </w:rPr>
  </w:style>
  <w:style w:type="paragraph" w:styleId="5">
    <w:name w:val="Salutation"/>
    <w:basedOn w:val="1"/>
    <w:next w:val="1"/>
    <w:qFormat/>
    <w:uiPriority w:val="0"/>
    <w:rPr>
      <w:rFonts w:eastAsia="宋体"/>
      <w:szCs w:val="21"/>
    </w:rPr>
  </w:style>
  <w:style w:type="paragraph" w:styleId="6">
    <w:name w:val="Body Text"/>
    <w:basedOn w:val="1"/>
    <w:next w:val="1"/>
    <w:link w:val="29"/>
    <w:qFormat/>
    <w:uiPriority w:val="99"/>
    <w:pPr>
      <w:spacing w:after="120"/>
    </w:pPr>
    <w:rPr>
      <w:kern w:val="0"/>
      <w:sz w:val="20"/>
      <w:szCs w:val="24"/>
    </w:rPr>
  </w:style>
  <w:style w:type="paragraph" w:styleId="7">
    <w:name w:val="Body Text Indent"/>
    <w:basedOn w:val="1"/>
    <w:next w:val="4"/>
    <w:link w:val="30"/>
    <w:unhideWhenUsed/>
    <w:qFormat/>
    <w:uiPriority w:val="99"/>
    <w:pPr>
      <w:spacing w:before="100" w:beforeAutospacing="1" w:after="120"/>
      <w:ind w:left="420" w:leftChars="200"/>
    </w:pPr>
    <w:rPr>
      <w:rFonts w:ascii="Times New Roman" w:hAnsi="Times New Roman"/>
      <w:szCs w:val="21"/>
    </w:rPr>
  </w:style>
  <w:style w:type="paragraph" w:styleId="8">
    <w:name w:val="toc 5"/>
    <w:basedOn w:val="1"/>
    <w:next w:val="1"/>
    <w:qFormat/>
    <w:uiPriority w:val="0"/>
    <w:pPr>
      <w:keepNext w:val="0"/>
      <w:keepLines w:val="0"/>
      <w:widowControl w:val="0"/>
      <w:suppressLineNumbers w:val="0"/>
      <w:spacing w:before="0" w:beforeAutospacing="0" w:after="0" w:afterAutospacing="0"/>
      <w:ind w:left="1680" w:leftChars="800" w:right="0"/>
      <w:jc w:val="both"/>
    </w:pPr>
    <w:rPr>
      <w:rFonts w:hint="default" w:ascii="Calibri" w:hAnsi="Calibri" w:eastAsia="宋体" w:cs="Times New Roman"/>
      <w:kern w:val="2"/>
      <w:sz w:val="21"/>
      <w:szCs w:val="22"/>
      <w:lang w:val="en-US" w:eastAsia="zh-CN" w:bidi="ar"/>
    </w:rPr>
  </w:style>
  <w:style w:type="paragraph" w:styleId="9">
    <w:name w:val="Plain Text"/>
    <w:basedOn w:val="1"/>
    <w:link w:val="31"/>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2"/>
      <w:lang w:val="en-US" w:eastAsia="zh-CN" w:bidi="ar"/>
    </w:rPr>
  </w:style>
  <w:style w:type="paragraph" w:styleId="10">
    <w:name w:val="Date"/>
    <w:basedOn w:val="1"/>
    <w:next w:val="1"/>
    <w:link w:val="32"/>
    <w:unhideWhenUsed/>
    <w:qFormat/>
    <w:uiPriority w:val="99"/>
    <w:pPr>
      <w:ind w:left="100" w:leftChars="2500"/>
    </w:pPr>
  </w:style>
  <w:style w:type="paragraph" w:styleId="11">
    <w:name w:val="Body Text Indent 2"/>
    <w:basedOn w:val="1"/>
    <w:link w:val="33"/>
    <w:qFormat/>
    <w:uiPriority w:val="99"/>
    <w:pPr>
      <w:spacing w:line="588" w:lineRule="atLeast"/>
      <w:ind w:firstLine="640"/>
    </w:pPr>
    <w:rPr>
      <w:rFonts w:eastAsia="方正仿宋_GBK"/>
      <w:spacing w:val="6"/>
      <w:sz w:val="30"/>
    </w:rPr>
  </w:style>
  <w:style w:type="paragraph" w:styleId="12">
    <w:name w:val="Balloon Text"/>
    <w:basedOn w:val="1"/>
    <w:link w:val="34"/>
    <w:unhideWhenUsed/>
    <w:qFormat/>
    <w:uiPriority w:val="99"/>
    <w:rPr>
      <w:rFonts w:ascii="Times New Roman" w:hAnsi="Times New Roman"/>
      <w:sz w:val="18"/>
      <w:szCs w:val="18"/>
    </w:rPr>
  </w:style>
  <w:style w:type="paragraph" w:styleId="13">
    <w:name w:val="footer"/>
    <w:basedOn w:val="1"/>
    <w:next w:val="1"/>
    <w:link w:val="35"/>
    <w:unhideWhenUsed/>
    <w:qFormat/>
    <w:uiPriority w:val="99"/>
    <w:pPr>
      <w:tabs>
        <w:tab w:val="center" w:pos="4153"/>
        <w:tab w:val="right" w:pos="8306"/>
      </w:tabs>
      <w:snapToGrid w:val="0"/>
      <w:jc w:val="left"/>
    </w:pPr>
    <w:rPr>
      <w:kern w:val="0"/>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footnote text"/>
    <w:basedOn w:val="1"/>
    <w:qFormat/>
    <w:uiPriority w:val="0"/>
    <w:pPr>
      <w:snapToGrid w:val="0"/>
      <w:jc w:val="left"/>
    </w:pPr>
    <w:rPr>
      <w:sz w:val="18"/>
    </w:rPr>
  </w:style>
  <w:style w:type="paragraph" w:styleId="16">
    <w:name w:val="Body Text 2"/>
    <w:basedOn w:val="1"/>
    <w:qFormat/>
    <w:uiPriority w:val="0"/>
    <w:pPr>
      <w:spacing w:after="120" w:line="480" w:lineRule="auto"/>
    </w:pPr>
    <w:rPr>
      <w:rFonts w:eastAsia="仿宋_GB2312"/>
      <w:sz w:val="32"/>
      <w:szCs w:val="20"/>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0"/>
    </w:rPr>
  </w:style>
  <w:style w:type="paragraph" w:styleId="18">
    <w:name w:val="Title"/>
    <w:basedOn w:val="1"/>
    <w:next w:val="1"/>
    <w:qFormat/>
    <w:uiPriority w:val="10"/>
    <w:pPr>
      <w:spacing w:before="0" w:after="0" w:line="480" w:lineRule="auto"/>
      <w:jc w:val="center"/>
      <w:outlineLvl w:val="0"/>
    </w:pPr>
    <w:rPr>
      <w:rFonts w:ascii="Calibri Light" w:hAnsi="Calibri Light" w:eastAsia="宋体" w:cs="Times New Roman"/>
      <w:b/>
      <w:bCs/>
      <w:color w:val="auto"/>
      <w:sz w:val="48"/>
      <w:szCs w:val="32"/>
    </w:rPr>
  </w:style>
  <w:style w:type="paragraph" w:styleId="19">
    <w:name w:val="Body Text First Indent"/>
    <w:basedOn w:val="6"/>
    <w:link w:val="37"/>
    <w:unhideWhenUsed/>
    <w:qFormat/>
    <w:uiPriority w:val="99"/>
    <w:pPr>
      <w:ind w:firstLine="420" w:firstLineChars="100"/>
    </w:pPr>
    <w:rPr>
      <w:kern w:val="2"/>
      <w:sz w:val="21"/>
      <w:szCs w:val="22"/>
    </w:rPr>
  </w:style>
  <w:style w:type="paragraph" w:styleId="20">
    <w:name w:val="Body Text First Indent 2"/>
    <w:basedOn w:val="7"/>
    <w:next w:val="1"/>
    <w:link w:val="38"/>
    <w:unhideWhenUsed/>
    <w:qFormat/>
    <w:uiPriority w:val="99"/>
    <w:pPr>
      <w:ind w:firstLine="420" w:firstLineChars="200"/>
    </w:pPr>
    <w:rPr>
      <w:rFonts w:eastAsia="仿宋_GB2312"/>
    </w:rPr>
  </w:style>
  <w:style w:type="table" w:styleId="22">
    <w:name w:val="Table Grid"/>
    <w:basedOn w:val="21"/>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unhideWhenUsed/>
    <w:qFormat/>
    <w:uiPriority w:val="0"/>
  </w:style>
  <w:style w:type="character" w:styleId="25">
    <w:name w:val="FollowedHyperlink"/>
    <w:unhideWhenUsed/>
    <w:qFormat/>
    <w:uiPriority w:val="99"/>
    <w:rPr>
      <w:color w:val="000000"/>
      <w:sz w:val="18"/>
      <w:szCs w:val="18"/>
      <w:u w:val="none"/>
    </w:rPr>
  </w:style>
  <w:style w:type="character" w:styleId="26">
    <w:name w:val="Hyperlink"/>
    <w:unhideWhenUsed/>
    <w:qFormat/>
    <w:uiPriority w:val="99"/>
    <w:rPr>
      <w:color w:val="000000"/>
      <w:sz w:val="18"/>
      <w:szCs w:val="18"/>
      <w:u w:val="none"/>
    </w:rPr>
  </w:style>
  <w:style w:type="paragraph" w:customStyle="1" w:styleId="27">
    <w:name w:val="正文2"/>
    <w:basedOn w:val="1"/>
    <w:next w:val="1"/>
    <w:qFormat/>
    <w:uiPriority w:val="0"/>
    <w:rPr>
      <w:rFonts w:ascii="Times New Roman" w:hAnsi="Times New Roman"/>
      <w:szCs w:val="21"/>
    </w:rPr>
  </w:style>
  <w:style w:type="character" w:customStyle="1" w:styleId="28">
    <w:name w:val="标题 4 字符"/>
    <w:link w:val="3"/>
    <w:qFormat/>
    <w:uiPriority w:val="0"/>
    <w:rPr>
      <w:rFonts w:ascii="Cambria" w:hAnsi="Cambria" w:eastAsia="宋体" w:cs="Times New Roman"/>
      <w:b/>
      <w:bCs/>
      <w:kern w:val="2"/>
      <w:sz w:val="28"/>
      <w:szCs w:val="28"/>
    </w:rPr>
  </w:style>
  <w:style w:type="character" w:customStyle="1" w:styleId="29">
    <w:name w:val="正文文本 字符"/>
    <w:link w:val="6"/>
    <w:qFormat/>
    <w:uiPriority w:val="99"/>
  </w:style>
  <w:style w:type="character" w:customStyle="1" w:styleId="30">
    <w:name w:val="正文文本缩进 字符"/>
    <w:link w:val="7"/>
    <w:semiHidden/>
    <w:qFormat/>
    <w:uiPriority w:val="99"/>
    <w:rPr>
      <w:rFonts w:ascii="Times New Roman" w:hAnsi="Times New Roman"/>
      <w:kern w:val="2"/>
      <w:sz w:val="21"/>
      <w:szCs w:val="21"/>
    </w:rPr>
  </w:style>
  <w:style w:type="character" w:customStyle="1" w:styleId="31">
    <w:name w:val="纯文本 字符"/>
    <w:link w:val="9"/>
    <w:qFormat/>
    <w:uiPriority w:val="0"/>
    <w:rPr>
      <w:rFonts w:hint="eastAsia" w:ascii="宋体" w:hAnsi="Courier New" w:eastAsia="宋体" w:cs="宋体"/>
      <w:kern w:val="2"/>
      <w:sz w:val="21"/>
      <w:szCs w:val="22"/>
    </w:rPr>
  </w:style>
  <w:style w:type="character" w:customStyle="1" w:styleId="32">
    <w:name w:val="日期 字符"/>
    <w:link w:val="10"/>
    <w:semiHidden/>
    <w:qFormat/>
    <w:uiPriority w:val="99"/>
  </w:style>
  <w:style w:type="character" w:customStyle="1" w:styleId="33">
    <w:name w:val="正文文本缩进 2 字符"/>
    <w:link w:val="11"/>
    <w:qFormat/>
    <w:uiPriority w:val="0"/>
    <w:rPr>
      <w:rFonts w:hint="eastAsia" w:ascii="方正仿宋_GBK" w:hAnsi="方正仿宋_GBK" w:eastAsia="方正仿宋_GBK" w:cs="方正仿宋_GBK"/>
      <w:spacing w:val="6"/>
      <w:kern w:val="2"/>
      <w:sz w:val="30"/>
      <w:szCs w:val="22"/>
    </w:rPr>
  </w:style>
  <w:style w:type="character" w:customStyle="1" w:styleId="34">
    <w:name w:val="批注框文本 字符"/>
    <w:link w:val="12"/>
    <w:semiHidden/>
    <w:qFormat/>
    <w:uiPriority w:val="99"/>
    <w:rPr>
      <w:rFonts w:ascii="Times New Roman" w:hAnsi="Times New Roman"/>
      <w:kern w:val="2"/>
      <w:sz w:val="18"/>
      <w:szCs w:val="18"/>
    </w:rPr>
  </w:style>
  <w:style w:type="character" w:customStyle="1" w:styleId="35">
    <w:name w:val="页脚 字符"/>
    <w:link w:val="13"/>
    <w:qFormat/>
    <w:uiPriority w:val="99"/>
    <w:rPr>
      <w:sz w:val="18"/>
      <w:szCs w:val="18"/>
    </w:rPr>
  </w:style>
  <w:style w:type="character" w:customStyle="1" w:styleId="36">
    <w:name w:val="页眉 字符"/>
    <w:link w:val="14"/>
    <w:semiHidden/>
    <w:qFormat/>
    <w:uiPriority w:val="99"/>
    <w:rPr>
      <w:sz w:val="18"/>
      <w:szCs w:val="18"/>
    </w:rPr>
  </w:style>
  <w:style w:type="character" w:customStyle="1" w:styleId="37">
    <w:name w:val="正文首行缩进 字符"/>
    <w:link w:val="19"/>
    <w:qFormat/>
    <w:uiPriority w:val="99"/>
    <w:rPr>
      <w:kern w:val="2"/>
      <w:sz w:val="21"/>
      <w:szCs w:val="22"/>
    </w:rPr>
  </w:style>
  <w:style w:type="character" w:customStyle="1" w:styleId="38">
    <w:name w:val="正文首行缩进 2 字符"/>
    <w:link w:val="20"/>
    <w:qFormat/>
    <w:uiPriority w:val="0"/>
    <w:rPr>
      <w:kern w:val="2"/>
      <w:sz w:val="21"/>
      <w:szCs w:val="22"/>
    </w:rPr>
  </w:style>
  <w:style w:type="paragraph" w:customStyle="1" w:styleId="39">
    <w:name w:val="Default"/>
    <w:next w:val="1"/>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40">
    <w:name w:val="明显引用1"/>
    <w:next w:val="1"/>
    <w:qFormat/>
    <w:uiPriority w:val="0"/>
    <w:pPr>
      <w:wordWrap w:val="0"/>
      <w:ind w:left="950" w:right="950"/>
      <w:jc w:val="center"/>
    </w:pPr>
    <w:rPr>
      <w:rFonts w:ascii="Times New Roman" w:hAnsi="Times New Roman" w:eastAsia="宋体" w:cs="Times New Roman"/>
      <w:i/>
      <w:iCs/>
      <w:sz w:val="21"/>
      <w:szCs w:val="21"/>
      <w:lang w:val="en-US" w:eastAsia="zh-CN" w:bidi="ar-SA"/>
    </w:rPr>
  </w:style>
  <w:style w:type="paragraph" w:customStyle="1" w:styleId="41">
    <w:name w:val="UserStyle_0"/>
    <w:basedOn w:val="42"/>
    <w:qFormat/>
    <w:uiPriority w:val="0"/>
    <w:pPr>
      <w:spacing w:after="120"/>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42">
    <w:name w:val="UserStyle_1"/>
    <w:basedOn w:val="1"/>
    <w:next w:val="43"/>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paragraph" w:customStyle="1" w:styleId="43">
    <w:name w:val="UserStyle_2"/>
    <w:basedOn w:val="1"/>
    <w:qFormat/>
    <w:uiPriority w:val="0"/>
    <w:pPr>
      <w:ind w:firstLine="420" w:firstLineChars="200"/>
      <w:jc w:val="both"/>
      <w:textAlignment w:val="baseline"/>
    </w:pPr>
    <w:rPr>
      <w:rFonts w:ascii="Calibri" w:hAnsi="Calibri" w:eastAsia="仿宋"/>
      <w:kern w:val="2"/>
      <w:sz w:val="32"/>
      <w:szCs w:val="24"/>
      <w:lang w:val="en-US" w:eastAsia="zh-CN" w:bidi="ar-SA"/>
    </w:rPr>
  </w:style>
  <w:style w:type="character" w:customStyle="1" w:styleId="44">
    <w:name w:val="日期 Char1"/>
    <w:semiHidden/>
    <w:qFormat/>
    <w:locked/>
    <w:uiPriority w:val="99"/>
    <w:rPr>
      <w:rFonts w:ascii="Times New Roman" w:hAnsi="Times New Roman"/>
      <w:kern w:val="2"/>
      <w:sz w:val="21"/>
      <w:szCs w:val="22"/>
    </w:rPr>
  </w:style>
  <w:style w:type="character" w:customStyle="1" w:styleId="45">
    <w:name w:val="spl"/>
    <w:qFormat/>
    <w:uiPriority w:val="0"/>
    <w:rPr>
      <w:color w:val="474646"/>
      <w:sz w:val="22"/>
      <w:szCs w:val="22"/>
    </w:rPr>
  </w:style>
  <w:style w:type="character" w:customStyle="1" w:styleId="46">
    <w:name w:val="正文首行缩进 2 Char"/>
    <w:semiHidden/>
    <w:qFormat/>
    <w:uiPriority w:val="99"/>
    <w:rPr>
      <w:rFonts w:ascii="Times New Roman" w:hAnsi="Times New Roman" w:eastAsia="仿宋_GB2312" w:cs="宋体"/>
      <w:kern w:val="2"/>
      <w:sz w:val="21"/>
      <w:szCs w:val="21"/>
    </w:rPr>
  </w:style>
  <w:style w:type="character" w:customStyle="1" w:styleId="47">
    <w:name w:val="font21"/>
    <w:qFormat/>
    <w:uiPriority w:val="0"/>
    <w:rPr>
      <w:rFonts w:hint="eastAsia" w:ascii="宋体" w:hAnsi="宋体" w:eastAsia="宋体" w:cs="宋体"/>
      <w:color w:val="000000"/>
      <w:sz w:val="22"/>
      <w:szCs w:val="22"/>
      <w:u w:val="none"/>
    </w:rPr>
  </w:style>
  <w:style w:type="character" w:customStyle="1" w:styleId="48">
    <w:name w:val="10"/>
    <w:qFormat/>
    <w:uiPriority w:val="0"/>
    <w:rPr>
      <w:rFonts w:hint="default" w:ascii="Calibri" w:hAnsi="Calibri"/>
    </w:rPr>
  </w:style>
  <w:style w:type="character" w:customStyle="1" w:styleId="49">
    <w:name w:val="正文文本 Char"/>
    <w:qFormat/>
    <w:uiPriority w:val="0"/>
    <w:rPr>
      <w:szCs w:val="24"/>
    </w:rPr>
  </w:style>
  <w:style w:type="character" w:customStyle="1" w:styleId="50">
    <w:name w:val="15"/>
    <w:basedOn w:val="23"/>
    <w:qFormat/>
    <w:uiPriority w:val="0"/>
    <w:rPr>
      <w:rFonts w:hint="default" w:ascii="Calibri" w:hAnsi="Calibri"/>
      <w:color w:val="000000"/>
      <w:sz w:val="18"/>
      <w:szCs w:val="18"/>
    </w:rPr>
  </w:style>
  <w:style w:type="character" w:customStyle="1" w:styleId="51">
    <w:name w:val="spr1"/>
    <w:qFormat/>
    <w:uiPriority w:val="0"/>
  </w:style>
  <w:style w:type="character" w:customStyle="1" w:styleId="52">
    <w:name w:val="spr"/>
    <w:qFormat/>
    <w:uiPriority w:val="0"/>
  </w:style>
  <w:style w:type="character" w:customStyle="1" w:styleId="53">
    <w:name w:val="spl1"/>
    <w:qFormat/>
    <w:uiPriority w:val="0"/>
    <w:rPr>
      <w:color w:val="474646"/>
      <w:sz w:val="22"/>
      <w:szCs w:val="22"/>
    </w:rPr>
  </w:style>
  <w:style w:type="character" w:customStyle="1" w:styleId="54">
    <w:name w:val="正文文本 Char2"/>
    <w:qFormat/>
    <w:locked/>
    <w:uiPriority w:val="99"/>
    <w:rPr>
      <w:rFonts w:ascii="Times New Roman" w:hAnsi="Times New Roman"/>
      <w:kern w:val="2"/>
      <w:sz w:val="21"/>
      <w:szCs w:val="24"/>
    </w:rPr>
  </w:style>
  <w:style w:type="character" w:customStyle="1" w:styleId="55">
    <w:name w:val="页眉 Char1"/>
    <w:semiHidden/>
    <w:qFormat/>
    <w:locked/>
    <w:uiPriority w:val="99"/>
    <w:rPr>
      <w:rFonts w:ascii="Times New Roman" w:hAnsi="Times New Roman"/>
      <w:sz w:val="18"/>
      <w:szCs w:val="18"/>
    </w:rPr>
  </w:style>
  <w:style w:type="character" w:customStyle="1" w:styleId="56">
    <w:name w:val="16"/>
    <w:qFormat/>
    <w:uiPriority w:val="0"/>
    <w:rPr>
      <w:rFonts w:hint="default" w:ascii="Calibri" w:hAnsi="Calibri"/>
    </w:rPr>
  </w:style>
  <w:style w:type="character" w:customStyle="1" w:styleId="57">
    <w:name w:val="页脚 Char1"/>
    <w:semiHidden/>
    <w:qFormat/>
    <w:locked/>
    <w:uiPriority w:val="99"/>
    <w:rPr>
      <w:rFonts w:ascii="Times New Roman" w:hAnsi="Times New Roman"/>
      <w:sz w:val="18"/>
      <w:szCs w:val="18"/>
    </w:rPr>
  </w:style>
  <w:style w:type="character" w:customStyle="1" w:styleId="58">
    <w:name w:val="二级标题 Char"/>
    <w:link w:val="59"/>
    <w:qFormat/>
    <w:locked/>
    <w:uiPriority w:val="0"/>
    <w:rPr>
      <w:rFonts w:ascii="楷体_GB2312" w:eastAsia="楷体_GB2312"/>
      <w:sz w:val="32"/>
      <w:szCs w:val="24"/>
    </w:rPr>
  </w:style>
  <w:style w:type="paragraph" w:customStyle="1" w:styleId="59">
    <w:name w:val="二级标题"/>
    <w:basedOn w:val="60"/>
    <w:next w:val="60"/>
    <w:link w:val="58"/>
    <w:qFormat/>
    <w:uiPriority w:val="0"/>
    <w:pPr>
      <w:outlineLvl w:val="3"/>
    </w:pPr>
    <w:rPr>
      <w:rFonts w:ascii="楷体_GB2312" w:eastAsia="楷体_GB2312"/>
      <w:sz w:val="32"/>
      <w:szCs w:val="24"/>
    </w:rPr>
  </w:style>
  <w:style w:type="paragraph" w:customStyle="1" w:styleId="60">
    <w:name w:val="公文主体"/>
    <w:basedOn w:val="1"/>
    <w:qFormat/>
    <w:uiPriority w:val="0"/>
    <w:pPr>
      <w:spacing w:line="580" w:lineRule="exact"/>
      <w:ind w:firstLine="200" w:firstLineChars="200"/>
    </w:pPr>
    <w:rPr>
      <w:rFonts w:ascii="仿宋_GB2312" w:hAnsi="Calibri" w:eastAsia="仿宋_GB2312"/>
      <w:kern w:val="0"/>
      <w:sz w:val="24"/>
      <w:szCs w:val="20"/>
    </w:rPr>
  </w:style>
  <w:style w:type="character" w:customStyle="1" w:styleId="61">
    <w:name w:val="NormalCharacter"/>
    <w:link w:val="62"/>
    <w:qFormat/>
    <w:uiPriority w:val="0"/>
    <w:rPr>
      <w:rFonts w:ascii="Verdana" w:hAnsi="Verdana"/>
      <w:kern w:val="0"/>
      <w:sz w:val="20"/>
      <w:szCs w:val="21"/>
      <w:lang w:eastAsia="en-US"/>
    </w:rPr>
  </w:style>
  <w:style w:type="paragraph" w:customStyle="1" w:styleId="62">
    <w:name w:val="UserStyle_4"/>
    <w:basedOn w:val="1"/>
    <w:link w:val="61"/>
    <w:qFormat/>
    <w:uiPriority w:val="0"/>
    <w:pPr>
      <w:widowControl/>
      <w:spacing w:after="160" w:line="240" w:lineRule="exact"/>
      <w:jc w:val="left"/>
      <w:textAlignment w:val="baseline"/>
    </w:pPr>
    <w:rPr>
      <w:rFonts w:ascii="Verdana" w:hAnsi="Verdana"/>
      <w:kern w:val="0"/>
      <w:sz w:val="20"/>
      <w:szCs w:val="21"/>
      <w:lang w:eastAsia="en-US"/>
    </w:rPr>
  </w:style>
  <w:style w:type="paragraph" w:customStyle="1" w:styleId="63">
    <w:name w:val="11公文正文标题1"/>
    <w:basedOn w:val="64"/>
    <w:next w:val="64"/>
    <w:qFormat/>
    <w:uiPriority w:val="0"/>
    <w:rPr>
      <w:rFonts w:ascii="黑体" w:hAnsi="黑体" w:eastAsia="黑体"/>
      <w:szCs w:val="20"/>
    </w:rPr>
  </w:style>
  <w:style w:type="paragraph" w:customStyle="1" w:styleId="64">
    <w:name w:val="15公文正文"/>
    <w:basedOn w:val="1"/>
    <w:link w:val="66"/>
    <w:qFormat/>
    <w:uiPriority w:val="0"/>
    <w:pPr>
      <w:snapToGrid w:val="0"/>
      <w:spacing w:line="600" w:lineRule="exact"/>
      <w:ind w:firstLine="880" w:firstLineChars="200"/>
    </w:pPr>
    <w:rPr>
      <w:rFonts w:ascii="Times New Roman" w:hAnsi="Times New Roman" w:eastAsia="方正仿宋_GBK"/>
      <w:kern w:val="0"/>
      <w:sz w:val="32"/>
      <w:szCs w:val="32"/>
    </w:rPr>
  </w:style>
  <w:style w:type="character" w:customStyle="1" w:styleId="65">
    <w:name w:val="15公文正文 Char1"/>
    <w:link w:val="64"/>
    <w:qFormat/>
    <w:locked/>
    <w:uiPriority w:val="0"/>
    <w:rPr>
      <w:rFonts w:ascii="仿宋_GB2312" w:hAnsi="仿宋_GB2312" w:eastAsia="方正仿宋_GBK"/>
      <w:sz w:val="32"/>
      <w:szCs w:val="21"/>
    </w:rPr>
  </w:style>
  <w:style w:type="character" w:customStyle="1" w:styleId="66">
    <w:name w:val="15公文正文 Char"/>
    <w:link w:val="64"/>
    <w:qFormat/>
    <w:uiPriority w:val="0"/>
    <w:rPr>
      <w:rFonts w:ascii="Times New Roman" w:hAnsi="Times New Roman" w:eastAsia="方正仿宋_GBK"/>
      <w:kern w:val="0"/>
      <w:sz w:val="32"/>
      <w:szCs w:val="32"/>
    </w:rPr>
  </w:style>
  <w:style w:type="paragraph" w:styleId="67">
    <w:name w:val="List Paragraph"/>
    <w:basedOn w:val="1"/>
    <w:qFormat/>
    <w:uiPriority w:val="34"/>
    <w:pPr>
      <w:ind w:firstLine="420" w:firstLineChars="200"/>
    </w:pPr>
  </w:style>
  <w:style w:type="paragraph" w:customStyle="1" w:styleId="68">
    <w:name w:val="17.0公文附件"/>
    <w:basedOn w:val="64"/>
    <w:qFormat/>
    <w:uiPriority w:val="0"/>
    <w:pPr>
      <w:spacing w:before="100" w:beforeAutospacing="1" w:after="100" w:afterAutospacing="1"/>
      <w:ind w:left="1730" w:leftChars="300" w:hanging="1100" w:hangingChars="250"/>
    </w:pPr>
    <w:rPr>
      <w:kern w:val="2"/>
    </w:rPr>
  </w:style>
  <w:style w:type="paragraph" w:customStyle="1" w:styleId="69">
    <w:name w:val="10公文主送机关"/>
    <w:basedOn w:val="1"/>
    <w:qFormat/>
    <w:uiPriority w:val="0"/>
    <w:pPr>
      <w:spacing w:line="600" w:lineRule="exact"/>
    </w:pPr>
    <w:rPr>
      <w:rFonts w:ascii="方正仿宋_GBK" w:hAnsi="宋体" w:eastAsia="方正仿宋_GBK" w:cs="宋体"/>
      <w:sz w:val="32"/>
      <w:szCs w:val="32"/>
    </w:rPr>
  </w:style>
  <w:style w:type="paragraph" w:customStyle="1" w:styleId="70">
    <w:name w:val="17.1公文附件1"/>
    <w:basedOn w:val="1"/>
    <w:next w:val="1"/>
    <w:qFormat/>
    <w:uiPriority w:val="0"/>
    <w:pPr>
      <w:snapToGrid w:val="0"/>
      <w:spacing w:before="100" w:beforeAutospacing="1" w:after="100" w:afterAutospacing="1" w:line="600" w:lineRule="exact"/>
      <w:ind w:left="2610" w:leftChars="300" w:hanging="1980" w:hangingChars="450"/>
    </w:pPr>
    <w:rPr>
      <w:rFonts w:ascii="Times New Roman" w:hAnsi="Times New Roman" w:eastAsia="方正仿宋_GBK"/>
      <w:bCs/>
      <w:color w:val="000000"/>
      <w:sz w:val="32"/>
      <w:szCs w:val="32"/>
    </w:rPr>
  </w:style>
  <w:style w:type="paragraph" w:customStyle="1" w:styleId="71">
    <w:name w:val="17.2公文附件2"/>
    <w:basedOn w:val="1"/>
    <w:next w:val="70"/>
    <w:qFormat/>
    <w:uiPriority w:val="0"/>
    <w:pPr>
      <w:snapToGrid w:val="0"/>
      <w:spacing w:before="100" w:beforeAutospacing="1" w:after="100" w:afterAutospacing="1" w:line="600" w:lineRule="exact"/>
      <w:ind w:left="2340" w:leftChars="800" w:hanging="660" w:hangingChars="150"/>
    </w:pPr>
    <w:rPr>
      <w:rFonts w:ascii="Times New Roman" w:hAnsi="Times New Roman" w:eastAsia="方正仿宋_GBK"/>
      <w:bCs/>
      <w:color w:val="000000"/>
      <w:sz w:val="32"/>
      <w:szCs w:val="32"/>
    </w:rPr>
  </w:style>
  <w:style w:type="paragraph" w:customStyle="1" w:styleId="72">
    <w:name w:val="00公文标题"/>
    <w:basedOn w:val="1"/>
    <w:qFormat/>
    <w:uiPriority w:val="0"/>
    <w:pPr>
      <w:snapToGrid w:val="0"/>
      <w:spacing w:line="600" w:lineRule="exact"/>
      <w:jc w:val="center"/>
    </w:pPr>
    <w:rPr>
      <w:rFonts w:ascii="方正小标宋_GBK" w:hAnsi="宋体" w:eastAsia="方正小标宋_GBK" w:cs="宋体"/>
      <w:sz w:val="44"/>
      <w:szCs w:val="44"/>
    </w:rPr>
  </w:style>
  <w:style w:type="paragraph" w:customStyle="1" w:styleId="73">
    <w:name w:val="正文 A"/>
    <w:basedOn w:val="1"/>
    <w:qFormat/>
    <w:uiPriority w:val="0"/>
    <w:rPr>
      <w:rFonts w:ascii="Arial Unicode MS" w:hAnsi="Arial Unicode MS" w:cs="Arial Unicode MS"/>
      <w:color w:val="000000"/>
      <w:szCs w:val="21"/>
      <w:u w:val="none" w:color="000000"/>
    </w:rPr>
  </w:style>
  <w:style w:type="paragraph" w:customStyle="1" w:styleId="74">
    <w:name w:val="21附件头"/>
    <w:basedOn w:val="64"/>
    <w:qFormat/>
    <w:uiPriority w:val="0"/>
    <w:pPr>
      <w:ind w:firstLine="0" w:firstLineChars="0"/>
    </w:pPr>
    <w:rPr>
      <w:rFonts w:ascii="方正小标宋_GBK" w:hAnsi="方正小标宋_GBK" w:eastAsia="方正黑体_GBK" w:cs="方正小标宋_GBK"/>
      <w:kern w:val="2"/>
    </w:rPr>
  </w:style>
  <w:style w:type="paragraph" w:customStyle="1" w:styleId="75">
    <w:name w:val="首行缩进"/>
    <w:basedOn w:val="1"/>
    <w:qFormat/>
    <w:uiPriority w:val="0"/>
    <w:pPr>
      <w:spacing w:line="360" w:lineRule="auto"/>
      <w:ind w:firstLine="480" w:firstLineChars="200"/>
    </w:pPr>
    <w:rPr>
      <w:rFonts w:ascii="宋体" w:hAnsi="宋体" w:cs="宋体"/>
      <w:kern w:val="0"/>
      <w:sz w:val="24"/>
    </w:rPr>
  </w:style>
  <w:style w:type="paragraph" w:customStyle="1" w:styleId="7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78">
    <w:name w:val="公文正文"/>
    <w:basedOn w:val="1"/>
    <w:qFormat/>
    <w:uiPriority w:val="0"/>
    <w:pPr>
      <w:spacing w:line="560" w:lineRule="exact"/>
      <w:ind w:firstLine="200" w:firstLineChars="200"/>
    </w:pPr>
    <w:rPr>
      <w:rFonts w:ascii="仿宋_GB2312" w:hAnsi="仿宋_GB2312" w:eastAsia="仿宋_GB2312" w:cs="仿宋_GB2312"/>
      <w:sz w:val="32"/>
      <w:szCs w:val="32"/>
    </w:rPr>
  </w:style>
  <w:style w:type="paragraph" w:customStyle="1" w:styleId="79">
    <w:name w:val="p0"/>
    <w:basedOn w:val="1"/>
    <w:qFormat/>
    <w:uiPriority w:val="0"/>
    <w:pPr>
      <w:widowControl/>
    </w:pPr>
    <w:rPr>
      <w:rFonts w:ascii="Times New Roman" w:hAnsi="Times New Roman"/>
      <w:kern w:val="0"/>
      <w:sz w:val="32"/>
      <w:szCs w:val="32"/>
    </w:rPr>
  </w:style>
  <w:style w:type="paragraph" w:customStyle="1" w:styleId="80">
    <w:name w:val="Normal Indent1"/>
    <w:basedOn w:val="1"/>
    <w:qFormat/>
    <w:uiPriority w:val="0"/>
    <w:pPr>
      <w:ind w:firstLine="420" w:firstLineChars="200"/>
    </w:pPr>
    <w:rPr>
      <w:rFonts w:ascii="Times New Roman" w:hAnsi="Times New Roman"/>
      <w:szCs w:val="21"/>
    </w:rPr>
  </w:style>
  <w:style w:type="paragraph" w:customStyle="1" w:styleId="81">
    <w:name w:val="19公文落款"/>
    <w:basedOn w:val="1"/>
    <w:qFormat/>
    <w:uiPriority w:val="0"/>
    <w:pPr>
      <w:spacing w:before="100" w:beforeAutospacing="1" w:after="100" w:afterAutospacing="1" w:line="300" w:lineRule="auto"/>
      <w:ind w:left="2940" w:leftChars="1400"/>
      <w:jc w:val="center"/>
    </w:pPr>
    <w:rPr>
      <w:rFonts w:ascii="Times New Roman" w:hAnsi="Times New Roman" w:eastAsia="方正仿宋_GBK"/>
      <w:kern w:val="0"/>
      <w:sz w:val="32"/>
      <w:szCs w:val="32"/>
    </w:rPr>
  </w:style>
  <w:style w:type="character" w:customStyle="1" w:styleId="82">
    <w:name w:val="12公文正文标题2 Char"/>
    <w:qFormat/>
    <w:uiPriority w:val="0"/>
    <w:rPr>
      <w:rFonts w:ascii="方正楷体_GBK" w:hAnsi="方正楷体_GBK" w:eastAsia="方正楷体_GBK" w:cs="方正楷体_GBK"/>
      <w:kern w:val="0"/>
      <w:sz w:val="32"/>
      <w:szCs w:val="32"/>
    </w:rPr>
  </w:style>
  <w:style w:type="paragraph" w:customStyle="1" w:styleId="83">
    <w:name w:val="12公文正文标题2"/>
    <w:basedOn w:val="1"/>
    <w:next w:val="64"/>
    <w:link w:val="84"/>
    <w:qFormat/>
    <w:uiPriority w:val="0"/>
    <w:pPr>
      <w:spacing w:line="560" w:lineRule="exact"/>
      <w:ind w:firstLine="880" w:firstLineChars="200"/>
      <w:outlineLvl w:val="3"/>
    </w:pPr>
    <w:rPr>
      <w:rFonts w:ascii="方正楷体_GBK" w:hAnsi="方正楷体_GBK" w:eastAsia="方正楷体_GBK" w:cs="方正楷体_GBK"/>
      <w:kern w:val="0"/>
      <w:sz w:val="32"/>
      <w:szCs w:val="32"/>
    </w:rPr>
  </w:style>
  <w:style w:type="character" w:customStyle="1" w:styleId="84">
    <w:name w:val="12公文正文标题2 Char1"/>
    <w:link w:val="83"/>
    <w:qFormat/>
    <w:uiPriority w:val="0"/>
    <w:rPr>
      <w:rFonts w:ascii="方正楷体_GBK" w:hAnsi="方正楷体_GBK" w:eastAsia="方正楷体_GBK" w:cs="方正楷体_GBK"/>
      <w:kern w:val="0"/>
      <w:sz w:val="32"/>
      <w:szCs w:val="32"/>
    </w:rPr>
  </w:style>
  <w:style w:type="paragraph" w:customStyle="1" w:styleId="85">
    <w:name w:val="25表格图片说明"/>
    <w:basedOn w:val="1"/>
    <w:qFormat/>
    <w:uiPriority w:val="0"/>
    <w:pPr>
      <w:spacing w:before="50" w:beforeLines="50" w:after="50" w:afterLines="50"/>
      <w:jc w:val="center"/>
    </w:pPr>
    <w:rPr>
      <w:rFonts w:hint="eastAsia" w:ascii="Times New Roman" w:hAnsi="Times New Roman" w:eastAsia="黑体" w:cs="黑体"/>
      <w:sz w:val="21"/>
      <w:szCs w:val="30"/>
    </w:rPr>
  </w:style>
  <w:style w:type="paragraph" w:customStyle="1" w:styleId="86">
    <w:name w:val="Heading #2|1"/>
    <w:basedOn w:val="1"/>
    <w:qFormat/>
    <w:uiPriority w:val="0"/>
    <w:pPr>
      <w:widowControl w:val="0"/>
      <w:shd w:val="clear" w:color="auto" w:fill="auto"/>
      <w:spacing w:after="540" w:line="269" w:lineRule="auto"/>
      <w:ind w:firstLine="110"/>
      <w:outlineLvl w:val="1"/>
    </w:pPr>
    <w:rPr>
      <w:rFonts w:ascii="宋体" w:hAnsi="宋体" w:eastAsia="宋体" w:cs="宋体"/>
      <w:sz w:val="44"/>
      <w:szCs w:val="44"/>
      <w:u w:val="none"/>
      <w:shd w:val="clear" w:color="auto" w:fill="auto"/>
      <w:lang w:val="zh-TW" w:eastAsia="zh-TW" w:bidi="zh-TW"/>
    </w:rPr>
  </w:style>
  <w:style w:type="paragraph" w:customStyle="1" w:styleId="87">
    <w:name w:val="Body text|1"/>
    <w:basedOn w:val="1"/>
    <w:qFormat/>
    <w:uiPriority w:val="0"/>
    <w:pPr>
      <w:widowControl w:val="0"/>
      <w:shd w:val="clear" w:color="auto" w:fill="auto"/>
      <w:spacing w:line="386" w:lineRule="auto"/>
      <w:ind w:firstLine="400"/>
    </w:pPr>
    <w:rPr>
      <w:rFonts w:ascii="宋体" w:hAnsi="宋体" w:eastAsia="宋体" w:cs="宋体"/>
      <w:sz w:val="32"/>
      <w:szCs w:val="32"/>
      <w:u w:val="none"/>
      <w:shd w:val="clear" w:color="auto" w:fill="auto"/>
      <w:lang w:val="zh-TW" w:eastAsia="zh-TW" w:bidi="zh-TW"/>
    </w:rPr>
  </w:style>
  <w:style w:type="paragraph" w:customStyle="1" w:styleId="88">
    <w:name w:val="Body text|2"/>
    <w:basedOn w:val="1"/>
    <w:qFormat/>
    <w:uiPriority w:val="0"/>
    <w:pPr>
      <w:widowControl w:val="0"/>
      <w:shd w:val="clear" w:color="auto" w:fill="auto"/>
      <w:spacing w:after="680"/>
    </w:pPr>
    <w:rPr>
      <w:sz w:val="32"/>
      <w:szCs w:val="32"/>
      <w:u w:val="none"/>
      <w:shd w:val="clear" w:color="auto" w:fill="auto"/>
      <w:lang w:val="zh-TW" w:eastAsia="zh-TW" w:bidi="zh-TW"/>
    </w:rPr>
  </w:style>
  <w:style w:type="character" w:customStyle="1" w:styleId="89">
    <w:name w:val="13公文正文标题3 Char"/>
    <w:link w:val="90"/>
    <w:qFormat/>
    <w:uiPriority w:val="0"/>
    <w:rPr>
      <w:rFonts w:hint="eastAsia" w:ascii="方正仿宋_GBK" w:hAnsi="方正仿宋_GBK" w:eastAsia="方正仿宋_GBK" w:cs="方正仿宋_GBK"/>
      <w:b/>
      <w:bCs/>
      <w:sz w:val="32"/>
      <w:szCs w:val="32"/>
    </w:rPr>
  </w:style>
  <w:style w:type="paragraph" w:customStyle="1" w:styleId="90">
    <w:name w:val="13公文正文标题3"/>
    <w:basedOn w:val="1"/>
    <w:link w:val="89"/>
    <w:qFormat/>
    <w:uiPriority w:val="0"/>
    <w:pPr>
      <w:spacing w:line="560" w:lineRule="exact"/>
      <w:ind w:firstLine="880" w:firstLineChars="200"/>
    </w:pPr>
    <w:rPr>
      <w:rFonts w:hint="eastAsia" w:ascii="方正仿宋_GBK" w:hAnsi="方正仿宋_GBK" w:eastAsia="方正仿宋_GBK" w:cs="方正仿宋_GBK"/>
      <w:b/>
      <w:bCs/>
      <w:sz w:val="32"/>
      <w:szCs w:val="32"/>
    </w:rPr>
  </w:style>
  <w:style w:type="character" w:customStyle="1" w:styleId="91">
    <w:name w:val="font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1695</Words>
  <Characters>1831</Characters>
  <Lines>44</Lines>
  <Paragraphs>12</Paragraphs>
  <TotalTime>5</TotalTime>
  <ScaleCrop>false</ScaleCrop>
  <LinksUpToDate>false</LinksUpToDate>
  <CharactersWithSpaces>2099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2022-11-24T09:19:00Z</dcterms:created>
  <dc:creator>魏上云</dc:creator>
  <cp:lastModifiedBy>Administrator</cp:lastModifiedBy>
  <cp:lastPrinted>2024-01-05T02:41:23Z</cp:lastPrinted>
  <dcterms:modified xsi:type="dcterms:W3CDTF">2024-01-05T02:45:07Z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3FB6988F87A54D4F8EAD89894507F70F_13</vt:lpwstr>
  </property>
</Properties>
</file>