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云阳县人民政府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关于征地补偿安置方案的公告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云阳府征地方案公告〔2022〕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8" w:lineRule="exact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8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按照《中华人民共和国土地管理法》《中华人民共和国土地管理法实施条例》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《大中型水利水电工程建设征地补偿和移民安置条例》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等法律法规规定，本府于2022年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日发布了云阳县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建全抽水蓄能电站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项目征收土地预公告（云阳府预公告〔2022〕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号），根据社会稳定风险评估和土地现状调查结果，组织有关部门拟定了云阳县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建全抽水蓄能电站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项目的征地补偿安置方案，现将具体内容和有关事项公告如下：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补偿安置具体内容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详见附件《征地补偿安置方案》。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line="578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异议反馈渠道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8" w:lineRule="exact"/>
        <w:ind w:firstLine="640" w:firstLineChars="200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被征地的农村集体经济组织及其成员、村民委员会和其他利害关系人对《征地补偿安置方案》有异议的，应当于公告期满前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通过信函或当面提交方式，向云阳县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水利局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提出书面意见，书面意见应当签字、加盖手印（印章）并附具身份证明材料（地址：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云阳县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云江大道1480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号；邮编：404500；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55162298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；联系人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：叶昊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过半数被征地的农村集体经济组织成员认为《征地补偿安置方案》不符合法律、法规规定的，本府将依法组织听证。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办理补偿安置登记和签订征地补偿安置协议的方式、期限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拟征收土地的所有权人、使用权人应当在《征地补偿安置方案》确定后</w:t>
      </w:r>
      <w:r>
        <w:rPr>
          <w:rFonts w:ascii="Times New Roman" w:hAnsi="Times New Roman" w:eastAsia="方正仿宋_GBK"/>
          <w:sz w:val="32"/>
          <w:szCs w:val="32"/>
        </w:rPr>
        <w:t>30日内</w:t>
      </w:r>
      <w:r>
        <w:rPr>
          <w:rFonts w:ascii="Times New Roman" w:hAnsi="Times New Roman" w:eastAsia="方正仿宋_GBK"/>
          <w:bCs/>
          <w:sz w:val="32"/>
          <w:szCs w:val="32"/>
        </w:rPr>
        <w:t>，持不动产权属证明、身份证明、户口簿等材料到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高阳镇人民政府</w:t>
      </w:r>
      <w:r>
        <w:rPr>
          <w:rFonts w:ascii="Times New Roman" w:hAnsi="Times New Roman" w:eastAsia="方正仿宋_GBK"/>
          <w:bCs/>
          <w:sz w:val="32"/>
          <w:szCs w:val="32"/>
        </w:rPr>
        <w:t>办理补偿安置登记并签订征地补偿安置协议。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未在规定期限内办理补偿安置登记的，其补偿安置内容以县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水利局会同高阳镇人民政府</w:t>
      </w:r>
      <w:r>
        <w:rPr>
          <w:rFonts w:ascii="Times New Roman" w:hAnsi="Times New Roman" w:eastAsia="方正仿宋_GBK"/>
          <w:bCs/>
          <w:sz w:val="32"/>
          <w:szCs w:val="32"/>
        </w:rPr>
        <w:t>调查结果为准。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四、确定具体人员安置对象的期限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被征地农村集体经济组织应当于本公告期满前，按照《重庆市集体土地征收补偿安置办法》（市政府令第344号）第十六条的规定确定具体的人员安置对象，未在规定期限内确定的，由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征地实施机构会同相关单位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按照有关规定和原则拟定。具体人员安置对象按有关规定公示、初审、复核和核准。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本公告自发布之日起施行，公告期限为30日。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bCs/>
          <w:sz w:val="32"/>
          <w:szCs w:val="32"/>
        </w:rPr>
        <w:t>：征地补偿安置方案</w:t>
      </w:r>
    </w:p>
    <w:p>
      <w:pPr>
        <w:pStyle w:val="2"/>
        <w:ind w:left="0" w:leftChars="0" w:firstLine="640" w:firstLineChars="200"/>
      </w:pPr>
      <w:r>
        <w:rPr>
          <w:rFonts w:ascii="Times New Roman" w:hAnsi="Times New Roman"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bCs/>
          <w:sz w:val="32"/>
          <w:szCs w:val="32"/>
        </w:rPr>
        <w:t>：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土地分类面积和征地安置人员情况表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8" w:lineRule="exact"/>
        <w:ind w:left="0" w:leftChars="0"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bCs/>
          <w:sz w:val="32"/>
          <w:szCs w:val="32"/>
        </w:rPr>
        <w:t>：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土地补偿费和安置补助费明细表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5440" w:firstLineChars="1700"/>
        <w:jc w:val="lef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5440" w:firstLineChars="1700"/>
        <w:jc w:val="lef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5440" w:firstLineChars="1700"/>
        <w:jc w:val="lef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云阳县人民政府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right="840" w:rightChars="400" w:firstLine="5440" w:firstLineChars="1700"/>
        <w:jc w:val="lef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2022年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jc w:val="left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340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950DB"/>
    <w:multiLevelType w:val="singleLevel"/>
    <w:tmpl w:val="9C1950DB"/>
    <w:lvl w:ilvl="0" w:tentative="0">
      <w:start w:val="3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abstractNum w:abstractNumId="1">
    <w:nsid w:val="50560ECF"/>
    <w:multiLevelType w:val="singleLevel"/>
    <w:tmpl w:val="50560E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jA5NGEwYzg0NmJiNjYyYzM0ZTUzZDM5YmFkMmYifQ=="/>
  </w:docVars>
  <w:rsids>
    <w:rsidRoot w:val="07500400"/>
    <w:rsid w:val="0750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/>
      <w:sz w:val="28"/>
      <w:szCs w:val="28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2022-08-29T02:13:00Z</dcterms:created>
  <dc:creator>妮子corrine</dc:creator>
  <cp:lastModifiedBy>妮子corrine</cp:lastModifiedBy>
  <dcterms:modified xsi:type="dcterms:W3CDTF">2022-08-29T02:17:11Z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007AD8E5956F425CA0F4D9ECEBF9BCCF</vt:lpwstr>
  </property>
</Properties>
</file>