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580" w:line="720" w:lineRule="exact"/>
        <w:jc w:val="center"/>
        <w:textAlignment w:val="auto"/>
        <w:rPr>
          <w:rFonts w:hint="eastAsia" w:ascii="Times New Roman" w:hAnsi="Times New Roman" w:eastAsia="方正小标宋_GBK" w:cs="HiddenHorzOCR"/>
          <w:kern w:val="0"/>
          <w:sz w:val="44"/>
          <w:szCs w:val="44"/>
          <w:lang w:val="en-US" w:eastAsia="zh-CN"/>
        </w:rPr>
      </w:pPr>
      <w:r>
        <w:rPr>
          <w:rFonts w:hint="eastAsia" w:ascii="Times New Roman" w:hAnsi="Times New Roman" w:eastAsia="方正小标宋_GBK" w:cs="HiddenHorzOCR"/>
          <w:kern w:val="0"/>
          <w:sz w:val="44"/>
          <w:szCs w:val="44"/>
          <w:lang w:val="en-US" w:eastAsia="zh-CN"/>
        </w:rPr>
        <w:t>云阳县人和街道办事处</w:t>
      </w:r>
    </w:p>
    <w:p>
      <w:pPr>
        <w:keepNext w:val="0"/>
        <w:keepLines w:val="0"/>
        <w:pageBreakBefore w:val="0"/>
        <w:widowControl w:val="0"/>
        <w:kinsoku/>
        <w:wordWrap/>
        <w:overflowPunct/>
        <w:topLinePunct w:val="0"/>
        <w:autoSpaceDE w:val="0"/>
        <w:autoSpaceDN w:val="0"/>
        <w:bidi w:val="0"/>
        <w:adjustRightInd w:val="0"/>
        <w:snapToGrid/>
        <w:spacing w:line="720" w:lineRule="exact"/>
        <w:ind w:firstLine="0" w:firstLineChars="0"/>
        <w:jc w:val="center"/>
        <w:textAlignment w:val="auto"/>
        <w:rPr>
          <w:rFonts w:hint="eastAsia" w:ascii="Times New Roman" w:hAnsi="Times New Roman" w:eastAsia="方正小标宋_GBK" w:cs="HiddenHorzOCR"/>
          <w:kern w:val="0"/>
          <w:sz w:val="44"/>
          <w:szCs w:val="44"/>
        </w:rPr>
      </w:pPr>
      <w:r>
        <w:rPr>
          <w:rFonts w:hint="eastAsia" w:ascii="Times New Roman" w:hAnsi="Times New Roman" w:eastAsia="方正小标宋_GBK" w:cs="HiddenHorzOCR"/>
          <w:kern w:val="0"/>
          <w:sz w:val="44"/>
          <w:szCs w:val="44"/>
          <w:lang w:val="en-US" w:eastAsia="zh-CN"/>
        </w:rPr>
        <w:t>2025年</w:t>
      </w:r>
      <w:r>
        <w:rPr>
          <w:rFonts w:hint="eastAsia" w:ascii="Times New Roman" w:hAnsi="Times New Roman" w:eastAsia="方正小标宋_GBK" w:cs="HiddenHorzOCR"/>
          <w:kern w:val="0"/>
          <w:sz w:val="44"/>
          <w:szCs w:val="44"/>
        </w:rPr>
        <w:t>政府信息公开工作年度报告</w:t>
      </w:r>
    </w:p>
    <w:p>
      <w:pPr>
        <w:keepNext w:val="0"/>
        <w:keepLines w:val="0"/>
        <w:pageBreakBefore w:val="0"/>
        <w:widowControl w:val="0"/>
        <w:kinsoku/>
        <w:wordWrap/>
        <w:overflowPunct w:val="0"/>
        <w:topLinePunct w:val="0"/>
        <w:autoSpaceDE/>
        <w:autoSpaceDN/>
        <w:bidi w:val="0"/>
        <w:adjustRightInd/>
        <w:snapToGrid/>
        <w:spacing w:line="578" w:lineRule="exact"/>
        <w:ind w:right="0"/>
        <w:textAlignment w:val="auto"/>
        <w:rPr>
          <w:rFonts w:hint="eastAsia" w:ascii="Times New Roman" w:hAnsi="Times New Roman" w:eastAsia="方正仿宋_GBK"/>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依据《政府信息公开条例》第五十条规定及《国务院办公厅政府信息与政务公开办公室关于印发中华人民共和国政府信息公开工作年度报告格式的通知》（国办公开办函〔2021〕30号）文件要求，紧密结合我街道2025年度政府信息公开工作开展实际，特编制本年度报告。本年度报告共由</w:t>
      </w:r>
      <w:r>
        <w:rPr>
          <w:rFonts w:hint="eastAsia" w:ascii="Times New Roman" w:hAnsi="Times New Roman" w:eastAsia="方正仿宋_GBK"/>
          <w:color w:val="000000"/>
          <w:sz w:val="32"/>
          <w:szCs w:val="32"/>
        </w:rPr>
        <w:t>总体情况</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主动公开政府信息情况</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收到和处理政府信息公开申请情况</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政府信息公开行政复议和行政诉讼情况</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政府信息公开工作存在的主要问题及改进情况</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其他需要报告的事项</w:t>
      </w:r>
      <w:r>
        <w:rPr>
          <w:rFonts w:hint="eastAsia" w:ascii="Times New Roman" w:hAnsi="Times New Roman" w:eastAsia="方正仿宋_GBK"/>
          <w:color w:val="000000"/>
          <w:sz w:val="32"/>
          <w:szCs w:val="32"/>
          <w:lang w:val="en-US" w:eastAsia="zh-CN"/>
        </w:rPr>
        <w:t>六个部分构成。报告中涉及的各项数据统计周期为2025年1月1日至2025年12月31日。</w:t>
      </w:r>
    </w:p>
    <w:p>
      <w:pPr>
        <w:keepNext w:val="0"/>
        <w:keepLines w:val="0"/>
        <w:pageBreakBefore w:val="0"/>
        <w:wordWrap/>
        <w:topLinePunct w:val="0"/>
        <w:bidi w:val="0"/>
        <w:spacing w:line="578" w:lineRule="exact"/>
        <w:ind w:left="0" w:right="0" w:firstLine="600" w:firstLineChars="200"/>
        <w:rPr>
          <w:rFonts w:ascii="Times New Roman" w:hAnsi="Times New Roman" w:eastAsia="方正黑体_GBK" w:cs="方正黑体_GBK"/>
          <w:spacing w:val="-5"/>
          <w:sz w:val="31"/>
          <w:szCs w:val="31"/>
        </w:rPr>
      </w:pPr>
      <w:r>
        <w:rPr>
          <w:rFonts w:ascii="Times New Roman" w:hAnsi="Times New Roman" w:eastAsia="方正黑体_GBK" w:cs="方正黑体_GBK"/>
          <w:spacing w:val="-5"/>
          <w:sz w:val="31"/>
          <w:szCs w:val="31"/>
        </w:rPr>
        <w:t>一、总体情况</w:t>
      </w:r>
    </w:p>
    <w:p>
      <w:pPr>
        <w:keepNext w:val="0"/>
        <w:keepLines w:val="0"/>
        <w:pageBreakBefore w:val="0"/>
        <w:widowControl w:val="0"/>
        <w:kinsoku/>
        <w:wordWrap/>
        <w:overflowPunct w:val="0"/>
        <w:topLinePunct w:val="0"/>
        <w:autoSpaceDE/>
        <w:autoSpaceDN/>
        <w:bidi w:val="0"/>
        <w:adjustRightInd/>
        <w:snapToGrid/>
        <w:spacing w:line="578" w:lineRule="exact"/>
        <w:ind w:left="0" w:right="0" w:firstLine="640" w:firstLineChars="2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lang w:val="en-US" w:eastAsia="zh-CN"/>
        </w:rPr>
        <w:t>2025年，云阳县人和街道办事处以习近平新时代中国特色社会主义思想为指导，深入落实县委、县政府关于政府信息公开工作的各项部署要求，紧扣工作重点、强化责任落实，持续加大信息公开推进力度，不断规范公开流程、提升公开质量，推动全街道政府信息公开工作规范有序开展。</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主动公开</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2025年，我街道始终坚守“公开为原则，不公开为例外”核心准则，规范信息采集、审核、发布全流程管理。2025年1月1日至12月31日期间，通过云阳县人民政府公众信息网，累计发布政务公开信息及各类工作动态共计196条。</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rPr>
        <w:t>（二）依申请公开</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年收到政府信息公开申请</w:t>
      </w:r>
      <w:r>
        <w:rPr>
          <w:rFonts w:hint="eastAsia" w:ascii="Times New Roman" w:hAnsi="Times New Roman" w:eastAsia="方正仿宋_GBK" w:cs="方正仿宋_GBK"/>
          <w:kern w:val="0"/>
          <w:sz w:val="32"/>
          <w:szCs w:val="32"/>
          <w:lang w:val="en-US" w:eastAsia="zh-CN"/>
        </w:rPr>
        <w:t>0条</w:t>
      </w:r>
      <w:r>
        <w:rPr>
          <w:rFonts w:hint="eastAsia" w:ascii="Times New Roman" w:hAnsi="Times New Roman" w:eastAsia="方正仿宋_GBK" w:cs="方正仿宋_GBK"/>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（三）政府信息管理</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严格按照《中华人民共和国政府信息公开条例》规定，要求</w:t>
      </w:r>
      <w:r>
        <w:rPr>
          <w:rFonts w:hint="eastAsia" w:ascii="Times New Roman" w:hAnsi="Times New Roman" w:eastAsia="方正仿宋_GBK" w:cs="方正仿宋_GBK"/>
          <w:kern w:val="0"/>
          <w:sz w:val="32"/>
          <w:szCs w:val="32"/>
          <w:lang w:val="en-US" w:eastAsia="zh-CN"/>
        </w:rPr>
        <w:t>相应</w:t>
      </w:r>
      <w:r>
        <w:rPr>
          <w:rFonts w:hint="eastAsia" w:ascii="Times New Roman" w:hAnsi="Times New Roman" w:eastAsia="方正仿宋_GBK" w:cs="方正仿宋_GBK"/>
          <w:kern w:val="0"/>
          <w:sz w:val="32"/>
          <w:szCs w:val="32"/>
        </w:rPr>
        <w:t>分管领导对所公开事项内容进行审核签字，再由主要领导签字把关，确保公开内容的合法性、准确性、严肃性，确保公开范围、形式、时限、程序的规范。</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楷体_GBK" w:cs="方正楷体_GBK"/>
          <w:kern w:val="0"/>
          <w:sz w:val="32"/>
          <w:szCs w:val="32"/>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四</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政府信息公开</w:t>
      </w:r>
      <w:r>
        <w:rPr>
          <w:rFonts w:hint="eastAsia" w:ascii="Times New Roman" w:hAnsi="Times New Roman" w:eastAsia="方正楷体_GBK" w:cs="方正楷体_GBK"/>
          <w:kern w:val="0"/>
          <w:sz w:val="32"/>
          <w:szCs w:val="32"/>
        </w:rPr>
        <w:t>平台建设</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firstLine="640" w:firstLineChars="200"/>
        <w:jc w:val="both"/>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kern w:val="0"/>
          <w:sz w:val="32"/>
          <w:szCs w:val="32"/>
          <w:lang w:val="en-US" w:eastAsia="zh-CN"/>
        </w:rPr>
        <w:t>严格执行“主要领导亲自抓、分管领导具体抓、职能办公室抓落实”的工作机制，保障信息公开工作落地。成立由街道办事处主任任组长、分管领导任副组长的专项工作领导小组，统筹推进全街道政府信息公开各项工作，明确专人负责信息材料的收集、发布、归档等日常事务，确保责任到人、流程闭环。2025年，依据《中华人民共和国政府信息公开条例》明确的主动公开范围，以政府门户网站为核心载体，严格落实信息发布审核制度，精准、及时做好信息公开与动态更新工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firstLine="640" w:firstLineChars="200"/>
        <w:jc w:val="left"/>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楷体_GBK" w:cs="方正楷体_GBK"/>
          <w:kern w:val="0"/>
          <w:sz w:val="32"/>
          <w:szCs w:val="32"/>
          <w:lang w:val="en-US" w:eastAsia="zh-CN"/>
        </w:rPr>
        <w:t>（五）</w:t>
      </w:r>
      <w:r>
        <w:rPr>
          <w:rFonts w:hint="eastAsia" w:ascii="Times New Roman" w:hAnsi="Times New Roman" w:eastAsia="方正楷体_GBK" w:cs="方正楷体_GBK"/>
          <w:kern w:val="0"/>
          <w:sz w:val="32"/>
          <w:szCs w:val="32"/>
        </w:rPr>
        <w:t>监督保障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依据《中华人民共和国政府信息公开条例》第五十条第四项关于各级人民政府“工作考核、社会评议和责任追究结果情况”的相关规定，我街道于2025年主动在信息公开网站公示投诉举报电话，并在机关办公区域设置投诉举报信箱，多渠道畅通监督渠道，切实强化群众监督与舆论监督效能。截至2025年12月31日，未收到涉及政府信息公开工作的投诉举报事项。</w:t>
      </w:r>
    </w:p>
    <w:p>
      <w:pPr>
        <w:keepNext w:val="0"/>
        <w:keepLines w:val="0"/>
        <w:pageBreakBefore w:val="0"/>
        <w:wordWrap/>
        <w:topLinePunct w:val="0"/>
        <w:bidi w:val="0"/>
        <w:spacing w:line="578" w:lineRule="atLeast"/>
        <w:ind w:left="0" w:right="0" w:firstLine="632" w:firstLineChars="200"/>
        <w:rPr>
          <w:rFonts w:ascii="Times New Roman" w:hAnsi="Times New Roman" w:eastAsia="方正黑体_GBK" w:cs="方正黑体_GBK"/>
          <w:sz w:val="31"/>
          <w:szCs w:val="31"/>
        </w:rPr>
      </w:pPr>
      <w:r>
        <w:rPr>
          <w:rFonts w:ascii="Times New Roman" w:hAnsi="Times New Roman" w:eastAsia="方正黑体_GBK" w:cs="方正黑体_GBK"/>
          <w:spacing w:val="3"/>
          <w:sz w:val="31"/>
          <w:szCs w:val="31"/>
        </w:rPr>
        <w:t>二、主动公开政府信息情况</w:t>
      </w:r>
    </w:p>
    <w:tbl>
      <w:tblPr>
        <w:tblStyle w:val="6"/>
        <w:tblW w:w="97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2434"/>
        <w:gridCol w:w="2434"/>
        <w:gridCol w:w="2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9744" w:type="dxa"/>
            <w:gridSpan w:val="4"/>
            <w:vAlign w:val="top"/>
          </w:tcPr>
          <w:p>
            <w:pPr>
              <w:pStyle w:val="7"/>
              <w:spacing w:before="62" w:line="234" w:lineRule="auto"/>
              <w:jc w:val="center"/>
              <w:rPr>
                <w:rFonts w:ascii="Times New Roman" w:hAnsi="Times New Roman"/>
              </w:rPr>
            </w:pPr>
            <w:r>
              <w:rPr>
                <w:rFonts w:hint="eastAsia" w:ascii="Times New Roman" w:hAnsi="Times New Roman" w:eastAsia="方正黑体_GBK" w:cs="Times New Roman"/>
                <w:snapToGrid/>
                <w:color w:val="000000" w:themeColor="text1"/>
                <w:kern w:val="2"/>
                <w:sz w:val="24"/>
                <w:szCs w:val="24"/>
                <w:lang w:val="en-US" w:eastAsia="zh-CN" w:bidi="ar-SA"/>
                <w14:textFill>
                  <w14:solidFill>
                    <w14:schemeClr w14:val="tx1"/>
                  </w14:solidFill>
                </w14:textFill>
              </w:rPr>
              <w:t>第二十条第（一）项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2438" w:type="dxa"/>
            <w:vAlign w:val="top"/>
          </w:tcPr>
          <w:p>
            <w:pPr>
              <w:pStyle w:val="7"/>
              <w:spacing w:before="59" w:line="232"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信息内容</w:t>
            </w:r>
          </w:p>
        </w:tc>
        <w:tc>
          <w:tcPr>
            <w:tcW w:w="2434" w:type="dxa"/>
            <w:vAlign w:val="top"/>
          </w:tcPr>
          <w:p>
            <w:pPr>
              <w:pStyle w:val="7"/>
              <w:spacing w:before="59" w:line="232"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本年制发件数</w:t>
            </w:r>
          </w:p>
        </w:tc>
        <w:tc>
          <w:tcPr>
            <w:tcW w:w="2434" w:type="dxa"/>
            <w:vAlign w:val="top"/>
          </w:tcPr>
          <w:p>
            <w:pPr>
              <w:pStyle w:val="7"/>
              <w:spacing w:before="59" w:line="232" w:lineRule="auto"/>
              <w:ind w:firstLine="480" w:firstLineChars="200"/>
              <w:jc w:val="both"/>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本年废止件数</w:t>
            </w:r>
          </w:p>
        </w:tc>
        <w:tc>
          <w:tcPr>
            <w:tcW w:w="2438" w:type="dxa"/>
            <w:vAlign w:val="top"/>
          </w:tcPr>
          <w:p>
            <w:pPr>
              <w:pStyle w:val="7"/>
              <w:spacing w:before="59" w:line="232" w:lineRule="auto"/>
              <w:ind w:firstLine="480" w:firstLineChars="200"/>
              <w:jc w:val="both"/>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现行有效件数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2438" w:type="dxa"/>
            <w:vAlign w:val="top"/>
          </w:tcPr>
          <w:p>
            <w:pPr>
              <w:pStyle w:val="7"/>
              <w:spacing w:before="60" w:line="231" w:lineRule="auto"/>
              <w:ind w:left="61"/>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规章</w:t>
            </w:r>
          </w:p>
        </w:tc>
        <w:tc>
          <w:tcPr>
            <w:tcW w:w="2434"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c>
          <w:tcPr>
            <w:tcW w:w="2434"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c>
          <w:tcPr>
            <w:tcW w:w="2438"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2438" w:type="dxa"/>
            <w:vAlign w:val="top"/>
          </w:tcPr>
          <w:p>
            <w:pPr>
              <w:pStyle w:val="7"/>
              <w:spacing w:before="59" w:line="232" w:lineRule="auto"/>
              <w:ind w:left="59"/>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行政规范性文件</w:t>
            </w:r>
          </w:p>
        </w:tc>
        <w:tc>
          <w:tcPr>
            <w:tcW w:w="2434"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c>
          <w:tcPr>
            <w:tcW w:w="2434"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bookmarkStart w:id="0" w:name="_GoBack"/>
            <w:bookmarkEnd w:id="0"/>
          </w:p>
        </w:tc>
        <w:tc>
          <w:tcPr>
            <w:tcW w:w="2438" w:type="dxa"/>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9744" w:type="dxa"/>
            <w:gridSpan w:val="4"/>
            <w:vAlign w:val="top"/>
          </w:tcPr>
          <w:p>
            <w:pPr>
              <w:pStyle w:val="7"/>
              <w:spacing w:before="60" w:line="231" w:lineRule="auto"/>
              <w:jc w:val="center"/>
              <w:rPr>
                <w:rFonts w:ascii="Times New Roman" w:hAnsi="Times New Roman"/>
              </w:rPr>
            </w:pPr>
            <w:r>
              <w:rPr>
                <w:rFonts w:hint="eastAsia" w:ascii="Times New Roman" w:hAnsi="Times New Roman" w:eastAsia="方正黑体_GBK" w:cs="Times New Roman"/>
                <w:snapToGrid/>
                <w:color w:val="000000" w:themeColor="text1"/>
                <w:kern w:val="2"/>
                <w:sz w:val="24"/>
                <w:szCs w:val="24"/>
                <w:lang w:val="en-US" w:eastAsia="zh-CN" w:bidi="ar-SA"/>
                <w14:textFill>
                  <w14:solidFill>
                    <w14:schemeClr w14:val="tx1"/>
                  </w14:solidFill>
                </w14:textFill>
              </w:rPr>
              <w:t>第二十条第（五）项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1" w:line="231"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信息内容</w:t>
            </w:r>
          </w:p>
        </w:tc>
        <w:tc>
          <w:tcPr>
            <w:tcW w:w="7306" w:type="dxa"/>
            <w:gridSpan w:val="3"/>
            <w:vAlign w:val="top"/>
          </w:tcPr>
          <w:p>
            <w:pPr>
              <w:pStyle w:val="7"/>
              <w:spacing w:before="61" w:line="231"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本年处理决定数量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3" w:line="230"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行政许可</w:t>
            </w:r>
          </w:p>
        </w:tc>
        <w:tc>
          <w:tcPr>
            <w:tcW w:w="7306" w:type="dxa"/>
            <w:gridSpan w:val="3"/>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9744" w:type="dxa"/>
            <w:gridSpan w:val="4"/>
            <w:vAlign w:val="top"/>
          </w:tcPr>
          <w:p>
            <w:pPr>
              <w:pStyle w:val="7"/>
              <w:spacing w:before="63" w:line="230" w:lineRule="auto"/>
              <w:jc w:val="center"/>
              <w:rPr>
                <w:rFonts w:ascii="Times New Roman" w:hAnsi="Times New Roman"/>
              </w:rPr>
            </w:pPr>
            <w:r>
              <w:rPr>
                <w:rFonts w:hint="eastAsia" w:ascii="Times New Roman" w:hAnsi="Times New Roman" w:eastAsia="方正黑体_GBK" w:cs="Times New Roman"/>
                <w:snapToGrid/>
                <w:color w:val="000000" w:themeColor="text1"/>
                <w:kern w:val="2"/>
                <w:sz w:val="24"/>
                <w:szCs w:val="24"/>
                <w:lang w:val="en-US" w:eastAsia="zh-CN" w:bidi="ar-SA"/>
                <w14:textFill>
                  <w14:solidFill>
                    <w14:schemeClr w14:val="tx1"/>
                  </w14:solidFill>
                </w14:textFill>
              </w:rPr>
              <w:t>第二十条第（六）项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3" w:line="230"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信息内容</w:t>
            </w:r>
          </w:p>
        </w:tc>
        <w:tc>
          <w:tcPr>
            <w:tcW w:w="7306" w:type="dxa"/>
            <w:gridSpan w:val="3"/>
            <w:vAlign w:val="top"/>
          </w:tcPr>
          <w:p>
            <w:pPr>
              <w:pStyle w:val="7"/>
              <w:spacing w:before="63" w:line="230"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本年处理决定数量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1" w:line="231"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行政处罚</w:t>
            </w:r>
          </w:p>
        </w:tc>
        <w:tc>
          <w:tcPr>
            <w:tcW w:w="7306" w:type="dxa"/>
            <w:gridSpan w:val="3"/>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1" w:line="231"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行政强制</w:t>
            </w:r>
          </w:p>
        </w:tc>
        <w:tc>
          <w:tcPr>
            <w:tcW w:w="7306" w:type="dxa"/>
            <w:gridSpan w:val="3"/>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9744" w:type="dxa"/>
            <w:gridSpan w:val="4"/>
            <w:vAlign w:val="top"/>
          </w:tcPr>
          <w:p>
            <w:pPr>
              <w:pStyle w:val="7"/>
              <w:spacing w:before="61" w:line="231" w:lineRule="auto"/>
              <w:jc w:val="center"/>
              <w:rPr>
                <w:rFonts w:ascii="Times New Roman" w:hAnsi="Times New Roman"/>
              </w:rPr>
            </w:pPr>
            <w:r>
              <w:rPr>
                <w:rFonts w:hint="eastAsia" w:ascii="Times New Roman" w:hAnsi="Times New Roman" w:eastAsia="方正黑体_GBK" w:cs="Times New Roman"/>
                <w:snapToGrid/>
                <w:color w:val="000000" w:themeColor="text1"/>
                <w:kern w:val="2"/>
                <w:sz w:val="24"/>
                <w:szCs w:val="24"/>
                <w:lang w:val="en-US" w:eastAsia="zh-CN" w:bidi="ar-SA"/>
                <w14:textFill>
                  <w14:solidFill>
                    <w14:schemeClr w14:val="tx1"/>
                  </w14:solidFill>
                </w14:textFill>
              </w:rPr>
              <w:t>第二十条第（八）项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jc w:val="center"/>
        </w:trPr>
        <w:tc>
          <w:tcPr>
            <w:tcW w:w="2438" w:type="dxa"/>
            <w:vAlign w:val="top"/>
          </w:tcPr>
          <w:p>
            <w:pPr>
              <w:pStyle w:val="7"/>
              <w:spacing w:before="63" w:line="230"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信息内容</w:t>
            </w:r>
          </w:p>
        </w:tc>
        <w:tc>
          <w:tcPr>
            <w:tcW w:w="7306" w:type="dxa"/>
            <w:gridSpan w:val="3"/>
            <w:vAlign w:val="top"/>
          </w:tcPr>
          <w:p>
            <w:pPr>
              <w:pStyle w:val="7"/>
              <w:spacing w:before="63" w:line="230"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本年收费金额（单位：万元）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2438" w:type="dxa"/>
            <w:vAlign w:val="top"/>
          </w:tcPr>
          <w:p>
            <w:pPr>
              <w:pStyle w:val="7"/>
              <w:spacing w:before="63" w:line="233" w:lineRule="auto"/>
              <w:jc w:val="cente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行政事业性收费</w:t>
            </w:r>
          </w:p>
        </w:tc>
        <w:tc>
          <w:tcPr>
            <w:tcW w:w="7306" w:type="dxa"/>
            <w:gridSpan w:val="3"/>
            <w:vAlign w:val="center"/>
          </w:tcPr>
          <w:p>
            <w:pPr>
              <w:jc w:val="center"/>
              <w:rPr>
                <w:rFonts w:hint="default" w:ascii="Times New Roman" w:hAnsi="Times New Roman" w:eastAsia="宋体" w:cs="宋体"/>
                <w:snapToGrid/>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snapToGrid/>
                <w:color w:val="000000" w:themeColor="text1"/>
                <w:kern w:val="2"/>
                <w:sz w:val="24"/>
                <w:szCs w:val="24"/>
                <w:lang w:val="en-US" w:eastAsia="zh-CN" w:bidi="ar-SA"/>
                <w14:textFill>
                  <w14:solidFill>
                    <w14:schemeClr w14:val="tx1"/>
                  </w14:solidFill>
                </w14:textFill>
              </w:rPr>
              <w:t>0</w:t>
            </w:r>
          </w:p>
        </w:tc>
      </w:tr>
    </w:tbl>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ascii="Times New Roman" w:hAnsi="Times New Roman"/>
        </w:rPr>
      </w:pPr>
      <w:r>
        <w:rPr>
          <w:rFonts w:ascii="Times New Roman" w:hAnsi="Times New Roman" w:eastAsia="方正黑体_GBK" w:cs="方正黑体_GBK"/>
          <w:spacing w:val="5"/>
          <w:sz w:val="31"/>
          <w:szCs w:val="31"/>
        </w:rPr>
        <w:t>三、收到和处理政府信息公开申请情况</w:t>
      </w:r>
    </w:p>
    <w:tbl>
      <w:tblPr>
        <w:tblStyle w:val="4"/>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943"/>
        <w:gridCol w:w="3220"/>
        <w:gridCol w:w="688"/>
        <w:gridCol w:w="688"/>
        <w:gridCol w:w="688"/>
        <w:gridCol w:w="688"/>
        <w:gridCol w:w="688"/>
        <w:gridCol w:w="68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62" w:type="dxa"/>
            <w:gridSpan w:val="3"/>
            <w:vMerge w:val="restart"/>
            <w:noWrap w:val="0"/>
            <w:tcMar>
              <w:left w:w="108" w:type="dxa"/>
              <w:right w:w="108" w:type="dxa"/>
            </w:tcMar>
            <w:vAlign w:val="center"/>
          </w:tcPr>
          <w:p>
            <w:pPr>
              <w:widowControl/>
              <w:jc w:val="center"/>
              <w:rPr>
                <w:rFonts w:hint="eastAsia" w:ascii="方正黑体_GBK" w:hAnsi="方正黑体_GBK" w:eastAsia="方正黑体_GBK" w:cs="方正黑体_GBK"/>
                <w:color w:val="000000"/>
                <w:sz w:val="21"/>
                <w:szCs w:val="22"/>
              </w:rPr>
            </w:pPr>
            <w:r>
              <w:rPr>
                <w:rFonts w:hint="eastAsia" w:ascii="方正黑体_GBK" w:hAnsi="方正黑体_GBK" w:eastAsia="方正黑体_GBK" w:cs="方正黑体_GBK"/>
                <w:color w:val="000000"/>
                <w:kern w:val="0"/>
                <w:sz w:val="20"/>
                <w:szCs w:val="22"/>
                <w:lang w:bidi="ar"/>
              </w:rPr>
              <w:t>（本列数据的勾稽关系为：第一项加第二项之和，等于第三项加第四项之和）</w:t>
            </w:r>
          </w:p>
        </w:tc>
        <w:tc>
          <w:tcPr>
            <w:tcW w:w="4918" w:type="dxa"/>
            <w:gridSpan w:val="7"/>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62" w:type="dxa"/>
            <w:gridSpan w:val="3"/>
            <w:vMerge w:val="continue"/>
            <w:noWrap w:val="0"/>
            <w:tcMar>
              <w:left w:w="108" w:type="dxa"/>
              <w:right w:w="108" w:type="dxa"/>
            </w:tcMar>
            <w:vAlign w:val="center"/>
          </w:tcPr>
          <w:p>
            <w:pPr>
              <w:jc w:val="center"/>
              <w:rPr>
                <w:rFonts w:hint="eastAsia" w:ascii="方正黑体_GBK" w:hAnsi="方正黑体_GBK" w:eastAsia="方正黑体_GBK" w:cs="方正黑体_GBK"/>
                <w:color w:val="000000"/>
                <w:sz w:val="24"/>
                <w:szCs w:val="24"/>
              </w:rPr>
            </w:pPr>
          </w:p>
        </w:tc>
        <w:tc>
          <w:tcPr>
            <w:tcW w:w="688" w:type="dxa"/>
            <w:vMerge w:val="restart"/>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自然人</w:t>
            </w:r>
          </w:p>
        </w:tc>
        <w:tc>
          <w:tcPr>
            <w:tcW w:w="3440" w:type="dxa"/>
            <w:gridSpan w:val="5"/>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法人或其他组织</w:t>
            </w:r>
          </w:p>
        </w:tc>
        <w:tc>
          <w:tcPr>
            <w:tcW w:w="790" w:type="dxa"/>
            <w:vMerge w:val="restart"/>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4"/>
                <w:kern w:val="0"/>
                <w:sz w:val="19"/>
                <w:szCs w:val="19"/>
                <w:lang w:val="en-US" w:eastAsia="en-US" w:bidi="ar-SA"/>
              </w:rPr>
            </w:pPr>
            <w:r>
              <w:rPr>
                <w:rFonts w:hint="eastAsia" w:ascii="方正黑体_GBK" w:hAnsi="方正黑体_GBK" w:eastAsia="方正黑体_GBK" w:cs="方正黑体_GBK"/>
                <w:color w:val="000000"/>
                <w:kern w:val="0"/>
                <w:sz w:val="20"/>
                <w:szCs w:val="22"/>
                <w:lang w:val="en-US" w:eastAsia="en-US"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62" w:type="dxa"/>
            <w:gridSpan w:val="3"/>
            <w:vMerge w:val="continue"/>
            <w:noWrap w:val="0"/>
            <w:tcMar>
              <w:left w:w="108" w:type="dxa"/>
              <w:right w:w="108" w:type="dxa"/>
            </w:tcMar>
            <w:vAlign w:val="center"/>
          </w:tcPr>
          <w:p>
            <w:pPr>
              <w:jc w:val="center"/>
              <w:rPr>
                <w:rFonts w:hint="eastAsia" w:ascii="方正黑体_GBK" w:hAnsi="方正黑体_GBK" w:eastAsia="方正黑体_GBK" w:cs="方正黑体_GBK"/>
                <w:color w:val="000000"/>
                <w:sz w:val="24"/>
                <w:szCs w:val="24"/>
              </w:rPr>
            </w:pPr>
          </w:p>
        </w:tc>
        <w:tc>
          <w:tcPr>
            <w:tcW w:w="688" w:type="dxa"/>
            <w:vMerge w:val="continue"/>
            <w:noWrap w:val="0"/>
            <w:tcMar>
              <w:left w:w="57" w:type="dxa"/>
              <w:right w:w="57" w:type="dxa"/>
            </w:tcMar>
            <w:vAlign w:val="center"/>
          </w:tcPr>
          <w:p>
            <w:pPr>
              <w:jc w:val="center"/>
              <w:rPr>
                <w:rFonts w:hint="eastAsia" w:ascii="方正黑体_GBK" w:hAnsi="方正黑体_GBK" w:eastAsia="方正黑体_GBK" w:cs="方正黑体_GBK"/>
                <w:snapToGrid w:val="0"/>
                <w:color w:val="000000"/>
                <w:spacing w:val="4"/>
                <w:kern w:val="0"/>
                <w:sz w:val="19"/>
                <w:szCs w:val="19"/>
                <w:lang w:val="en-US" w:eastAsia="en-US" w:bidi="ar-SA"/>
              </w:rPr>
            </w:pPr>
          </w:p>
        </w:tc>
        <w:tc>
          <w:tcPr>
            <w:tcW w:w="688" w:type="dxa"/>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商业</w:t>
            </w:r>
          </w:p>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企业</w:t>
            </w:r>
          </w:p>
        </w:tc>
        <w:tc>
          <w:tcPr>
            <w:tcW w:w="688" w:type="dxa"/>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科研</w:t>
            </w:r>
          </w:p>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机构</w:t>
            </w:r>
          </w:p>
        </w:tc>
        <w:tc>
          <w:tcPr>
            <w:tcW w:w="688" w:type="dxa"/>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社会公益组织</w:t>
            </w:r>
          </w:p>
        </w:tc>
        <w:tc>
          <w:tcPr>
            <w:tcW w:w="688" w:type="dxa"/>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法律服务机构</w:t>
            </w:r>
          </w:p>
        </w:tc>
        <w:tc>
          <w:tcPr>
            <w:tcW w:w="688" w:type="dxa"/>
            <w:noWrap w:val="0"/>
            <w:tcMar>
              <w:left w:w="57" w:type="dxa"/>
              <w:right w:w="57" w:type="dxa"/>
            </w:tcMar>
            <w:vAlign w:val="center"/>
          </w:tcPr>
          <w:p>
            <w:pPr>
              <w:widowControl/>
              <w:jc w:val="center"/>
              <w:rPr>
                <w:rFonts w:hint="eastAsia" w:ascii="方正黑体_GBK" w:hAnsi="方正黑体_GBK" w:eastAsia="方正黑体_GBK" w:cs="方正黑体_GBK"/>
                <w:snapToGrid w:val="0"/>
                <w:color w:val="000000"/>
                <w:spacing w:val="4"/>
                <w:kern w:val="0"/>
                <w:sz w:val="19"/>
                <w:szCs w:val="19"/>
                <w:lang w:val="en-US" w:eastAsia="en-US" w:bidi="ar-SA"/>
              </w:rPr>
            </w:pPr>
            <w:r>
              <w:rPr>
                <w:rFonts w:hint="eastAsia" w:ascii="方正黑体_GBK" w:hAnsi="方正黑体_GBK" w:eastAsia="方正黑体_GBK" w:cs="方正黑体_GBK"/>
                <w:snapToGrid w:val="0"/>
                <w:color w:val="000000"/>
                <w:spacing w:val="4"/>
                <w:kern w:val="0"/>
                <w:sz w:val="19"/>
                <w:szCs w:val="19"/>
                <w:lang w:val="en-US" w:eastAsia="en-US" w:bidi="ar-SA"/>
              </w:rPr>
              <w:t>其他</w:t>
            </w:r>
          </w:p>
        </w:tc>
        <w:tc>
          <w:tcPr>
            <w:tcW w:w="790" w:type="dxa"/>
            <w:vMerge w:val="continue"/>
            <w:noWrap w:val="0"/>
            <w:tcMar>
              <w:left w:w="57" w:type="dxa"/>
              <w:right w:w="57" w:type="dxa"/>
            </w:tcMar>
            <w:vAlign w:val="center"/>
          </w:tcPr>
          <w:p>
            <w:pPr>
              <w:jc w:val="center"/>
              <w:rPr>
                <w:rFonts w:ascii="Times New Roman" w:hAnsi="Times New Roman" w:eastAsia="方正书宋_GBK" w:cs="方正书宋_GBK"/>
                <w:snapToGrid w:val="0"/>
                <w:color w:val="000000"/>
                <w:spacing w:val="4"/>
                <w:kern w:val="0"/>
                <w:sz w:val="19"/>
                <w:szCs w:val="19"/>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62" w:type="dxa"/>
            <w:gridSpan w:val="3"/>
            <w:noWrap w:val="0"/>
            <w:tcMar>
              <w:left w:w="57" w:type="dxa"/>
              <w:right w:w="57" w:type="dxa"/>
            </w:tcMar>
            <w:vAlign w:val="center"/>
          </w:tcPr>
          <w:p>
            <w:pPr>
              <w:spacing w:line="251" w:lineRule="auto"/>
              <w:jc w:val="center"/>
              <w:rPr>
                <w:rFonts w:ascii="Times New Roman" w:hAnsi="Times New Roman" w:eastAsia="方正书宋_GBK" w:cs="方正书宋_GBK"/>
                <w:snapToGrid w:val="0"/>
                <w:color w:val="000000"/>
                <w:spacing w:val="8"/>
                <w:kern w:val="0"/>
                <w:sz w:val="19"/>
                <w:szCs w:val="19"/>
                <w:lang w:val="en-US" w:eastAsia="en-US" w:bidi="ar-SA"/>
              </w:rPr>
            </w:pPr>
            <w:r>
              <w:rPr>
                <w:rFonts w:hint="eastAsia" w:ascii="Times New Roman" w:hAnsi="Times New Roman" w:eastAsia="方正书宋_GBK" w:cs="方正书宋_GBK"/>
                <w:snapToGrid w:val="0"/>
                <w:color w:val="000000"/>
                <w:spacing w:val="8"/>
                <w:kern w:val="0"/>
                <w:sz w:val="19"/>
                <w:szCs w:val="19"/>
                <w:lang w:val="en-US" w:eastAsia="en-US" w:bidi="ar-SA"/>
              </w:rPr>
              <w:t>一、本年新收政府信息公开申请数量</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62" w:type="dxa"/>
            <w:gridSpan w:val="3"/>
            <w:noWrap w:val="0"/>
            <w:tcMar>
              <w:left w:w="57" w:type="dxa"/>
              <w:right w:w="57" w:type="dxa"/>
            </w:tcMar>
            <w:vAlign w:val="center"/>
          </w:tcPr>
          <w:p>
            <w:pPr>
              <w:spacing w:line="251" w:lineRule="auto"/>
              <w:jc w:val="center"/>
              <w:rPr>
                <w:rFonts w:ascii="Times New Roman" w:hAnsi="Times New Roman" w:eastAsia="方正书宋_GBK" w:cs="方正书宋_GBK"/>
                <w:snapToGrid w:val="0"/>
                <w:color w:val="000000"/>
                <w:spacing w:val="8"/>
                <w:kern w:val="0"/>
                <w:sz w:val="19"/>
                <w:szCs w:val="19"/>
                <w:lang w:val="en-US" w:eastAsia="en-US" w:bidi="ar-SA"/>
              </w:rPr>
            </w:pPr>
            <w:r>
              <w:rPr>
                <w:rFonts w:hint="eastAsia" w:ascii="Times New Roman" w:hAnsi="Times New Roman" w:eastAsia="方正书宋_GBK" w:cs="方正书宋_GBK"/>
                <w:snapToGrid w:val="0"/>
                <w:color w:val="000000"/>
                <w:spacing w:val="8"/>
                <w:kern w:val="0"/>
                <w:sz w:val="19"/>
                <w:szCs w:val="19"/>
                <w:lang w:val="en-US" w:eastAsia="en-US" w:bidi="ar-SA"/>
              </w:rPr>
              <w:t>二、上年结转政府信息公开申请数量</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restart"/>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8"/>
                <w:kern w:val="0"/>
                <w:sz w:val="19"/>
                <w:szCs w:val="19"/>
                <w:lang w:val="en-US" w:eastAsia="en-US" w:bidi="ar-SA"/>
              </w:rPr>
              <w:t>三、本年度办理结果</w:t>
            </w:r>
          </w:p>
        </w:tc>
        <w:tc>
          <w:tcPr>
            <w:tcW w:w="4163" w:type="dxa"/>
            <w:gridSpan w:val="2"/>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（一）予以公开</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4163" w:type="dxa"/>
            <w:gridSpan w:val="2"/>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（二）部分公开</w:t>
            </w:r>
            <w:r>
              <w:rPr>
                <w:rFonts w:ascii="Times New Roman" w:hAnsi="Times New Roman" w:eastAsia="楷体" w:cs="楷体"/>
                <w:color w:val="000000"/>
                <w:kern w:val="0"/>
                <w:sz w:val="20"/>
                <w:szCs w:val="22"/>
                <w:lang w:bidi="ar"/>
              </w:rPr>
              <w:t>（区分处理的，只计这一情形，不计其他情形）</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（三）不予公开</w:t>
            </w: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default" w:ascii="Times New Roman" w:hAnsi="Times New Roman" w:eastAsia="方正书宋_GBK" w:cs="方正书宋_GBK"/>
                <w:snapToGrid w:val="0"/>
                <w:color w:val="000000"/>
                <w:spacing w:val="7"/>
                <w:kern w:val="0"/>
                <w:sz w:val="19"/>
                <w:szCs w:val="19"/>
                <w:lang w:val="en-US" w:eastAsia="en-US" w:bidi="ar-SA"/>
              </w:rPr>
              <w:t>1.</w:t>
            </w:r>
            <w:r>
              <w:rPr>
                <w:rFonts w:hint="eastAsia" w:ascii="Times New Roman" w:hAnsi="Times New Roman" w:eastAsia="方正书宋_GBK" w:cs="方正书宋_GBK"/>
                <w:snapToGrid w:val="0"/>
                <w:color w:val="000000"/>
                <w:spacing w:val="7"/>
                <w:kern w:val="0"/>
                <w:sz w:val="19"/>
                <w:szCs w:val="19"/>
                <w:lang w:val="en-US" w:eastAsia="en-US" w:bidi="ar-SA"/>
              </w:rPr>
              <w:t>属于国家秘密</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2.其他法律行政法规禁止公开</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3.危及“三安全一稳定”</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4.保护第三方合法权益</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5.属于三类内部事务信息</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6.属于四类过程性信息</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7.属于行政执法案卷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8.属于行政查询事项</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（四）无法提供</w:t>
            </w: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1.本机关不掌握相关政府信息</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2.没有现成信息需要另行制作</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3.补正后申请内容仍不明确</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（五）不予处理</w:t>
            </w: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1.信访举报投诉类申请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2.重复申请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3.要求提供公开出版物</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4.无正当理由大量反复申请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5.要求行政机关确认或重新出具已获取信息</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restart"/>
            <w:noWrap w:val="0"/>
            <w:tcMar>
              <w:left w:w="57" w:type="dxa"/>
              <w:right w:w="57" w:type="dxa"/>
            </w:tcMar>
            <w:vAlign w:val="center"/>
          </w:tcPr>
          <w:p>
            <w:pPr>
              <w:widowControl/>
              <w:jc w:val="center"/>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（六）其他处理</w:t>
            </w: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1.申请人无正当理由逾期不补正、行政机关不再处理其政府信息公开申请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2.申请人逾期未按收费通知要求缴纳费用、行政机关不再处理其政府信息公开申请</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943"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3220" w:type="dxa"/>
            <w:noWrap w:val="0"/>
            <w:tcMar>
              <w:left w:w="57" w:type="dxa"/>
              <w:right w:w="57" w:type="dxa"/>
            </w:tcMar>
            <w:vAlign w:val="center"/>
          </w:tcPr>
          <w:p>
            <w:pPr>
              <w:widowControl/>
              <w:jc w:val="center"/>
              <w:rPr>
                <w:rFonts w:ascii="Times New Roman" w:hAnsi="Times New Roman" w:eastAsia="方正书宋_GBK" w:cs="方正书宋_GBK"/>
                <w:snapToGrid w:val="0"/>
                <w:color w:val="000000"/>
                <w:spacing w:val="7"/>
                <w:kern w:val="0"/>
                <w:sz w:val="19"/>
                <w:szCs w:val="19"/>
                <w:lang w:val="en-US" w:eastAsia="en-US" w:bidi="ar-SA"/>
              </w:rPr>
            </w:pPr>
            <w:r>
              <w:rPr>
                <w:rFonts w:hint="eastAsia" w:ascii="Times New Roman" w:hAnsi="Times New Roman" w:eastAsia="方正书宋_GBK" w:cs="方正书宋_GBK"/>
                <w:snapToGrid w:val="0"/>
                <w:color w:val="000000"/>
                <w:spacing w:val="7"/>
                <w:kern w:val="0"/>
                <w:sz w:val="19"/>
                <w:szCs w:val="19"/>
                <w:lang w:val="en-US" w:eastAsia="en-US" w:bidi="ar-SA"/>
              </w:rPr>
              <w:t>3.其他</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9" w:type="dxa"/>
            <w:vMerge w:val="continue"/>
            <w:noWrap w:val="0"/>
            <w:tcMar>
              <w:left w:w="57" w:type="dxa"/>
              <w:right w:w="57" w:type="dxa"/>
            </w:tcMar>
            <w:vAlign w:val="center"/>
          </w:tcPr>
          <w:p>
            <w:pPr>
              <w:jc w:val="center"/>
              <w:rPr>
                <w:rFonts w:ascii="Times New Roman" w:hAnsi="Times New Roman" w:eastAsia="等线" w:cs="Times New Roman"/>
                <w:color w:val="000000"/>
                <w:sz w:val="24"/>
                <w:szCs w:val="24"/>
              </w:rPr>
            </w:pPr>
          </w:p>
        </w:tc>
        <w:tc>
          <w:tcPr>
            <w:tcW w:w="4163" w:type="dxa"/>
            <w:gridSpan w:val="2"/>
            <w:noWrap w:val="0"/>
            <w:tcMar>
              <w:left w:w="57" w:type="dxa"/>
              <w:right w:w="57" w:type="dxa"/>
            </w:tcMar>
            <w:vAlign w:val="center"/>
          </w:tcPr>
          <w:p>
            <w:pPr>
              <w:widowControl/>
              <w:jc w:val="both"/>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10"/>
                <w:kern w:val="0"/>
                <w:sz w:val="19"/>
                <w:szCs w:val="19"/>
                <w:lang w:val="en-US" w:eastAsia="en-US" w:bidi="ar-SA"/>
              </w:rPr>
              <w:t>（七）总计</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widowControl/>
              <w:jc w:val="center"/>
              <w:rPr>
                <w:rFonts w:hint="eastAsia" w:ascii="Times New Roman" w:hAnsi="Times New Roman" w:eastAsia="宋体" w:cs="Times New Roman"/>
                <w:color w:val="000000"/>
                <w:sz w:val="21"/>
                <w:szCs w:val="22"/>
                <w:lang w:eastAsia="zh-CN"/>
              </w:rPr>
            </w:pPr>
            <w:r>
              <w:rPr>
                <w:rFonts w:hint="eastAsia" w:ascii="Times New Roman" w:hAnsi="Times New Roman" w:eastAsia="宋体" w:cs="Times New Roman"/>
                <w:color w:val="000000"/>
                <w:sz w:val="21"/>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862" w:type="dxa"/>
            <w:gridSpan w:val="3"/>
            <w:noWrap w:val="0"/>
            <w:tcMar>
              <w:left w:w="57" w:type="dxa"/>
              <w:right w:w="57" w:type="dxa"/>
            </w:tcMar>
            <w:vAlign w:val="center"/>
          </w:tcPr>
          <w:p>
            <w:pPr>
              <w:widowControl/>
              <w:jc w:val="both"/>
              <w:rPr>
                <w:rFonts w:ascii="Times New Roman" w:hAnsi="Times New Roman" w:eastAsia="等线" w:cs="Times New Roman"/>
                <w:color w:val="000000"/>
                <w:sz w:val="21"/>
                <w:szCs w:val="22"/>
              </w:rPr>
            </w:pPr>
            <w:r>
              <w:rPr>
                <w:rFonts w:hint="eastAsia" w:ascii="Times New Roman" w:hAnsi="Times New Roman" w:eastAsia="方正书宋_GBK" w:cs="方正书宋_GBK"/>
                <w:snapToGrid w:val="0"/>
                <w:color w:val="000000"/>
                <w:spacing w:val="8"/>
                <w:kern w:val="0"/>
                <w:sz w:val="19"/>
                <w:szCs w:val="19"/>
                <w:lang w:val="en-US" w:eastAsia="en-US" w:bidi="ar-SA"/>
              </w:rPr>
              <w:t>四、结转下年度继续办理</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88" w:type="dxa"/>
            <w:noWrap w:val="0"/>
            <w:tcMar>
              <w:left w:w="57" w:type="dxa"/>
              <w:right w:w="57" w:type="dxa"/>
            </w:tcMar>
            <w:vAlign w:val="center"/>
          </w:tcPr>
          <w:p>
            <w:pPr>
              <w:widowControl/>
              <w:jc w:val="center"/>
              <w:rPr>
                <w:rFonts w:hint="default"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790" w:type="dxa"/>
            <w:noWrap w:val="0"/>
            <w:tcMar>
              <w:left w:w="57" w:type="dxa"/>
              <w:right w:w="57" w:type="dxa"/>
            </w:tcMar>
            <w:vAlign w:val="center"/>
          </w:tcPr>
          <w:p>
            <w:pPr>
              <w:jc w:val="center"/>
              <w:rPr>
                <w:rFonts w:hint="eastAsia" w:ascii="Times New Roman" w:hAnsi="Times New Roman" w:eastAsia="等线" w:cs="Times New Roman"/>
                <w:color w:val="000000"/>
                <w:sz w:val="24"/>
                <w:szCs w:val="24"/>
                <w:lang w:val="en-US" w:eastAsia="zh-CN"/>
              </w:rPr>
            </w:pPr>
            <w:r>
              <w:rPr>
                <w:rFonts w:hint="eastAsia" w:ascii="Times New Roman" w:hAnsi="Times New Roman" w:cs="Times New Roman"/>
                <w:color w:val="000000"/>
                <w:sz w:val="24"/>
                <w:szCs w:val="24"/>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line="578" w:lineRule="exact"/>
        <w:ind w:firstLine="632" w:firstLineChars="200"/>
        <w:textAlignment w:val="baseline"/>
        <w:rPr>
          <w:rFonts w:ascii="Times New Roman" w:hAnsi="Times New Roman" w:eastAsia="方正黑体_GBK" w:cs="方正黑体_GBK"/>
          <w:sz w:val="31"/>
          <w:szCs w:val="31"/>
        </w:rPr>
      </w:pPr>
      <w:r>
        <w:rPr>
          <w:rFonts w:ascii="Times New Roman" w:hAnsi="Times New Roman" w:eastAsia="方正黑体_GBK" w:cs="方正黑体_GBK"/>
          <w:spacing w:val="3"/>
          <w:sz w:val="31"/>
          <w:szCs w:val="31"/>
        </w:rPr>
        <w:t>四、政府信息公开行政复议、行政诉讼情况</w:t>
      </w:r>
    </w:p>
    <w:tbl>
      <w:tblPr>
        <w:tblStyle w:val="6"/>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649"/>
        <w:gridCol w:w="649"/>
        <w:gridCol w:w="649"/>
        <w:gridCol w:w="649"/>
        <w:gridCol w:w="649"/>
        <w:gridCol w:w="649"/>
        <w:gridCol w:w="650"/>
        <w:gridCol w:w="650"/>
        <w:gridCol w:w="650"/>
        <w:gridCol w:w="650"/>
        <w:gridCol w:w="650"/>
        <w:gridCol w:w="650"/>
        <w:gridCol w:w="650"/>
        <w:gridCol w:w="6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249" w:type="dxa"/>
            <w:gridSpan w:val="5"/>
            <w:vAlign w:val="top"/>
          </w:tcPr>
          <w:p>
            <w:pPr>
              <w:pStyle w:val="7"/>
              <w:spacing w:before="48" w:line="222" w:lineRule="auto"/>
              <w:ind w:left="1225"/>
              <w:rPr>
                <w:rFonts w:ascii="Times New Roman" w:hAnsi="Times New Roman"/>
              </w:rPr>
            </w:pPr>
            <w:r>
              <w:rPr>
                <w:rFonts w:ascii="Times New Roman" w:hAnsi="Times New Roman"/>
                <w:spacing w:val="8"/>
              </w:rPr>
              <w:t>行政复议</w:t>
            </w:r>
          </w:p>
        </w:tc>
        <w:tc>
          <w:tcPr>
            <w:tcW w:w="6503" w:type="dxa"/>
            <w:gridSpan w:val="10"/>
            <w:vAlign w:val="top"/>
          </w:tcPr>
          <w:p>
            <w:pPr>
              <w:pStyle w:val="7"/>
              <w:spacing w:before="48" w:line="222" w:lineRule="auto"/>
              <w:ind w:left="2850"/>
              <w:rPr>
                <w:rFonts w:ascii="Times New Roman" w:hAnsi="Times New Roman"/>
              </w:rPr>
            </w:pPr>
            <w:r>
              <w:rPr>
                <w:rFonts w:ascii="Times New Roman" w:hAnsi="Times New Roman"/>
                <w:spacing w:val="8"/>
              </w:rPr>
              <w:t>行政诉讼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53" w:type="dxa"/>
            <w:vMerge w:val="restart"/>
            <w:tcBorders>
              <w:bottom w:val="nil"/>
            </w:tcBorders>
            <w:vAlign w:val="top"/>
          </w:tcPr>
          <w:p>
            <w:pPr>
              <w:pStyle w:val="7"/>
              <w:spacing w:before="205" w:line="260" w:lineRule="auto"/>
              <w:ind w:left="128" w:right="126" w:hanging="1"/>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6"/>
              </w:rPr>
              <w:t>维持</w:t>
            </w:r>
          </w:p>
        </w:tc>
        <w:tc>
          <w:tcPr>
            <w:tcW w:w="649" w:type="dxa"/>
            <w:vMerge w:val="restart"/>
            <w:tcBorders>
              <w:bottom w:val="nil"/>
            </w:tcBorders>
            <w:vAlign w:val="top"/>
          </w:tcPr>
          <w:p>
            <w:pPr>
              <w:pStyle w:val="7"/>
              <w:spacing w:before="205" w:line="261" w:lineRule="auto"/>
              <w:ind w:left="130" w:right="125" w:hanging="6"/>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3"/>
              </w:rPr>
              <w:t>纠正</w:t>
            </w:r>
          </w:p>
        </w:tc>
        <w:tc>
          <w:tcPr>
            <w:tcW w:w="649" w:type="dxa"/>
            <w:vMerge w:val="restart"/>
            <w:tcBorders>
              <w:bottom w:val="nil"/>
            </w:tcBorders>
            <w:vAlign w:val="top"/>
          </w:tcPr>
          <w:p>
            <w:pPr>
              <w:pStyle w:val="7"/>
              <w:spacing w:before="204" w:line="261" w:lineRule="auto"/>
              <w:ind w:left="122" w:right="126"/>
              <w:rPr>
                <w:rFonts w:ascii="Times New Roman" w:hAnsi="Times New Roman"/>
              </w:rPr>
            </w:pPr>
            <w:r>
              <w:rPr>
                <w:rFonts w:ascii="Times New Roman" w:hAnsi="Times New Roman"/>
                <w:spacing w:val="7"/>
              </w:rPr>
              <w:t>其他</w:t>
            </w:r>
            <w:r>
              <w:rPr>
                <w:rFonts w:ascii="Times New Roman" w:hAnsi="Times New Roman"/>
              </w:rPr>
              <w:t xml:space="preserve"> </w:t>
            </w:r>
            <w:r>
              <w:rPr>
                <w:rFonts w:ascii="Times New Roman" w:hAnsi="Times New Roman"/>
                <w:spacing w:val="7"/>
              </w:rPr>
              <w:t>结果</w:t>
            </w:r>
          </w:p>
        </w:tc>
        <w:tc>
          <w:tcPr>
            <w:tcW w:w="649" w:type="dxa"/>
            <w:vMerge w:val="restart"/>
            <w:tcBorders>
              <w:bottom w:val="nil"/>
            </w:tcBorders>
            <w:vAlign w:val="top"/>
          </w:tcPr>
          <w:p>
            <w:pPr>
              <w:pStyle w:val="7"/>
              <w:spacing w:before="204" w:line="261" w:lineRule="auto"/>
              <w:ind w:left="127" w:right="127" w:firstLine="16"/>
              <w:rPr>
                <w:rFonts w:ascii="Times New Roman" w:hAnsi="Times New Roman"/>
              </w:rPr>
            </w:pPr>
            <w:r>
              <w:rPr>
                <w:rFonts w:ascii="Times New Roman" w:hAnsi="Times New Roman"/>
                <w:spacing w:val="-4"/>
              </w:rPr>
              <w:t>尚未</w:t>
            </w:r>
            <w:r>
              <w:rPr>
                <w:rFonts w:ascii="Times New Roman" w:hAnsi="Times New Roman"/>
              </w:rPr>
              <w:t xml:space="preserve"> </w:t>
            </w:r>
            <w:r>
              <w:rPr>
                <w:rFonts w:ascii="Times New Roman" w:hAnsi="Times New Roman"/>
                <w:spacing w:val="4"/>
              </w:rPr>
              <w:t>审结</w:t>
            </w:r>
          </w:p>
        </w:tc>
        <w:tc>
          <w:tcPr>
            <w:tcW w:w="649" w:type="dxa"/>
            <w:vMerge w:val="restart"/>
            <w:tcBorders>
              <w:bottom w:val="nil"/>
            </w:tcBorders>
            <w:vAlign w:val="top"/>
          </w:tcPr>
          <w:p>
            <w:pPr>
              <w:spacing w:line="288" w:lineRule="auto"/>
              <w:rPr>
                <w:rFonts w:ascii="Times New Roman" w:hAnsi="Times New Roman"/>
                <w:sz w:val="21"/>
              </w:rPr>
            </w:pPr>
          </w:p>
          <w:p>
            <w:pPr>
              <w:pStyle w:val="7"/>
              <w:spacing w:before="71" w:line="287" w:lineRule="exact"/>
              <w:ind w:left="131"/>
              <w:rPr>
                <w:rFonts w:ascii="Times New Roman" w:hAnsi="Times New Roman"/>
              </w:rPr>
            </w:pPr>
            <w:r>
              <w:rPr>
                <w:rFonts w:ascii="Times New Roman" w:hAnsi="Times New Roman"/>
                <w:spacing w:val="3"/>
                <w:position w:val="2"/>
              </w:rPr>
              <w:t>总计</w:t>
            </w:r>
          </w:p>
        </w:tc>
        <w:tc>
          <w:tcPr>
            <w:tcW w:w="3248" w:type="dxa"/>
            <w:gridSpan w:val="5"/>
            <w:vAlign w:val="top"/>
          </w:tcPr>
          <w:p>
            <w:pPr>
              <w:pStyle w:val="7"/>
              <w:spacing w:before="44" w:line="221" w:lineRule="auto"/>
              <w:ind w:left="824"/>
              <w:rPr>
                <w:rFonts w:ascii="Times New Roman" w:hAnsi="Times New Roman"/>
              </w:rPr>
            </w:pPr>
            <w:r>
              <w:rPr>
                <w:rFonts w:ascii="Times New Roman" w:hAnsi="Times New Roman"/>
                <w:spacing w:val="9"/>
              </w:rPr>
              <w:t>未经复议直接起诉</w:t>
            </w:r>
          </w:p>
        </w:tc>
        <w:tc>
          <w:tcPr>
            <w:tcW w:w="3255" w:type="dxa"/>
            <w:gridSpan w:val="5"/>
            <w:vAlign w:val="top"/>
          </w:tcPr>
          <w:p>
            <w:pPr>
              <w:pStyle w:val="7"/>
              <w:spacing w:before="44" w:line="221" w:lineRule="auto"/>
              <w:ind w:left="1132"/>
              <w:rPr>
                <w:rFonts w:ascii="Times New Roman" w:hAnsi="Times New Roman"/>
              </w:rPr>
            </w:pPr>
            <w:r>
              <w:rPr>
                <w:rFonts w:ascii="Times New Roman" w:hAnsi="Times New Roman"/>
                <w:spacing w:val="7"/>
              </w:rPr>
              <w:t>复议后起诉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653" w:type="dxa"/>
            <w:vMerge w:val="continue"/>
            <w:tcBorders>
              <w:top w:val="nil"/>
            </w:tcBorders>
            <w:vAlign w:val="top"/>
          </w:tcPr>
          <w:p>
            <w:pPr>
              <w:rPr>
                <w:rFonts w:ascii="Times New Roman" w:hAnsi="Times New Roman"/>
                <w:sz w:val="21"/>
              </w:rPr>
            </w:pPr>
          </w:p>
        </w:tc>
        <w:tc>
          <w:tcPr>
            <w:tcW w:w="649" w:type="dxa"/>
            <w:vMerge w:val="continue"/>
            <w:tcBorders>
              <w:top w:val="nil"/>
            </w:tcBorders>
            <w:vAlign w:val="top"/>
          </w:tcPr>
          <w:p>
            <w:pPr>
              <w:rPr>
                <w:rFonts w:ascii="Times New Roman" w:hAnsi="Times New Roman"/>
                <w:sz w:val="21"/>
              </w:rPr>
            </w:pPr>
          </w:p>
        </w:tc>
        <w:tc>
          <w:tcPr>
            <w:tcW w:w="649" w:type="dxa"/>
            <w:vMerge w:val="continue"/>
            <w:tcBorders>
              <w:top w:val="nil"/>
            </w:tcBorders>
            <w:vAlign w:val="top"/>
          </w:tcPr>
          <w:p>
            <w:pPr>
              <w:rPr>
                <w:rFonts w:ascii="Times New Roman" w:hAnsi="Times New Roman"/>
                <w:sz w:val="21"/>
              </w:rPr>
            </w:pPr>
          </w:p>
        </w:tc>
        <w:tc>
          <w:tcPr>
            <w:tcW w:w="649" w:type="dxa"/>
            <w:vMerge w:val="continue"/>
            <w:tcBorders>
              <w:top w:val="nil"/>
            </w:tcBorders>
            <w:vAlign w:val="top"/>
          </w:tcPr>
          <w:p>
            <w:pPr>
              <w:rPr>
                <w:rFonts w:ascii="Times New Roman" w:hAnsi="Times New Roman"/>
                <w:sz w:val="21"/>
              </w:rPr>
            </w:pPr>
          </w:p>
        </w:tc>
        <w:tc>
          <w:tcPr>
            <w:tcW w:w="649" w:type="dxa"/>
            <w:vMerge w:val="continue"/>
            <w:tcBorders>
              <w:top w:val="nil"/>
            </w:tcBorders>
            <w:vAlign w:val="top"/>
          </w:tcPr>
          <w:p>
            <w:pPr>
              <w:rPr>
                <w:rFonts w:ascii="Times New Roman" w:hAnsi="Times New Roman"/>
                <w:sz w:val="21"/>
              </w:rPr>
            </w:pPr>
          </w:p>
        </w:tc>
        <w:tc>
          <w:tcPr>
            <w:tcW w:w="649" w:type="dxa"/>
            <w:vAlign w:val="top"/>
          </w:tcPr>
          <w:p>
            <w:pPr>
              <w:pStyle w:val="7"/>
              <w:spacing w:before="44" w:line="242" w:lineRule="auto"/>
              <w:ind w:left="123" w:right="126" w:hanging="1"/>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6"/>
              </w:rPr>
              <w:t>维持</w:t>
            </w:r>
          </w:p>
        </w:tc>
        <w:tc>
          <w:tcPr>
            <w:tcW w:w="649" w:type="dxa"/>
            <w:vAlign w:val="top"/>
          </w:tcPr>
          <w:p>
            <w:pPr>
              <w:pStyle w:val="7"/>
              <w:spacing w:before="44" w:line="242" w:lineRule="auto"/>
              <w:ind w:left="130" w:right="125" w:hanging="6"/>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3"/>
              </w:rPr>
              <w:t>纠正</w:t>
            </w:r>
          </w:p>
        </w:tc>
        <w:tc>
          <w:tcPr>
            <w:tcW w:w="650" w:type="dxa"/>
            <w:vAlign w:val="top"/>
          </w:tcPr>
          <w:p>
            <w:pPr>
              <w:pStyle w:val="7"/>
              <w:spacing w:before="44" w:line="242" w:lineRule="auto"/>
              <w:ind w:left="124" w:right="125"/>
              <w:rPr>
                <w:rFonts w:ascii="Times New Roman" w:hAnsi="Times New Roman"/>
              </w:rPr>
            </w:pPr>
            <w:r>
              <w:rPr>
                <w:rFonts w:ascii="Times New Roman" w:hAnsi="Times New Roman"/>
                <w:spacing w:val="7"/>
              </w:rPr>
              <w:t>其他</w:t>
            </w:r>
            <w:r>
              <w:rPr>
                <w:rFonts w:ascii="Times New Roman" w:hAnsi="Times New Roman"/>
              </w:rPr>
              <w:t xml:space="preserve"> </w:t>
            </w:r>
            <w:r>
              <w:rPr>
                <w:rFonts w:ascii="Times New Roman" w:hAnsi="Times New Roman"/>
                <w:spacing w:val="7"/>
              </w:rPr>
              <w:t>结果</w:t>
            </w:r>
          </w:p>
        </w:tc>
        <w:tc>
          <w:tcPr>
            <w:tcW w:w="650" w:type="dxa"/>
            <w:vAlign w:val="top"/>
          </w:tcPr>
          <w:p>
            <w:pPr>
              <w:pStyle w:val="7"/>
              <w:spacing w:before="44" w:line="242" w:lineRule="auto"/>
              <w:ind w:left="129" w:right="127" w:firstLine="16"/>
              <w:rPr>
                <w:rFonts w:ascii="Times New Roman" w:hAnsi="Times New Roman"/>
              </w:rPr>
            </w:pPr>
            <w:r>
              <w:rPr>
                <w:rFonts w:ascii="Times New Roman" w:hAnsi="Times New Roman"/>
                <w:spacing w:val="-4"/>
              </w:rPr>
              <w:t>尚未</w:t>
            </w:r>
            <w:r>
              <w:rPr>
                <w:rFonts w:ascii="Times New Roman" w:hAnsi="Times New Roman"/>
              </w:rPr>
              <w:t xml:space="preserve"> </w:t>
            </w:r>
            <w:r>
              <w:rPr>
                <w:rFonts w:ascii="Times New Roman" w:hAnsi="Times New Roman"/>
                <w:spacing w:val="4"/>
              </w:rPr>
              <w:t>审结</w:t>
            </w:r>
          </w:p>
        </w:tc>
        <w:tc>
          <w:tcPr>
            <w:tcW w:w="650" w:type="dxa"/>
            <w:vAlign w:val="top"/>
          </w:tcPr>
          <w:p>
            <w:pPr>
              <w:pStyle w:val="7"/>
              <w:spacing w:before="201" w:line="286" w:lineRule="exact"/>
              <w:ind w:left="131"/>
              <w:rPr>
                <w:rFonts w:ascii="Times New Roman" w:hAnsi="Times New Roman"/>
              </w:rPr>
            </w:pPr>
            <w:r>
              <w:rPr>
                <w:rFonts w:ascii="Times New Roman" w:hAnsi="Times New Roman"/>
                <w:spacing w:val="3"/>
                <w:position w:val="2"/>
              </w:rPr>
              <w:t>总计</w:t>
            </w:r>
          </w:p>
        </w:tc>
        <w:tc>
          <w:tcPr>
            <w:tcW w:w="650" w:type="dxa"/>
            <w:vAlign w:val="top"/>
          </w:tcPr>
          <w:p>
            <w:pPr>
              <w:pStyle w:val="7"/>
              <w:spacing w:before="44" w:line="242" w:lineRule="auto"/>
              <w:ind w:left="125" w:right="126" w:hanging="1"/>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6"/>
              </w:rPr>
              <w:t>维持</w:t>
            </w:r>
          </w:p>
        </w:tc>
        <w:tc>
          <w:tcPr>
            <w:tcW w:w="650" w:type="dxa"/>
            <w:vAlign w:val="top"/>
          </w:tcPr>
          <w:p>
            <w:pPr>
              <w:pStyle w:val="7"/>
              <w:spacing w:before="44" w:line="242" w:lineRule="auto"/>
              <w:ind w:left="130" w:right="125" w:hanging="6"/>
              <w:rPr>
                <w:rFonts w:ascii="Times New Roman" w:hAnsi="Times New Roman"/>
              </w:rPr>
            </w:pPr>
            <w:r>
              <w:rPr>
                <w:rFonts w:ascii="Times New Roman" w:hAnsi="Times New Roman"/>
                <w:spacing w:val="7"/>
              </w:rPr>
              <w:t>结果</w:t>
            </w:r>
            <w:r>
              <w:rPr>
                <w:rFonts w:ascii="Times New Roman" w:hAnsi="Times New Roman"/>
              </w:rPr>
              <w:t xml:space="preserve"> </w:t>
            </w:r>
            <w:r>
              <w:rPr>
                <w:rFonts w:ascii="Times New Roman" w:hAnsi="Times New Roman"/>
                <w:spacing w:val="3"/>
              </w:rPr>
              <w:t>纠正</w:t>
            </w:r>
          </w:p>
        </w:tc>
        <w:tc>
          <w:tcPr>
            <w:tcW w:w="650" w:type="dxa"/>
            <w:vAlign w:val="top"/>
          </w:tcPr>
          <w:p>
            <w:pPr>
              <w:pStyle w:val="7"/>
              <w:spacing w:before="44" w:line="242" w:lineRule="auto"/>
              <w:ind w:left="126" w:right="123"/>
              <w:rPr>
                <w:rFonts w:ascii="Times New Roman" w:hAnsi="Times New Roman"/>
              </w:rPr>
            </w:pPr>
            <w:r>
              <w:rPr>
                <w:rFonts w:ascii="Times New Roman" w:hAnsi="Times New Roman"/>
                <w:spacing w:val="7"/>
              </w:rPr>
              <w:t>其他</w:t>
            </w:r>
            <w:r>
              <w:rPr>
                <w:rFonts w:ascii="Times New Roman" w:hAnsi="Times New Roman"/>
              </w:rPr>
              <w:t xml:space="preserve"> </w:t>
            </w:r>
            <w:r>
              <w:rPr>
                <w:rFonts w:ascii="Times New Roman" w:hAnsi="Times New Roman"/>
                <w:spacing w:val="7"/>
              </w:rPr>
              <w:t>结果</w:t>
            </w:r>
          </w:p>
        </w:tc>
        <w:tc>
          <w:tcPr>
            <w:tcW w:w="650" w:type="dxa"/>
            <w:vAlign w:val="top"/>
          </w:tcPr>
          <w:p>
            <w:pPr>
              <w:pStyle w:val="7"/>
              <w:spacing w:before="44" w:line="242" w:lineRule="auto"/>
              <w:ind w:left="133" w:right="122" w:firstLine="16"/>
              <w:rPr>
                <w:rFonts w:ascii="Times New Roman" w:hAnsi="Times New Roman"/>
              </w:rPr>
            </w:pPr>
            <w:r>
              <w:rPr>
                <w:rFonts w:ascii="Times New Roman" w:hAnsi="Times New Roman"/>
                <w:spacing w:val="-4"/>
              </w:rPr>
              <w:t>尚未</w:t>
            </w:r>
            <w:r>
              <w:rPr>
                <w:rFonts w:ascii="Times New Roman" w:hAnsi="Times New Roman"/>
              </w:rPr>
              <w:t xml:space="preserve"> </w:t>
            </w:r>
            <w:r>
              <w:rPr>
                <w:rFonts w:ascii="Times New Roman" w:hAnsi="Times New Roman"/>
                <w:spacing w:val="4"/>
              </w:rPr>
              <w:t>审结</w:t>
            </w:r>
          </w:p>
        </w:tc>
        <w:tc>
          <w:tcPr>
            <w:tcW w:w="655" w:type="dxa"/>
            <w:vAlign w:val="top"/>
          </w:tcPr>
          <w:p>
            <w:pPr>
              <w:pStyle w:val="7"/>
              <w:spacing w:before="201" w:line="286" w:lineRule="exact"/>
              <w:ind w:left="136"/>
              <w:rPr>
                <w:rFonts w:ascii="Times New Roman" w:hAnsi="Times New Roman"/>
              </w:rPr>
            </w:pPr>
            <w:r>
              <w:rPr>
                <w:rFonts w:ascii="Times New Roman" w:hAnsi="Times New Roman"/>
                <w:spacing w:val="3"/>
                <w:position w:val="2"/>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653"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49"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0"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c>
          <w:tcPr>
            <w:tcW w:w="655" w:type="dxa"/>
            <w:vAlign w:val="center"/>
          </w:tcPr>
          <w:p>
            <w:pPr>
              <w:widowControl/>
              <w:jc w:val="center"/>
              <w:rPr>
                <w:rFonts w:hint="eastAsia" w:ascii="Times New Roman" w:hAnsi="Times New Roman" w:eastAsia="宋体" w:cs="Times New Roman"/>
                <w:color w:val="000000"/>
                <w:sz w:val="21"/>
                <w:szCs w:val="22"/>
                <w:lang w:val="en-US" w:eastAsia="zh-CN"/>
              </w:rPr>
            </w:pPr>
            <w:r>
              <w:rPr>
                <w:rFonts w:hint="eastAsia" w:ascii="Times New Roman" w:hAnsi="Times New Roman" w:eastAsia="宋体" w:cs="Times New Roman"/>
                <w:color w:val="000000"/>
                <w:sz w:val="21"/>
                <w:szCs w:val="22"/>
                <w:lang w:val="en-US" w:eastAsia="zh-CN"/>
              </w:rPr>
              <w:t>0</w:t>
            </w:r>
          </w:p>
        </w:tc>
      </w:tr>
    </w:tbl>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right="0" w:firstLine="644" w:firstLineChars="200"/>
        <w:textAlignment w:val="baseline"/>
        <w:rPr>
          <w:rFonts w:hint="eastAsia" w:ascii="Times New Roman" w:hAnsi="Times New Roman" w:eastAsia="方正仿宋_GBK" w:cs="方正仿宋_GBK"/>
          <w:kern w:val="0"/>
          <w:sz w:val="32"/>
          <w:szCs w:val="32"/>
          <w:lang w:val="en-US" w:eastAsia="zh-CN"/>
        </w:rPr>
      </w:pPr>
      <w:r>
        <w:rPr>
          <w:rFonts w:ascii="Times New Roman" w:hAnsi="Times New Roman" w:eastAsia="方正黑体_GBK" w:cs="方正黑体_GBK"/>
          <w:spacing w:val="6"/>
        </w:rPr>
        <w:t>五、存在的主要问题及改进情况</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both"/>
        <w:textAlignment w:val="auto"/>
        <w:rPr>
          <w:rFonts w:hint="eastAsia" w:ascii="Times New Roman" w:hAnsi="Times New Roman" w:eastAsia="方正仿宋_GBK"/>
          <w:color w:val="000000"/>
          <w:kern w:val="0"/>
          <w:sz w:val="32"/>
          <w:szCs w:val="32"/>
          <w:highlight w:val="none"/>
          <w:lang w:val="en-US" w:eastAsia="zh-CN"/>
        </w:rPr>
      </w:pPr>
      <w:r>
        <w:rPr>
          <w:rFonts w:hint="eastAsia" w:ascii="Times New Roman" w:hAnsi="Times New Roman" w:eastAsia="方正仿宋_GBK" w:cs="方正仿宋_GBK"/>
          <w:kern w:val="0"/>
          <w:sz w:val="32"/>
          <w:szCs w:val="32"/>
          <w:highlight w:val="none"/>
          <w:lang w:val="en-US" w:eastAsia="zh-CN"/>
        </w:rPr>
        <w:t>2025年，我街道稳步推进政府信息公开各项工作，但对照工作要求仍存在短板弱项。以下将主要问题及后续改进措施汇报如下：</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2" w:firstLineChars="200"/>
        <w:jc w:val="both"/>
        <w:textAlignment w:val="auto"/>
        <w:rPr>
          <w:rFonts w:hint="eastAsia" w:ascii="Times New Roman" w:hAnsi="Times New Roman" w:eastAsia="方正仿宋_GBK"/>
          <w:color w:val="000000"/>
          <w:kern w:val="0"/>
          <w:sz w:val="32"/>
          <w:szCs w:val="32"/>
          <w:lang w:val="en-US" w:eastAsia="zh-CN"/>
        </w:rPr>
      </w:pPr>
      <w:r>
        <w:rPr>
          <w:rFonts w:hint="eastAsia" w:ascii="Times New Roman" w:hAnsi="Times New Roman" w:eastAsia="方正仿宋_GBK" w:cs="方正仿宋_GBK"/>
          <w:b/>
          <w:bCs/>
          <w:kern w:val="0"/>
          <w:sz w:val="32"/>
          <w:szCs w:val="32"/>
          <w:lang w:val="en-US" w:eastAsia="zh-CN"/>
        </w:rPr>
        <w:t>一是</w:t>
      </w:r>
      <w:r>
        <w:rPr>
          <w:rFonts w:hint="eastAsia" w:ascii="Times New Roman" w:hAnsi="Times New Roman" w:eastAsia="方正仿宋_GBK" w:cs="方正仿宋_GBK"/>
          <w:kern w:val="0"/>
          <w:sz w:val="32"/>
          <w:szCs w:val="32"/>
          <w:lang w:val="en-US" w:eastAsia="zh-CN"/>
        </w:rPr>
        <w:t>部分信息公开存在更新不及时、偶尔滞后的情况；</w:t>
      </w:r>
      <w:r>
        <w:rPr>
          <w:rFonts w:hint="eastAsia" w:ascii="Times New Roman" w:hAnsi="Times New Roman" w:eastAsia="方正仿宋_GBK" w:cs="方正仿宋_GBK"/>
          <w:b/>
          <w:bCs/>
          <w:kern w:val="0"/>
          <w:sz w:val="32"/>
          <w:szCs w:val="32"/>
          <w:lang w:val="en-US" w:eastAsia="zh-CN"/>
        </w:rPr>
        <w:t>二是</w:t>
      </w:r>
      <w:r>
        <w:rPr>
          <w:rFonts w:hint="eastAsia" w:ascii="Times New Roman" w:hAnsi="Times New Roman" w:eastAsia="方正仿宋_GBK" w:cs="方正仿宋_GBK"/>
          <w:kern w:val="0"/>
          <w:sz w:val="32"/>
          <w:szCs w:val="32"/>
          <w:lang w:val="en-US" w:eastAsia="zh-CN"/>
        </w:rPr>
        <w:t>信息公开前的复核校验不够细致，偶有文字表述冗余、标点符号使用不规范的问题。针对上述问题，在下一步工作中，我街道将扎实整改、有序推进，持续提升信息公开工作质效。</w:t>
      </w:r>
      <w:r>
        <w:rPr>
          <w:rFonts w:hint="eastAsia" w:ascii="Times New Roman" w:hAnsi="Times New Roman" w:eastAsia="方正仿宋_GBK" w:cs="方正仿宋_GBK"/>
          <w:b/>
          <w:bCs/>
          <w:kern w:val="0"/>
          <w:sz w:val="32"/>
          <w:szCs w:val="32"/>
          <w:lang w:val="en-US" w:eastAsia="zh-CN"/>
        </w:rPr>
        <w:t>一是</w:t>
      </w:r>
      <w:r>
        <w:rPr>
          <w:rFonts w:hint="eastAsia" w:ascii="Times New Roman" w:hAnsi="Times New Roman" w:eastAsia="方正仿宋_GBK" w:cs="方正仿宋_GBK"/>
          <w:kern w:val="0"/>
          <w:sz w:val="32"/>
          <w:szCs w:val="32"/>
          <w:lang w:val="en-US" w:eastAsia="zh-CN"/>
        </w:rPr>
        <w:t>强化工作统筹衔接，结合日常工作节奏细化信息公开节点要求，建立常态化提醒机制，督促相关岗位及时提供信息，减少更新滞后情况；</w:t>
      </w:r>
      <w:r>
        <w:rPr>
          <w:rFonts w:hint="eastAsia" w:ascii="Times New Roman" w:hAnsi="Times New Roman" w:eastAsia="方正仿宋_GBK" w:cs="方正仿宋_GBK"/>
          <w:b/>
          <w:bCs/>
          <w:kern w:val="0"/>
          <w:sz w:val="32"/>
          <w:szCs w:val="32"/>
          <w:lang w:val="en-US" w:eastAsia="zh-CN"/>
        </w:rPr>
        <w:t>二是</w:t>
      </w:r>
      <w:r>
        <w:rPr>
          <w:rFonts w:hint="eastAsia" w:ascii="Times New Roman" w:hAnsi="Times New Roman" w:eastAsia="方正仿宋_GBK" w:cs="方正仿宋_GBK"/>
          <w:kern w:val="0"/>
          <w:sz w:val="32"/>
          <w:szCs w:val="32"/>
          <w:lang w:val="en-US" w:eastAsia="zh-CN"/>
        </w:rPr>
        <w:t>健全信息复核机制，明确信息发布前“撰稿人自校+专人复核”双流程，重点校验文字表述、标点使用等细节，切实提升信息公开精准度。</w:t>
      </w:r>
    </w:p>
    <w:p>
      <w:pPr>
        <w:keepNext w:val="0"/>
        <w:keepLines w:val="0"/>
        <w:pageBreakBefore w:val="0"/>
        <w:widowControl w:val="0"/>
        <w:kinsoku/>
        <w:wordWrap/>
        <w:overflowPunct w:val="0"/>
        <w:topLinePunct w:val="0"/>
        <w:autoSpaceDE/>
        <w:autoSpaceDN/>
        <w:bidi w:val="0"/>
        <w:adjustRightInd/>
        <w:snapToGrid/>
        <w:spacing w:line="578" w:lineRule="exact"/>
        <w:ind w:right="0" w:firstLine="640" w:firstLineChars="200"/>
        <w:textAlignment w:val="auto"/>
        <w:rPr>
          <w:rFonts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rPr>
        <w:t>六、其他需要报告的事项</w:t>
      </w: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无其他需报告的事项。</w:t>
      </w:r>
    </w:p>
    <w:p>
      <w:pPr>
        <w:keepNext w:val="0"/>
        <w:keepLines w:val="0"/>
        <w:pageBreakBefore w:val="0"/>
        <w:widowControl w:val="0"/>
        <w:kinsoku/>
        <w:wordWrap/>
        <w:overflowPunct/>
        <w:topLinePunct w:val="0"/>
        <w:autoSpaceDE w:val="0"/>
        <w:autoSpaceDN w:val="0"/>
        <w:bidi w:val="0"/>
        <w:adjustRightInd w:val="0"/>
        <w:snapToGrid/>
        <w:spacing w:line="578" w:lineRule="exact"/>
        <w:ind w:right="0"/>
        <w:jc w:val="left"/>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topLinePunct w:val="0"/>
        <w:autoSpaceDE/>
        <w:autoSpaceDN/>
        <w:bidi w:val="0"/>
        <w:adjustRightInd/>
        <w:snapToGrid/>
        <w:spacing w:line="578" w:lineRule="exact"/>
        <w:jc w:val="center"/>
        <w:textAlignment w:val="auto"/>
        <w:rPr>
          <w:rFonts w:hint="eastAsia" w:ascii="Times New Roman" w:hAnsi="Times New Roman" w:eastAsia="方正仿宋_GBK" w:cs="HiddenHorzOCR"/>
          <w:snapToGrid/>
          <w:color w:val="000000"/>
          <w:kern w:val="0"/>
          <w:sz w:val="32"/>
          <w:szCs w:val="32"/>
          <w:lang w:val="en-US" w:eastAsia="zh-CN"/>
        </w:rPr>
      </w:pPr>
      <w:r>
        <w:rPr>
          <w:rFonts w:hint="eastAsia" w:ascii="Times New Roman" w:hAnsi="Times New Roman" w:eastAsia="方正仿宋_GBK" w:cs="HiddenHorzOCR"/>
          <w:snapToGrid/>
          <w:color w:val="000000"/>
          <w:kern w:val="0"/>
          <w:sz w:val="32"/>
          <w:szCs w:val="32"/>
          <w:lang w:val="en-US" w:eastAsia="zh-CN"/>
        </w:rPr>
        <w:t xml:space="preserve">                                                       云阳县人和街道办事处</w:t>
      </w:r>
    </w:p>
    <w:p>
      <w:pPr>
        <w:keepNext w:val="0"/>
        <w:keepLines w:val="0"/>
        <w:pageBreakBefore w:val="0"/>
        <w:widowControl w:val="0"/>
        <w:kinsoku/>
        <w:wordWrap/>
        <w:topLinePunct w:val="0"/>
        <w:autoSpaceDE/>
        <w:autoSpaceDN/>
        <w:bidi w:val="0"/>
        <w:adjustRightInd/>
        <w:snapToGrid/>
        <w:spacing w:line="578" w:lineRule="exact"/>
        <w:ind w:firstLine="5760" w:firstLineChars="1800"/>
        <w:jc w:val="both"/>
        <w:textAlignment w:val="auto"/>
        <w:rPr>
          <w:rFonts w:hint="default" w:ascii="Times New Roman" w:hAnsi="Times New Roman" w:eastAsia="方正仿宋_GBK" w:cs="HiddenHorzOCR"/>
          <w:snapToGrid/>
          <w:color w:val="000000"/>
          <w:kern w:val="0"/>
          <w:sz w:val="32"/>
          <w:szCs w:val="32"/>
          <w:lang w:val="en-US" w:eastAsia="zh-CN"/>
        </w:rPr>
      </w:pPr>
      <w:r>
        <w:rPr>
          <w:rFonts w:hint="eastAsia" w:ascii="Times New Roman" w:hAnsi="Times New Roman" w:eastAsia="方正仿宋_GBK" w:cs="HiddenHorzOCR"/>
          <w:snapToGrid/>
          <w:color w:val="000000"/>
          <w:kern w:val="0"/>
          <w:sz w:val="32"/>
          <w:szCs w:val="32"/>
          <w:lang w:val="en-US" w:eastAsia="zh-CN"/>
        </w:rPr>
        <w:t>2026年1月16日</w:t>
      </w:r>
    </w:p>
    <w:p>
      <w:pPr>
        <w:spacing w:line="578" w:lineRule="exact"/>
        <w:rPr>
          <w:rFonts w:hint="eastAsia" w:ascii="Times New Roman" w:hAnsi="Times New Roman" w:eastAsia="方正仿宋_GBK" w:cs="HiddenHorzOCR"/>
          <w:color w:val="000000"/>
          <w:kern w:val="0"/>
          <w:sz w:val="32"/>
          <w:szCs w:val="32"/>
        </w:rPr>
      </w:pPr>
    </w:p>
    <w:p>
      <w:pPr>
        <w:spacing w:line="578" w:lineRule="exact"/>
        <w:rPr>
          <w:rFonts w:hint="eastAsia" w:ascii="Times New Roman" w:hAnsi="Times New Roman" w:eastAsia="方正仿宋_GBK" w:cs="HiddenHorzOCR"/>
          <w:snapToGrid/>
          <w:color w:val="000000"/>
          <w:kern w:val="0"/>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578" w:lineRule="exact"/>
        <w:ind w:right="0" w:firstLine="640" w:firstLineChars="200"/>
        <w:jc w:val="left"/>
        <w:textAlignment w:val="auto"/>
        <w:rPr>
          <w:rFonts w:hint="eastAsia" w:ascii="Times New Roman" w:hAnsi="Times New Roman" w:eastAsia="方正仿宋_GBK" w:cs="方正仿宋_GBK"/>
          <w:kern w:val="0"/>
          <w:sz w:val="32"/>
          <w:szCs w:val="32"/>
        </w:rPr>
      </w:pPr>
    </w:p>
    <w:sectPr>
      <w:pgSz w:w="11906" w:h="16839"/>
      <w:pgMar w:top="2098" w:right="1531" w:bottom="1984" w:left="1531" w:header="850" w:footer="147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HiddenHorzOCR">
    <w:altName w:val="方正书宋_GBK"/>
    <w:panose1 w:val="00000000000000000000"/>
    <w:charset w:val="80"/>
    <w:family w:val="auto"/>
    <w:pitch w:val="default"/>
    <w:sig w:usb0="00000000" w:usb1="00000000" w:usb2="00000010" w:usb3="00000000" w:csb0="0002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E5D3C"/>
    <w:multiLevelType w:val="singleLevel"/>
    <w:tmpl w:val="489E5D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040618"/>
    <w:rsid w:val="06EC048E"/>
    <w:rsid w:val="078825AB"/>
    <w:rsid w:val="07ED2710"/>
    <w:rsid w:val="0C2D3A23"/>
    <w:rsid w:val="0C41302A"/>
    <w:rsid w:val="0D870F11"/>
    <w:rsid w:val="12170AB5"/>
    <w:rsid w:val="14DB5560"/>
    <w:rsid w:val="18644328"/>
    <w:rsid w:val="1E71154D"/>
    <w:rsid w:val="20EA55E7"/>
    <w:rsid w:val="256F255E"/>
    <w:rsid w:val="26105AEF"/>
    <w:rsid w:val="28F96D0F"/>
    <w:rsid w:val="2CB76CC5"/>
    <w:rsid w:val="2D820CC8"/>
    <w:rsid w:val="2E2F5B1F"/>
    <w:rsid w:val="32AB72CC"/>
    <w:rsid w:val="34390A78"/>
    <w:rsid w:val="38B215FD"/>
    <w:rsid w:val="39F5707E"/>
    <w:rsid w:val="3AA82343"/>
    <w:rsid w:val="3AF64E5C"/>
    <w:rsid w:val="3BA40D5C"/>
    <w:rsid w:val="40963817"/>
    <w:rsid w:val="418C2076"/>
    <w:rsid w:val="42D27F5D"/>
    <w:rsid w:val="466C06C8"/>
    <w:rsid w:val="47DC187E"/>
    <w:rsid w:val="48360F8E"/>
    <w:rsid w:val="484F3DFE"/>
    <w:rsid w:val="486107C3"/>
    <w:rsid w:val="4B1A0571"/>
    <w:rsid w:val="4BED5D39"/>
    <w:rsid w:val="52A03BD4"/>
    <w:rsid w:val="56446F6C"/>
    <w:rsid w:val="574D00A2"/>
    <w:rsid w:val="57CD4D3F"/>
    <w:rsid w:val="58226E39"/>
    <w:rsid w:val="59103135"/>
    <w:rsid w:val="59140E77"/>
    <w:rsid w:val="5BB4249E"/>
    <w:rsid w:val="5DFB43B4"/>
    <w:rsid w:val="5F887EC9"/>
    <w:rsid w:val="610619ED"/>
    <w:rsid w:val="647749B0"/>
    <w:rsid w:val="66B5531C"/>
    <w:rsid w:val="67204E8B"/>
    <w:rsid w:val="677E1BB2"/>
    <w:rsid w:val="67FB3202"/>
    <w:rsid w:val="68E66742"/>
    <w:rsid w:val="69931944"/>
    <w:rsid w:val="6A06480C"/>
    <w:rsid w:val="6B7B4D86"/>
    <w:rsid w:val="6C304E63"/>
    <w:rsid w:val="6CC60283"/>
    <w:rsid w:val="71E865E8"/>
    <w:rsid w:val="745443C6"/>
    <w:rsid w:val="75273889"/>
    <w:rsid w:val="78C31B1A"/>
    <w:rsid w:val="78F87A16"/>
    <w:rsid w:val="796B01E8"/>
    <w:rsid w:val="7B62386D"/>
    <w:rsid w:val="7F1430D0"/>
    <w:rsid w:val="9EF7C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方正书宋_GBK" w:hAnsi="方正书宋_GBK" w:eastAsia="方正书宋_GBK" w:cs="方正书宋_GBK"/>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2222</Words>
  <Characters>2289</Characters>
  <TotalTime>210</TotalTime>
  <ScaleCrop>false</ScaleCrop>
  <LinksUpToDate>false</LinksUpToDate>
  <CharactersWithSpaces>2301</CharactersWithSpaces>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2025-01-06T18:42:00Z</dcterms:created>
  <dc:creator>TZ</dc:creator>
  <cp:lastModifiedBy>uos</cp:lastModifiedBy>
  <cp:lastPrinted>2026-01-16T11:36:00Z</cp:lastPrinted>
  <dcterms:modified xsi:type="dcterms:W3CDTF">2026-01-19T11:26:31Z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2025-01-15T10:49:48Z</vt:filetime>
  </property>
  <property fmtid="{D5CDD505-2E9C-101B-9397-08002B2CF9AE}" pid="4" name="KSOTemplateDocerSaveRecord">
    <vt:lpwstr>eyJoZGlkIjoiZjZlMzFmYzlkY2MzMWU1MTE5YmZmNzM2Nzk5NDdiMmMiLCJ1c2VySWQiOiIzNzgwODY0NjQifQ==</vt:lpwstr>
  </property>
  <property fmtid="{D5CDD505-2E9C-101B-9397-08002B2CF9AE}" pid="5" name="KSOProductBuildVer">
    <vt:lpwstr>2052-12.8.2.1113</vt:lpwstr>
  </property>
  <property fmtid="{D5CDD505-2E9C-101B-9397-08002B2CF9AE}" pid="6" name="ICV">
    <vt:lpwstr>72E40FFFCEF14390B405A6F15A61EA6A_13</vt:lpwstr>
  </property>
</Properties>
</file>