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Times New Roman" w:hAnsi="Times New Roman" w:eastAsia="方正小标宋_GBK" w:cs="HiddenHorzOCR"/>
          <w:kern w:val="0"/>
          <w:sz w:val="44"/>
          <w:szCs w:val="44"/>
          <w:lang w:val="en-US" w:eastAsia="zh-CN"/>
        </w:rPr>
      </w:pPr>
      <w:r>
        <w:rPr>
          <w:rFonts w:hint="eastAsia" w:ascii="Times New Roman" w:hAnsi="Times New Roman" w:eastAsia="方正小标宋_GBK" w:cs="HiddenHorzOCR"/>
          <w:kern w:val="0"/>
          <w:sz w:val="44"/>
          <w:szCs w:val="44"/>
          <w:lang w:val="en-US" w:eastAsia="zh-CN"/>
        </w:rPr>
        <w:t>云阳县人和街道办事处</w:t>
      </w:r>
    </w:p>
    <w:p>
      <w:pPr>
        <w:keepNext w:val="0"/>
        <w:keepLines w:val="0"/>
        <w:pageBreakBefore w:val="0"/>
        <w:widowControl w:val="0"/>
        <w:kinsoku/>
        <w:wordWrap/>
        <w:overflowPunct/>
        <w:topLinePunct w:val="0"/>
        <w:bidi w:val="0"/>
        <w:snapToGrid/>
        <w:spacing w:line="720" w:lineRule="exact"/>
        <w:ind w:firstLine="880" w:firstLineChars="200"/>
        <w:textAlignment w:val="auto"/>
        <w:rPr>
          <w:rFonts w:hint="eastAsia" w:ascii="Times New Roman" w:hAnsi="Times New Roman" w:eastAsia="方正小标宋_GBK" w:cs="HiddenHorzOCR"/>
          <w:kern w:val="0"/>
          <w:sz w:val="44"/>
          <w:szCs w:val="44"/>
        </w:rPr>
      </w:pPr>
      <w:r>
        <w:rPr>
          <w:rFonts w:hint="eastAsia" w:ascii="Times New Roman" w:hAnsi="Times New Roman" w:eastAsia="方正小标宋_GBK" w:cs="HiddenHorzOCR"/>
          <w:kern w:val="0"/>
          <w:sz w:val="44"/>
          <w:szCs w:val="44"/>
          <w:lang w:val="en-US" w:eastAsia="zh-CN"/>
        </w:rPr>
        <w:t>2023年</w:t>
      </w:r>
      <w:r>
        <w:rPr>
          <w:rFonts w:hint="eastAsia" w:ascii="Times New Roman" w:hAnsi="Times New Roman" w:eastAsia="方正小标宋_GBK" w:cs="HiddenHorzOCR"/>
          <w:kern w:val="0"/>
          <w:sz w:val="44"/>
          <w:szCs w:val="44"/>
        </w:rPr>
        <w:t>政府信息公开工作年度报告</w:t>
      </w:r>
    </w:p>
    <w:p>
      <w:pPr>
        <w:pageBreakBefore w:val="0"/>
        <w:kinsoku/>
        <w:wordWrap/>
        <w:overflowPunct w:val="0"/>
        <w:topLinePunct w:val="0"/>
        <w:autoSpaceDE w:val="0"/>
        <w:autoSpaceDN w:val="0"/>
        <w:bidi w:val="0"/>
        <w:adjustRightInd w:val="0"/>
        <w:snapToGrid/>
        <w:spacing w:line="578" w:lineRule="exact"/>
        <w:jc w:val="center"/>
        <w:textAlignment w:val="auto"/>
        <w:rPr>
          <w:rFonts w:hint="eastAsia" w:ascii="Times New Roman" w:hAnsi="Times New Roman" w:eastAsia="方正小标宋_GBK" w:cs="HiddenHorzOCR"/>
          <w:kern w:val="0"/>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方正小标宋_GBK" w:cs="HiddenHorzOCR"/>
          <w:kern w:val="0"/>
          <w:sz w:val="44"/>
          <w:szCs w:val="44"/>
        </w:rPr>
      </w:pPr>
      <w:r>
        <w:rPr>
          <w:rFonts w:hint="eastAsia" w:ascii="Times New Roman" w:hAnsi="Times New Roman" w:eastAsia="方正仿宋_GBK" w:cs="方正仿宋_GBK"/>
          <w:kern w:val="0"/>
          <w:sz w:val="32"/>
          <w:szCs w:val="32"/>
          <w:lang w:val="en-US" w:eastAsia="zh-CN"/>
        </w:rPr>
        <w:t>按照</w:t>
      </w:r>
      <w:r>
        <w:rPr>
          <w:rFonts w:hint="eastAsia" w:ascii="Times New Roman" w:hAnsi="Times New Roman" w:eastAsia="方正仿宋_GBK" w:cs="方正仿宋_GBK"/>
          <w:kern w:val="0"/>
          <w:sz w:val="32"/>
          <w:szCs w:val="32"/>
        </w:rPr>
        <w:t>《</w:t>
      </w:r>
      <w:r>
        <w:rPr>
          <w:rFonts w:hint="eastAsia" w:ascii="Times New Roman" w:hAnsi="Times New Roman" w:eastAsia="方正仿宋_GBK" w:cs="Times New Roman"/>
          <w:sz w:val="32"/>
          <w:szCs w:val="32"/>
        </w:rPr>
        <w:t>云阳县人民政府办公室关于做好202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年政府信息公开工作年度报告有关工作的通知</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Times New Roman"/>
          <w:sz w:val="32"/>
          <w:szCs w:val="32"/>
        </w:rPr>
        <w:t>云阳府办工作通知〔2024〕2号</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微软雅黑"/>
          <w:kern w:val="0"/>
          <w:sz w:val="32"/>
          <w:szCs w:val="32"/>
        </w:rPr>
        <w:t>《</w:t>
      </w:r>
      <w:r>
        <w:rPr>
          <w:rFonts w:hint="eastAsia" w:ascii="Times New Roman" w:hAnsi="Times New Roman" w:eastAsia="方正仿宋_GBK" w:cs="Times New Roman"/>
          <w:sz w:val="32"/>
          <w:szCs w:val="32"/>
        </w:rPr>
        <w:t>政府信息公开工作年度报告编制指南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2023年版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kern w:val="0"/>
          <w:sz w:val="32"/>
          <w:szCs w:val="32"/>
        </w:rPr>
        <w:t>要求，</w:t>
      </w:r>
      <w:r>
        <w:rPr>
          <w:rFonts w:hint="eastAsia" w:ascii="Times New Roman" w:hAnsi="Times New Roman" w:eastAsia="方正仿宋_GBK" w:cs="Times New Roman"/>
          <w:sz w:val="32"/>
          <w:szCs w:val="32"/>
          <w:lang w:val="en-US" w:eastAsia="zh-CN"/>
        </w:rPr>
        <w:t>实事求是编写2023年政府信息公开工作年度报告。</w:t>
      </w:r>
      <w:r>
        <w:rPr>
          <w:rFonts w:hint="eastAsia" w:ascii="方正仿宋_GBK" w:eastAsia="方正仿宋_GBK"/>
          <w:color w:val="000000"/>
          <w:sz w:val="32"/>
          <w:szCs w:val="32"/>
        </w:rPr>
        <w:t>本年度报告由总体情况，主动公开政府信息情况，收到和处理政府信息公开申请情况，政府信息公开行政复议和行政诉讼情况，政府信息公开工作存在的主要问题及改进情况，其他需要报告的事项六部分组成。本年度报告中所列数据的统计期限自</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023</w:t>
      </w:r>
      <w:r>
        <w:rPr>
          <w:rFonts w:hint="eastAsia" w:ascii="方正仿宋_GBK" w:eastAsia="方正仿宋_GBK"/>
          <w:color w:val="000000"/>
          <w:sz w:val="32"/>
          <w:szCs w:val="32"/>
        </w:rPr>
        <w:t>年</w:t>
      </w:r>
      <w:r>
        <w:rPr>
          <w:rFonts w:hint="eastAsia" w:ascii="Times New Roman" w:hAnsi="Times New Roman" w:eastAsia="方正仿宋_GBK" w:cs="Times New Roman"/>
          <w:sz w:val="32"/>
          <w:szCs w:val="32"/>
        </w:rPr>
        <w:t>1</w:t>
      </w:r>
      <w:r>
        <w:rPr>
          <w:rFonts w:hint="eastAsia" w:ascii="方正仿宋_GBK" w:eastAsia="方正仿宋_GBK"/>
          <w:color w:val="000000"/>
          <w:sz w:val="32"/>
          <w:szCs w:val="32"/>
        </w:rPr>
        <w:t>月</w:t>
      </w:r>
      <w:r>
        <w:rPr>
          <w:rFonts w:hint="eastAsia" w:ascii="Times New Roman" w:hAnsi="Times New Roman" w:eastAsia="方正仿宋_GBK" w:cs="Times New Roman"/>
          <w:sz w:val="32"/>
          <w:szCs w:val="32"/>
        </w:rPr>
        <w:t>1</w:t>
      </w:r>
      <w:r>
        <w:rPr>
          <w:rFonts w:hint="eastAsia" w:ascii="方正仿宋_GBK" w:eastAsia="方正仿宋_GBK"/>
          <w:color w:val="000000"/>
          <w:sz w:val="32"/>
          <w:szCs w:val="32"/>
        </w:rPr>
        <w:t>日起至</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023</w:t>
      </w:r>
      <w:r>
        <w:rPr>
          <w:rFonts w:hint="eastAsia" w:ascii="方正仿宋_GBK" w:eastAsia="方正仿宋_GBK"/>
          <w:color w:val="000000"/>
          <w:sz w:val="32"/>
          <w:szCs w:val="32"/>
        </w:rPr>
        <w:t>年</w:t>
      </w:r>
      <w:r>
        <w:rPr>
          <w:rFonts w:hint="eastAsia" w:ascii="Times New Roman" w:hAnsi="Times New Roman" w:eastAsia="方正仿宋_GBK" w:cs="Times New Roman"/>
          <w:sz w:val="32"/>
          <w:szCs w:val="32"/>
        </w:rPr>
        <w:t>12</w:t>
      </w:r>
      <w:r>
        <w:rPr>
          <w:rFonts w:hint="eastAsia" w:ascii="方正仿宋_GBK" w:eastAsia="方正仿宋_GBK"/>
          <w:color w:val="000000"/>
          <w:sz w:val="32"/>
          <w:szCs w:val="32"/>
        </w:rPr>
        <w:t>月</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rPr>
        <w:t>1</w:t>
      </w:r>
      <w:r>
        <w:rPr>
          <w:rFonts w:hint="eastAsia" w:ascii="方正仿宋_GBK" w:eastAsia="方正仿宋_GBK"/>
          <w:color w:val="000000"/>
          <w:sz w:val="32"/>
          <w:szCs w:val="32"/>
        </w:rPr>
        <w:t>日止。</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总体情况</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olor w:val="000000"/>
          <w:sz w:val="32"/>
          <w:szCs w:val="32"/>
          <w:lang w:val="en-US" w:eastAsia="zh-CN"/>
        </w:rPr>
        <w:t>2023年，按照</w:t>
      </w:r>
      <w:r>
        <w:rPr>
          <w:rFonts w:hint="eastAsia" w:ascii="Times New Roman" w:hAnsi="Times New Roman" w:eastAsia="方正仿宋_GBK"/>
          <w:color w:val="000000"/>
          <w:sz w:val="32"/>
          <w:szCs w:val="32"/>
        </w:rPr>
        <w:t>《中华人民共和国政府信息公开条例》</w:t>
      </w:r>
      <w:r>
        <w:rPr>
          <w:rFonts w:hint="eastAsia" w:ascii="Times New Roman" w:hAnsi="Times New Roman" w:eastAsia="方正仿宋_GBK"/>
          <w:color w:val="000000"/>
          <w:sz w:val="32"/>
          <w:szCs w:val="32"/>
          <w:lang w:eastAsia="zh-CN"/>
        </w:rPr>
        <w:t>（</w:t>
      </w:r>
      <w:r>
        <w:rPr>
          <w:rFonts w:hint="eastAsia" w:ascii="方正仿宋_GBK" w:eastAsia="方正仿宋_GBK"/>
          <w:color w:val="000000"/>
          <w:sz w:val="32"/>
          <w:szCs w:val="32"/>
        </w:rPr>
        <w:t>国务院令第711号</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lang w:val="en-US" w:eastAsia="zh-CN"/>
        </w:rPr>
        <w:t>要求，</w:t>
      </w:r>
      <w:r>
        <w:rPr>
          <w:rFonts w:hint="eastAsia" w:ascii="Times New Roman" w:hAnsi="Times New Roman" w:eastAsia="方正仿宋_GBK" w:cs="方正仿宋_GBK"/>
          <w:kern w:val="0"/>
          <w:sz w:val="32"/>
          <w:szCs w:val="32"/>
          <w:lang w:val="en-US" w:eastAsia="zh-CN"/>
        </w:rPr>
        <w:t>人和</w:t>
      </w:r>
      <w:r>
        <w:rPr>
          <w:rFonts w:hint="eastAsia" w:ascii="Times New Roman" w:hAnsi="Times New Roman" w:eastAsia="方正仿宋_GBK" w:cs="方正仿宋_GBK"/>
          <w:kern w:val="0"/>
          <w:sz w:val="32"/>
          <w:szCs w:val="32"/>
        </w:rPr>
        <w:t>街道积极贯彻落实，切实加大政府信息公开工作力度，有效提高政府信息公开水平，扎实推进政府信息公开工作</w:t>
      </w:r>
      <w:r>
        <w:rPr>
          <w:rFonts w:hint="eastAsia" w:ascii="Times New Roman" w:hAnsi="Times New Roman" w:eastAsia="方正仿宋_GBK" w:cs="方正仿宋_GBK"/>
          <w:kern w:val="0"/>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主动公开</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kern w:val="0"/>
          <w:sz w:val="32"/>
          <w:szCs w:val="32"/>
        </w:rPr>
        <w:t>年，遵循“公开为原则，不公开为例外”的原则，</w:t>
      </w:r>
      <w:r>
        <w:rPr>
          <w:rFonts w:hint="eastAsia" w:ascii="方正仿宋_GBK" w:hAnsi="方正仿宋_GBK" w:eastAsia="方正仿宋_GBK" w:cs="方正仿宋_GBK"/>
          <w:kern w:val="0"/>
          <w:sz w:val="32"/>
          <w:szCs w:val="32"/>
          <w:lang w:val="en-US" w:eastAsia="zh-CN"/>
        </w:rPr>
        <w:t>截止</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kern w:val="0"/>
          <w:sz w:val="32"/>
          <w:szCs w:val="32"/>
          <w:lang w:val="en-US" w:eastAsia="zh-CN"/>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kern w:val="0"/>
          <w:sz w:val="32"/>
          <w:szCs w:val="32"/>
          <w:lang w:val="en-US" w:eastAsia="zh-CN"/>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kern w:val="0"/>
          <w:sz w:val="32"/>
          <w:szCs w:val="32"/>
          <w:lang w:val="en-US" w:eastAsia="zh-CN"/>
        </w:rPr>
        <w:t>日，</w:t>
      </w:r>
      <w:r>
        <w:rPr>
          <w:rFonts w:hint="eastAsia" w:ascii="方正仿宋_GBK" w:hAnsi="方正仿宋_GBK" w:eastAsia="方正仿宋_GBK" w:cs="方正仿宋_GBK"/>
          <w:kern w:val="0"/>
          <w:sz w:val="32"/>
          <w:szCs w:val="32"/>
        </w:rPr>
        <w:t>我街道在云阳县人民政府公众信息网发布政务信息公开及各类工作动态共</w:t>
      </w:r>
      <w:r>
        <w:rPr>
          <w:rFonts w:hint="eastAsia" w:ascii="Times New Roman" w:hAnsi="Times New Roman" w:eastAsia="方正仿宋_GBK" w:cs="Times New Roman"/>
          <w:sz w:val="32"/>
          <w:szCs w:val="32"/>
          <w:lang w:val="en-US" w:eastAsia="zh-CN"/>
        </w:rPr>
        <w:t>33</w:t>
      </w:r>
      <w:r>
        <w:rPr>
          <w:rFonts w:hint="eastAsia"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其中包括：</w:t>
      </w:r>
      <w:r>
        <w:rPr>
          <w:rFonts w:hint="eastAsia" w:ascii="方正仿宋_GBK" w:hAnsi="方正仿宋_GBK" w:eastAsia="方正仿宋_GBK" w:cs="方正仿宋_GBK"/>
          <w:kern w:val="0"/>
          <w:sz w:val="32"/>
          <w:szCs w:val="32"/>
          <w:lang w:val="en-US" w:eastAsia="zh-CN"/>
        </w:rPr>
        <w:t>动态</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kern w:val="0"/>
          <w:sz w:val="32"/>
          <w:szCs w:val="32"/>
          <w:lang w:val="en-US" w:eastAsia="zh-CN"/>
        </w:rPr>
        <w:t>条</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政府信息公开指南</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lang w:val="en-US" w:eastAsia="zh-CN"/>
        </w:rPr>
        <w:t>政策文件</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lang w:val="en-US" w:eastAsia="zh-CN"/>
        </w:rPr>
        <w:t>机构职能</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kern w:val="0"/>
          <w:sz w:val="32"/>
          <w:szCs w:val="32"/>
          <w:lang w:val="en-US" w:eastAsia="zh-CN"/>
        </w:rPr>
        <w:t>条</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预决算</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kern w:val="0"/>
          <w:sz w:val="32"/>
          <w:szCs w:val="32"/>
          <w:lang w:val="en-US" w:eastAsia="zh-CN"/>
        </w:rPr>
        <w:t>条，法治政府建设年度报告</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kern w:val="0"/>
          <w:sz w:val="32"/>
          <w:szCs w:val="32"/>
          <w:lang w:val="en-US" w:eastAsia="zh-CN"/>
        </w:rPr>
        <w:t>条，政府信息公开报告</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kern w:val="0"/>
          <w:sz w:val="32"/>
          <w:szCs w:val="32"/>
          <w:lang w:val="en-US" w:eastAsia="zh-CN"/>
        </w:rPr>
        <w:t>条，乡镇（街道）名片</w:t>
      </w:r>
      <w:r>
        <w:rPr>
          <w:rFonts w:hint="eastAsia" w:ascii="Times New Roman" w:hAnsi="Times New Roman" w:eastAsia="方正仿宋_GBK" w:cs="Times New Roman"/>
          <w:sz w:val="32"/>
          <w:szCs w:val="32"/>
          <w:lang w:val="en-US" w:eastAsia="zh-CN"/>
        </w:rPr>
        <w:t>1条</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（二）依申请公开</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年未收到政府信息公开申请。</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（三）政府信息管理</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严格按照《中华人民共和国政府信息公开条例》规定，要求相应分管领导对所公开事项内容进行审核签字，再由主要领导签字把关，确保公开内容的合法性、准确性、严肃性，确保公开范围、形式、时限、程序的规范。</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四</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rPr>
        <w:t>平台建设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坚持“主要领导亲自抓、分管领导具体抓、职能办公室抓落实”的工作机制。成立了由街道办事处主任任组长、分管领导任副组长的领导小组，全面负责政府信息公开工作，并落实专人负责信息公开材料的收集、发布、归档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楷体_GBK" w:cs="方正楷体_GBK"/>
          <w:kern w:val="0"/>
          <w:sz w:val="32"/>
          <w:szCs w:val="32"/>
          <w:lang w:val="en-US" w:eastAsia="zh-CN"/>
        </w:rPr>
        <w:t>（五）</w:t>
      </w:r>
      <w:r>
        <w:rPr>
          <w:rFonts w:hint="eastAsia" w:ascii="Times New Roman" w:hAnsi="Times New Roman" w:eastAsia="方正楷体_GBK" w:cs="方正楷体_GBK"/>
          <w:kern w:val="0"/>
          <w:sz w:val="32"/>
          <w:szCs w:val="32"/>
        </w:rPr>
        <w:t>监督保障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年我街道在信息公开网站上公布投诉举报电话，在机关设立投诉举报信箱，有效推进群众监督和舆论监督。202</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年未收到信息公开工作相关的投诉举报。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二、主动公开政府信息情况</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本年制发件数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本年废止件数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规章</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行政规范性文件</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val="en-US"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bookmarkStart w:id="0" w:name="_GoBack"/>
            <w:r>
              <w:rPr>
                <w:rFonts w:hint="eastAsia" w:ascii="Times New Roman" w:hAnsi="Times New Roman" w:eastAsia="宋体" w:cs="Times New Roman"/>
                <w:sz w:val="21"/>
                <w:szCs w:val="22"/>
                <w:lang w:val="en-US" w:eastAsia="zh-CN"/>
              </w:rPr>
              <w:t>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行政许可</w:t>
            </w:r>
          </w:p>
        </w:tc>
        <w:tc>
          <w:tcPr>
            <w:tcW w:w="7305" w:type="dxa"/>
            <w:gridSpan w:val="3"/>
            <w:shd w:val="clear" w:color="auto" w:fill="FFFFFF"/>
            <w:noWrap w:val="0"/>
            <w:tcMar>
              <w:left w:w="57" w:type="dxa"/>
              <w:right w:w="57" w:type="dxa"/>
            </w:tcMar>
            <w:vAlign w:val="center"/>
          </w:tcPr>
          <w:p>
            <w:pPr>
              <w:widowControl/>
              <w:jc w:val="center"/>
              <w:rPr>
                <w:rFonts w:hint="default" w:ascii="Times New Roman" w:hAnsi="Times New Roman" w:eastAsia="等线" w:cs="Times New Roman"/>
                <w:sz w:val="21"/>
                <w:szCs w:val="22"/>
                <w:lang w:val="en-US" w:eastAsia="zh-CN"/>
              </w:rPr>
            </w:pPr>
            <w:r>
              <w:rPr>
                <w:rFonts w:hint="eastAsia" w:ascii="Times New Roman" w:hAnsi="Times New Roman"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行政处罚</w:t>
            </w:r>
          </w:p>
        </w:tc>
        <w:tc>
          <w:tcPr>
            <w:tcW w:w="7305" w:type="dxa"/>
            <w:gridSpan w:val="3"/>
            <w:shd w:val="clear" w:color="auto" w:fill="FFFFFF"/>
            <w:noWrap w:val="0"/>
            <w:tcMar>
              <w:left w:w="57" w:type="dxa"/>
              <w:right w:w="57" w:type="dxa"/>
            </w:tcMar>
            <w:vAlign w:val="center"/>
          </w:tcPr>
          <w:p>
            <w:pPr>
              <w:widowControl/>
              <w:jc w:val="center"/>
              <w:rPr>
                <w:rFonts w:hint="eastAsia" w:ascii="Times New Roman" w:hAnsi="Times New Roman" w:eastAsia="等线" w:cs="Times New Roman"/>
                <w:sz w:val="21"/>
                <w:szCs w:val="22"/>
                <w:lang w:val="en-US" w:eastAsia="zh-CN"/>
              </w:rPr>
            </w:pPr>
            <w:r>
              <w:rPr>
                <w:rFonts w:hint="eastAsia" w:ascii="Times New Roman" w:hAnsi="Times New Roman"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行政强制</w:t>
            </w:r>
          </w:p>
        </w:tc>
        <w:tc>
          <w:tcPr>
            <w:tcW w:w="7305" w:type="dxa"/>
            <w:gridSpan w:val="3"/>
            <w:shd w:val="clear" w:color="auto" w:fill="FFFFFF"/>
            <w:noWrap w:val="0"/>
            <w:tcMar>
              <w:left w:w="57" w:type="dxa"/>
              <w:right w:w="57" w:type="dxa"/>
            </w:tcMar>
            <w:vAlign w:val="center"/>
          </w:tcPr>
          <w:p>
            <w:pPr>
              <w:widowControl/>
              <w:jc w:val="center"/>
              <w:rPr>
                <w:rFonts w:hint="default"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行政事业性收费</w:t>
            </w:r>
          </w:p>
        </w:tc>
        <w:tc>
          <w:tcPr>
            <w:tcW w:w="7305" w:type="dxa"/>
            <w:gridSpan w:val="3"/>
            <w:shd w:val="clear" w:color="auto" w:fill="FFFFFF"/>
            <w:noWrap w:val="0"/>
            <w:tcMar>
              <w:left w:w="57" w:type="dxa"/>
              <w:right w:w="57" w:type="dxa"/>
            </w:tcMar>
            <w:vAlign w:val="center"/>
          </w:tcPr>
          <w:p>
            <w:pPr>
              <w:jc w:val="center"/>
              <w:rPr>
                <w:rFonts w:hint="eastAsia" w:ascii="Times New Roman" w:hAnsi="Times New Roman" w:eastAsia="等线" w:cs="Times New Roman"/>
                <w:sz w:val="24"/>
                <w:szCs w:val="24"/>
                <w:lang w:val="en-US" w:eastAsia="zh-CN"/>
              </w:rPr>
            </w:pPr>
            <w:r>
              <w:rPr>
                <w:rFonts w:hint="eastAsia" w:ascii="Times New Roman" w:hAnsi="Times New Roman" w:cs="Times New Roman"/>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三、收到和处理政府信息公开申请情况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vMerge w:val="restart"/>
            <w:noWrap w:val="0"/>
            <w:tcMar>
              <w:left w:w="108" w:type="dxa"/>
              <w:right w:w="108" w:type="dxa"/>
            </w:tcMar>
            <w:vAlign w:val="center"/>
          </w:tcPr>
          <w:p>
            <w:pPr>
              <w:widowControl/>
              <w:jc w:val="left"/>
              <w:rPr>
                <w:rFonts w:ascii="Times New Roman" w:hAnsi="Times New Roman" w:eastAsia="等线" w:cs="Times New Roman"/>
                <w:color w:val="000000"/>
                <w:sz w:val="21"/>
                <w:szCs w:val="22"/>
              </w:rPr>
            </w:pPr>
            <w:r>
              <w:rPr>
                <w:rFonts w:ascii="Times New Roman" w:hAnsi="Times New Roman" w:eastAsia="楷体" w:cs="楷体"/>
                <w:color w:val="000000"/>
                <w:kern w:val="0"/>
                <w:sz w:val="20"/>
                <w:szCs w:val="22"/>
                <w:lang w:bidi="ar"/>
              </w:rPr>
              <w:t>（本列数据的勾稽关系为：第一项加第二项之和，等于第三项加第四项之和）</w:t>
            </w:r>
          </w:p>
        </w:tc>
        <w:tc>
          <w:tcPr>
            <w:tcW w:w="4998" w:type="dxa"/>
            <w:gridSpan w:val="7"/>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714"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自然人</w:t>
            </w:r>
          </w:p>
        </w:tc>
        <w:tc>
          <w:tcPr>
            <w:tcW w:w="3570" w:type="dxa"/>
            <w:gridSpan w:val="5"/>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法人或其他组织</w:t>
            </w:r>
          </w:p>
        </w:tc>
        <w:tc>
          <w:tcPr>
            <w:tcW w:w="714"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714"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商业</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企业</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科研</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机构</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社会公益组织</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法律服务机构</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p>
        </w:tc>
        <w:tc>
          <w:tcPr>
            <w:tcW w:w="714"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一、本年新收政府信息公开申请数量</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二、上年结转政府信息公开申请数量</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三、本年度办理结果</w:t>
            </w: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（一）予以公开</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（二）部分公开</w:t>
            </w:r>
            <w:r>
              <w:rPr>
                <w:rFonts w:ascii="Times New Roman" w:hAnsi="Times New Roman" w:eastAsia="楷体" w:cs="楷体"/>
                <w:color w:val="000000"/>
                <w:kern w:val="0"/>
                <w:sz w:val="20"/>
                <w:szCs w:val="22"/>
                <w:lang w:bidi="ar"/>
              </w:rPr>
              <w:t>（区分处理的，只计这一情形，不计其他情形）</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（三）不予公开</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default"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属于国家秘密</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其他法律行政法规禁止公开</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危及“三安全一稳定”</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保护第三方合法权益</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属于三类内部事务信息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6.</w:t>
            </w:r>
            <w:r>
              <w:rPr>
                <w:rFonts w:hint="eastAsia" w:ascii="Times New Roman" w:hAnsi="Times New Roman" w:eastAsia="宋体" w:cs="宋体"/>
                <w:color w:val="000000"/>
                <w:kern w:val="0"/>
                <w:sz w:val="20"/>
                <w:szCs w:val="22"/>
                <w:lang w:bidi="ar"/>
              </w:rPr>
              <w:t>属于四类过程性信息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7.</w:t>
            </w:r>
            <w:r>
              <w:rPr>
                <w:rFonts w:hint="eastAsia" w:ascii="Times New Roman" w:hAnsi="Times New Roman" w:eastAsia="宋体" w:cs="宋体"/>
                <w:color w:val="000000"/>
                <w:kern w:val="0"/>
                <w:sz w:val="20"/>
                <w:szCs w:val="22"/>
                <w:lang w:bidi="ar"/>
              </w:rPr>
              <w:t>属于行政执法案卷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8.</w:t>
            </w:r>
            <w:r>
              <w:rPr>
                <w:rFonts w:hint="eastAsia" w:ascii="Times New Roman" w:hAnsi="Times New Roman" w:eastAsia="宋体" w:cs="宋体"/>
                <w:color w:val="000000"/>
                <w:kern w:val="0"/>
                <w:sz w:val="20"/>
                <w:szCs w:val="22"/>
                <w:lang w:bidi="ar"/>
              </w:rPr>
              <w:t>属于行政查询事项</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（四）无法提供</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本机关不掌握相关政府信息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没有现成信息需要另行制作</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补正后申请内容仍不明确</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（五）不予处理</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信访举报投诉类申请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重复申请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要求提供公开出版物</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无正当理由大量反复申请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要求行政机关确认或重新出具已获取信息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（六）其他处理</w:t>
            </w: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申请人无正当理由逾期不补正、行政机关不再处理其政府信息公开申请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申请人逾期未按收费通知要求缴纳费用、行政机关不再处理其政府信息公开申请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其他</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（七）总计</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四、结转下年度继续办理</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top"/>
          </w:tcPr>
          <w:p>
            <w:pPr>
              <w:jc w:val="center"/>
              <w:rPr>
                <w:rFonts w:hint="eastAsia" w:ascii="Times New Roman" w:hAnsi="Times New Roman" w:eastAsia="等线"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21"/>
          <w:szCs w:val="32"/>
        </w:rPr>
      </w:pPr>
      <w:r>
        <w:rPr>
          <w:rFonts w:hint="eastAsia" w:ascii="Times New Roman" w:hAnsi="Times New Roman" w:eastAsia="方正黑体_GBK" w:cs="方正黑体_GBK"/>
          <w:color w:val="000000"/>
          <w:sz w:val="32"/>
          <w:szCs w:val="32"/>
        </w:rPr>
        <w:t>四、政府信息公开行政复议、行政诉讼情况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10"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行政复议</w:t>
            </w:r>
          </w:p>
        </w:tc>
        <w:tc>
          <w:tcPr>
            <w:tcW w:w="6428" w:type="dxa"/>
            <w:gridSpan w:val="10"/>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结果维持</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3213"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未经复议直接起诉</w:t>
            </w:r>
          </w:p>
        </w:tc>
        <w:tc>
          <w:tcPr>
            <w:tcW w:w="3215"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42"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default" w:ascii="Times New Roman" w:hAnsi="Times New Roman" w:eastAsia="黑体" w:cs="Times New Roman"/>
                <w:color w:val="000000"/>
                <w:sz w:val="21"/>
                <w:szCs w:val="22"/>
                <w:lang w:val="en-US" w:eastAsia="zh-CN"/>
              </w:rPr>
            </w:pPr>
            <w:r>
              <w:rPr>
                <w:rFonts w:hint="eastAsia" w:ascii="Times New Roman" w:hAnsi="Times New Roman" w:eastAsia="黑体" w:cs="Times New Roman"/>
                <w:color w:val="000000"/>
                <w:sz w:val="21"/>
                <w:szCs w:val="22"/>
                <w:lang w:val="en-US" w:eastAsia="zh-CN"/>
              </w:rPr>
              <w:t>0</w:t>
            </w:r>
          </w:p>
        </w:tc>
        <w:tc>
          <w:tcPr>
            <w:tcW w:w="643" w:type="dxa"/>
            <w:noWrap w:val="0"/>
            <w:tcMar>
              <w:left w:w="108" w:type="dxa"/>
              <w:right w:w="108" w:type="dxa"/>
            </w:tcMar>
            <w:vAlign w:val="center"/>
          </w:tcPr>
          <w:p>
            <w:pPr>
              <w:jc w:val="center"/>
              <w:rPr>
                <w:rFonts w:hint="eastAsia" w:ascii="Times New Roman" w:hAnsi="Times New Roman" w:eastAsia="等线"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等线" w:cs="Times New Roman"/>
          <w:color w:val="000000"/>
          <w:sz w:val="32"/>
          <w:szCs w:val="32"/>
        </w:rPr>
      </w:pPr>
      <w:r>
        <w:rPr>
          <w:rFonts w:hint="eastAsia" w:ascii="Times New Roman" w:hAnsi="Times New Roman" w:eastAsia="方正黑体_GBK" w:cs="方正黑体_GBK"/>
          <w:color w:val="000000"/>
          <w:sz w:val="32"/>
          <w:szCs w:val="32"/>
        </w:rPr>
        <w:t>五、存在的主要问题及改进情况</w:t>
      </w:r>
    </w:p>
    <w:p>
      <w:pPr>
        <w:keepNext w:val="0"/>
        <w:keepLines w:val="0"/>
        <w:pageBreakBefore w:val="0"/>
        <w:widowControl w:val="0"/>
        <w:kinsoku/>
        <w:wordWrap/>
        <w:overflowPunct/>
        <w:topLinePunct w:val="0"/>
        <w:autoSpaceDE w:val="0"/>
        <w:autoSpaceDN w:val="0"/>
        <w:bidi w:val="0"/>
        <w:adjustRightInd w:val="0"/>
        <w:snapToGrid/>
        <w:spacing w:line="578" w:lineRule="exact"/>
        <w:ind w:right="48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存在的主要问题：</w:t>
      </w:r>
      <w:r>
        <w:rPr>
          <w:rFonts w:hint="eastAsia" w:ascii="Times New Roman" w:hAnsi="Times New Roman" w:eastAsia="方正仿宋_GBK" w:cs="方正仿宋_GBK"/>
          <w:b/>
          <w:bCs/>
          <w:kern w:val="0"/>
          <w:sz w:val="32"/>
          <w:szCs w:val="32"/>
        </w:rPr>
        <w:t>一是</w:t>
      </w:r>
      <w:r>
        <w:rPr>
          <w:rFonts w:hint="eastAsia" w:ascii="Times New Roman" w:hAnsi="Times New Roman" w:eastAsia="方正仿宋_GBK" w:cs="方正仿宋_GBK"/>
          <w:kern w:val="0"/>
          <w:sz w:val="32"/>
          <w:szCs w:val="32"/>
        </w:rPr>
        <w:t>机关各</w:t>
      </w:r>
      <w:r>
        <w:rPr>
          <w:rFonts w:hint="eastAsia" w:ascii="Times New Roman" w:hAnsi="Times New Roman" w:eastAsia="方正仿宋_GBK" w:cs="方正仿宋_GBK"/>
          <w:kern w:val="0"/>
          <w:sz w:val="32"/>
          <w:szCs w:val="32"/>
          <w:lang w:val="en-US" w:eastAsia="zh-CN"/>
        </w:rPr>
        <w:t>岗位</w:t>
      </w:r>
      <w:r>
        <w:rPr>
          <w:rFonts w:hint="eastAsia" w:ascii="Times New Roman" w:hAnsi="Times New Roman" w:eastAsia="方正仿宋_GBK" w:cs="方正仿宋_GBK"/>
          <w:kern w:val="0"/>
          <w:sz w:val="32"/>
          <w:szCs w:val="32"/>
        </w:rPr>
        <w:t>政务公开的责任意识</w:t>
      </w:r>
      <w:r>
        <w:rPr>
          <w:rFonts w:hint="eastAsia" w:ascii="Times New Roman" w:hAnsi="Times New Roman" w:eastAsia="方正仿宋_GBK" w:cs="方正仿宋_GBK"/>
          <w:kern w:val="0"/>
          <w:sz w:val="32"/>
          <w:szCs w:val="32"/>
          <w:lang w:val="en-US" w:eastAsia="zh-CN"/>
        </w:rPr>
        <w:t>薄弱，导致</w:t>
      </w:r>
      <w:r>
        <w:rPr>
          <w:rFonts w:ascii="Times New Roman" w:hAnsi="Times New Roman" w:eastAsia="方正仿宋_GBK"/>
          <w:color w:val="000000"/>
          <w:kern w:val="0"/>
          <w:sz w:val="32"/>
          <w:szCs w:val="32"/>
        </w:rPr>
        <w:t>公开内容不具体，</w:t>
      </w:r>
      <w:r>
        <w:rPr>
          <w:rFonts w:hint="eastAsia" w:ascii="Times New Roman" w:hAnsi="Times New Roman" w:eastAsia="方正仿宋_GBK"/>
          <w:color w:val="000000"/>
          <w:kern w:val="0"/>
          <w:sz w:val="32"/>
          <w:szCs w:val="32"/>
          <w:lang w:val="en-US" w:eastAsia="zh-CN"/>
        </w:rPr>
        <w:t>重点不突出</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b/>
          <w:bCs/>
          <w:kern w:val="0"/>
          <w:sz w:val="32"/>
          <w:szCs w:val="32"/>
          <w:lang w:val="en-US" w:eastAsia="zh-CN"/>
        </w:rPr>
        <w:t>二是</w:t>
      </w:r>
      <w:r>
        <w:rPr>
          <w:rFonts w:ascii="Times New Roman" w:hAnsi="Times New Roman" w:eastAsia="方正仿宋_GBK"/>
          <w:color w:val="000000"/>
          <w:kern w:val="0"/>
          <w:sz w:val="32"/>
          <w:szCs w:val="32"/>
        </w:rPr>
        <w:t>政府信息公开工作的力度还不够</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olor w:val="000000"/>
          <w:kern w:val="0"/>
          <w:sz w:val="32"/>
          <w:szCs w:val="32"/>
          <w:lang w:val="en-US" w:eastAsia="zh-CN"/>
        </w:rPr>
        <w:t>信息更新还不够及时高效；</w:t>
      </w:r>
      <w:r>
        <w:rPr>
          <w:rFonts w:hint="eastAsia" w:ascii="Times New Roman" w:hAnsi="Times New Roman" w:eastAsia="方正仿宋_GBK"/>
          <w:b/>
          <w:bCs/>
          <w:color w:val="000000"/>
          <w:kern w:val="0"/>
          <w:sz w:val="32"/>
          <w:szCs w:val="32"/>
          <w:lang w:val="en-US" w:eastAsia="zh-CN"/>
        </w:rPr>
        <w:t>三</w:t>
      </w:r>
      <w:r>
        <w:rPr>
          <w:rFonts w:hint="eastAsia" w:ascii="Times New Roman" w:hAnsi="Times New Roman" w:eastAsia="方正仿宋_GBK" w:cs="方正仿宋_GBK"/>
          <w:b/>
          <w:bCs/>
          <w:kern w:val="0"/>
          <w:sz w:val="32"/>
          <w:szCs w:val="32"/>
        </w:rPr>
        <w:t>是</w:t>
      </w:r>
      <w:r>
        <w:rPr>
          <w:rFonts w:hint="eastAsia" w:ascii="Times New Roman" w:hAnsi="Times New Roman" w:eastAsia="方正仿宋_GBK" w:cs="方正仿宋_GBK"/>
          <w:kern w:val="0"/>
          <w:sz w:val="32"/>
          <w:szCs w:val="32"/>
        </w:rPr>
        <w:t>政府信息公开工作</w:t>
      </w:r>
      <w:r>
        <w:rPr>
          <w:rFonts w:hint="eastAsia" w:ascii="Times New Roman" w:hAnsi="Times New Roman" w:eastAsia="方正仿宋_GBK" w:cs="方正仿宋_GBK"/>
          <w:kern w:val="0"/>
          <w:sz w:val="32"/>
          <w:szCs w:val="32"/>
          <w:lang w:val="en-US" w:eastAsia="zh-CN"/>
        </w:rPr>
        <w:t>人员更换频繁</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交接工作匆忙，导致接手人员不熟悉政务公开工作情况</w:t>
      </w:r>
      <w:r>
        <w:rPr>
          <w:rFonts w:hint="eastAsia" w:ascii="Times New Roman" w:hAnsi="Times New Roman" w:eastAsia="方正仿宋_GBK" w:cs="方正仿宋_GBK"/>
          <w:kern w:val="0"/>
          <w:sz w:val="32"/>
          <w:szCs w:val="32"/>
        </w:rPr>
        <w:t>。</w:t>
      </w:r>
    </w:p>
    <w:p>
      <w:pPr>
        <w:autoSpaceDE w:val="0"/>
        <w:autoSpaceDN w:val="0"/>
        <w:adjustRightInd w:val="0"/>
        <w:spacing w:line="578" w:lineRule="exact"/>
        <w:ind w:right="480" w:firstLine="640" w:firstLineChars="200"/>
        <w:jc w:val="left"/>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在下一步工作中</w:t>
      </w:r>
      <w:r>
        <w:rPr>
          <w:rFonts w:hint="eastAsia" w:ascii="Times New Roman" w:hAnsi="Times New Roman" w:eastAsia="方正仿宋_GBK" w:cs="方正仿宋_GBK"/>
          <w:kern w:val="0"/>
          <w:sz w:val="32"/>
          <w:szCs w:val="32"/>
          <w:lang w:eastAsia="zh-CN"/>
        </w:rPr>
        <w:t>，</w:t>
      </w:r>
      <w:r>
        <w:rPr>
          <w:rFonts w:ascii="Times New Roman" w:hAnsi="Times New Roman" w:eastAsia="方正仿宋_GBK"/>
          <w:color w:val="000000"/>
          <w:kern w:val="0"/>
          <w:sz w:val="32"/>
          <w:szCs w:val="32"/>
        </w:rPr>
        <w:t>将继续深入学习贯彻落实《中华人民共和国政府信息公开条例》规定以及上级有关工作部署要求，继续坚持以公开为常态，不公开为例外，结合实际，以公开促落实，以公开促规范，以公开促服务，继续全面深化政府信息公开工作。</w:t>
      </w: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kern w:val="0"/>
          <w:sz w:val="32"/>
          <w:szCs w:val="32"/>
        </w:rPr>
        <w:t>进一步强化机关各</w:t>
      </w:r>
      <w:r>
        <w:rPr>
          <w:rFonts w:hint="eastAsia" w:ascii="Times New Roman" w:hAnsi="Times New Roman" w:eastAsia="方正仿宋_GBK" w:cs="方正仿宋_GBK"/>
          <w:kern w:val="0"/>
          <w:sz w:val="32"/>
          <w:szCs w:val="32"/>
          <w:lang w:val="en-US" w:eastAsia="zh-CN"/>
        </w:rPr>
        <w:t>岗位</w:t>
      </w:r>
      <w:r>
        <w:rPr>
          <w:rFonts w:hint="eastAsia" w:ascii="Times New Roman" w:hAnsi="Times New Roman" w:eastAsia="方正仿宋_GBK" w:cs="方正仿宋_GBK"/>
          <w:kern w:val="0"/>
          <w:sz w:val="32"/>
          <w:szCs w:val="32"/>
        </w:rPr>
        <w:t>政务公开的责任意识，</w:t>
      </w:r>
      <w:r>
        <w:rPr>
          <w:rFonts w:ascii="Times New Roman" w:hAnsi="Times New Roman" w:eastAsia="方正仿宋_GBK"/>
          <w:color w:val="000000"/>
          <w:kern w:val="0"/>
          <w:sz w:val="32"/>
          <w:szCs w:val="32"/>
        </w:rPr>
        <w:t>加强对《中华人民共和国政府信息公开条例》的学习</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s="方正仿宋_GBK"/>
          <w:kern w:val="0"/>
          <w:sz w:val="32"/>
          <w:szCs w:val="32"/>
        </w:rPr>
        <w:t>加强协调配合，充实政府信息公开内容，确保信息及时公开、准确公开。</w:t>
      </w:r>
      <w:r>
        <w:rPr>
          <w:rFonts w:hint="eastAsia" w:ascii="Times New Roman" w:hAnsi="Times New Roman" w:eastAsia="方正仿宋_GBK" w:cs="方正仿宋_GBK"/>
          <w:b/>
          <w:bCs/>
          <w:kern w:val="0"/>
          <w:sz w:val="32"/>
          <w:szCs w:val="32"/>
          <w:lang w:val="en-US" w:eastAsia="zh-CN"/>
        </w:rPr>
        <w:t>二是</w:t>
      </w:r>
      <w:r>
        <w:rPr>
          <w:rFonts w:ascii="Times New Roman" w:hAnsi="Times New Roman" w:eastAsia="方正仿宋_GBK"/>
          <w:color w:val="000000"/>
          <w:kern w:val="0"/>
          <w:sz w:val="32"/>
          <w:szCs w:val="32"/>
        </w:rPr>
        <w:t>健全信息公开制度，进一步规范信息公开行为和具体公开内容，不断提高信息公开质量和效率。</w:t>
      </w:r>
      <w:r>
        <w:rPr>
          <w:rFonts w:hint="eastAsia" w:ascii="Times New Roman" w:hAnsi="Times New Roman" w:eastAsia="方正仿宋_GBK" w:cs="方正仿宋_GBK"/>
          <w:b/>
          <w:bCs/>
          <w:kern w:val="0"/>
          <w:sz w:val="32"/>
          <w:szCs w:val="32"/>
          <w:lang w:val="en-US" w:eastAsia="zh-CN"/>
        </w:rPr>
        <w:t>三是</w:t>
      </w:r>
      <w:r>
        <w:rPr>
          <w:rFonts w:hint="eastAsia" w:ascii="Times New Roman" w:hAnsi="Times New Roman" w:eastAsia="方正仿宋_GBK" w:cs="方正仿宋_GBK"/>
          <w:kern w:val="0"/>
          <w:sz w:val="32"/>
          <w:szCs w:val="32"/>
          <w:lang w:val="en-US" w:eastAsia="zh-CN"/>
        </w:rPr>
        <w:t>明确专人负责</w:t>
      </w:r>
      <w:r>
        <w:rPr>
          <w:rFonts w:hint="eastAsia" w:ascii="Times New Roman" w:hAnsi="Times New Roman" w:eastAsia="方正仿宋_GBK" w:cs="方正仿宋_GBK"/>
          <w:kern w:val="0"/>
          <w:sz w:val="32"/>
          <w:szCs w:val="32"/>
        </w:rPr>
        <w:t>政府信息公开工作</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规范交接工作手续，</w:t>
      </w:r>
      <w:r>
        <w:rPr>
          <w:rFonts w:hint="eastAsia" w:ascii="Times New Roman" w:hAnsi="Times New Roman" w:eastAsia="方正仿宋_GBK" w:cs="方正仿宋_GBK"/>
          <w:kern w:val="0"/>
          <w:sz w:val="32"/>
          <w:szCs w:val="32"/>
        </w:rPr>
        <w:t>推进政府信息公开工作更加及时、更加规范。</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六、其他需要报告的事项</w:t>
      </w:r>
    </w:p>
    <w:p>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无其他需报告的事项。</w:t>
      </w: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640" w:firstLineChars="200"/>
        <w:textAlignment w:val="auto"/>
        <w:rPr>
          <w:rFonts w:hint="eastAsia" w:ascii="Times New Roman" w:hAnsi="Times New Roman" w:eastAsia="方正仿宋_GBK" w:cs="HiddenHorzOCR"/>
          <w:kern w:val="0"/>
          <w:sz w:val="32"/>
          <w:szCs w:val="32"/>
        </w:rPr>
      </w:pPr>
    </w:p>
    <w:p>
      <w:pPr>
        <w:keepNext w:val="0"/>
        <w:keepLines w:val="0"/>
        <w:pageBreakBefore w:val="0"/>
        <w:widowControl w:val="0"/>
        <w:kinsoku/>
        <w:wordWrap/>
        <w:overflowPunct w:val="0"/>
        <w:topLinePunct w:val="0"/>
        <w:bidi w:val="0"/>
        <w:snapToGrid/>
        <w:spacing w:line="578" w:lineRule="exact"/>
        <w:ind w:firstLine="0" w:firstLineChars="0"/>
        <w:textAlignment w:val="auto"/>
        <w:rPr>
          <w:rFonts w:hint="eastAsia" w:ascii="Times New Roman" w:hAnsi="Times New Roman" w:eastAsia="方正仿宋_GBK" w:cs="HiddenHorzOCR"/>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HiddenHorzOCR">
    <w:altName w:val="方正书宋_GBK"/>
    <w:panose1 w:val="00000000000000000000"/>
    <w:charset w:val="80"/>
    <w:family w:val="auto"/>
    <w:pitch w:val="default"/>
    <w:sig w:usb0="00000000" w:usb1="00000000" w:usb2="00000010" w:usb3="00000000" w:csb0="0002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5A9"/>
    <w:multiLevelType w:val="singleLevel"/>
    <w:tmpl w:val="BF6EC5A9"/>
    <w:lvl w:ilvl="0" w:tentative="0">
      <w:start w:val="1"/>
      <w:numFmt w:val="chineseCounting"/>
      <w:suff w:val="nothing"/>
      <w:lvlText w:val="%1、"/>
      <w:lvlJc w:val="left"/>
      <w:rPr>
        <w:rFonts w:hint="eastAsia"/>
      </w:rPr>
    </w:lvl>
  </w:abstractNum>
  <w:abstractNum w:abstractNumId="1">
    <w:nsid w:val="489E5D3C"/>
    <w:multiLevelType w:val="singleLevel"/>
    <w:tmpl w:val="489E5D3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008E263A"/>
    <w:rsid w:val="008E263A"/>
    <w:rsid w:val="114F568E"/>
    <w:rsid w:val="215018EE"/>
    <w:rsid w:val="45D82C46"/>
    <w:rsid w:val="4764152B"/>
    <w:rsid w:val="68F15185"/>
    <w:rsid w:val="6D0A63C2"/>
    <w:rsid w:val="7E9E2E0E"/>
    <w:rsid w:val="F6E3EC62"/>
    <w:rsid w:val="FFFEB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2024-01-18T19:43:00Z</dcterms:created>
  <dc:creator>人和街道</dc:creator>
  <cp:lastModifiedBy>user</cp:lastModifiedBy>
  <cp:lastPrinted>2024-01-19T08:39:00Z</cp:lastPrinted>
  <dcterms:modified xsi:type="dcterms:W3CDTF">2024-01-19T09:42:04Z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E382769BE5C949329C15C89F75DF734D_11</vt:lpwstr>
  </property>
</Properties>
</file>