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云阳县泥溪镇人民政府2023年政府信息公开工作年度报告</w:t>
      </w:r>
    </w:p>
    <w:p>
      <w:pPr>
        <w:spacing w:line="720" w:lineRule="exact"/>
        <w:rPr>
          <w:rFonts w:ascii="方正黑体_GBK" w:eastAsia="方正黑体_GBK"/>
          <w:sz w:val="32"/>
          <w:szCs w:val="32"/>
        </w:rPr>
      </w:pPr>
    </w:p>
    <w:p>
      <w:pPr>
        <w:spacing w:line="578" w:lineRule="exact"/>
        <w:ind w:firstLine="640" w:firstLineChars="200"/>
        <w:rPr>
          <w:rFonts w:ascii="方正小标宋_GBK" w:eastAsia="方正小标宋_GBK"/>
          <w:sz w:val="44"/>
          <w:szCs w:val="44"/>
        </w:rPr>
      </w:pPr>
      <w:r>
        <w:rPr>
          <w:rFonts w:hint="eastAsia" w:ascii="方正黑体_GBK" w:eastAsia="方正黑体_GBK"/>
          <w:sz w:val="32"/>
          <w:szCs w:val="32"/>
        </w:rPr>
        <w:t>一、</w:t>
      </w:r>
      <w:r>
        <w:rPr>
          <w:rFonts w:hint="eastAsia" w:ascii="Times New Roman" w:hAnsi="Times New Roman" w:eastAsia="方正黑体_GBK" w:cs="方正黑体_GBK"/>
          <w:color w:val="000000"/>
          <w:sz w:val="32"/>
          <w:szCs w:val="32"/>
        </w:rPr>
        <w:t>总体情况</w:t>
      </w:r>
    </w:p>
    <w:p>
      <w:pPr>
        <w:widowControl/>
        <w:shd w:val="clear" w:color="auto" w:fill="FFFFFF"/>
        <w:spacing w:line="578" w:lineRule="exact"/>
        <w:ind w:firstLine="760" w:firstLineChars="200"/>
        <w:rPr>
          <w:rFonts w:ascii="Times New Roman" w:hAnsi="Times New Roman" w:eastAsia="方正仿宋_GBK"/>
          <w:color w:val="333333"/>
          <w:kern w:val="0"/>
          <w:sz w:val="32"/>
          <w:szCs w:val="32"/>
        </w:rPr>
      </w:pPr>
      <w:r>
        <w:rPr>
          <w:rFonts w:ascii="Times New Roman" w:hAnsi="Times New Roman" w:eastAsia="方正仿宋_GBK"/>
          <w:spacing w:val="30"/>
          <w:sz w:val="32"/>
          <w:szCs w:val="32"/>
          <w:shd w:val="clear" w:color="auto" w:fill="FFFFFF"/>
        </w:rPr>
        <w:t>2023年</w:t>
      </w:r>
      <w:r>
        <w:rPr>
          <w:rFonts w:hint="eastAsia" w:ascii="方正仿宋_GBK" w:hAnsi="微软雅黑" w:eastAsia="方正仿宋_GBK"/>
          <w:spacing w:val="30"/>
          <w:sz w:val="32"/>
          <w:szCs w:val="32"/>
          <w:shd w:val="clear" w:color="auto" w:fill="FFFFFF"/>
        </w:rPr>
        <w:t>，我镇高度重视信息公开工作，</w:t>
      </w:r>
      <w:r>
        <w:rPr>
          <w:rFonts w:hint="eastAsia" w:ascii="方正仿宋_GBK" w:hAnsi="微软雅黑" w:eastAsia="方正仿宋_GBK"/>
          <w:color w:val="333333"/>
          <w:sz w:val="32"/>
          <w:szCs w:val="32"/>
          <w:shd w:val="clear" w:color="auto" w:fill="FFFFFF"/>
        </w:rPr>
        <w:t>坚持以党的二十大精神为指导，全面落实《中华人民共和国政府信息公开条例》有关要求，</w:t>
      </w:r>
      <w:r>
        <w:rPr>
          <w:rFonts w:hint="eastAsia" w:ascii="方正仿宋_GBK" w:hAnsi="Microsoft YaHei UI" w:eastAsia="方正仿宋_GBK"/>
          <w:spacing w:val="15"/>
          <w:sz w:val="32"/>
          <w:szCs w:val="32"/>
          <w:shd w:val="clear" w:color="auto" w:fill="FFFFFF"/>
        </w:rPr>
        <w:t>始终坚持以“公开为常态，不公开为例外”的要求，</w:t>
      </w:r>
      <w:r>
        <w:rPr>
          <w:rFonts w:hint="eastAsia" w:ascii="方正仿宋_GBK" w:hAnsi="微软雅黑" w:eastAsia="方正仿宋_GBK"/>
          <w:spacing w:val="30"/>
          <w:sz w:val="32"/>
          <w:szCs w:val="32"/>
          <w:shd w:val="clear" w:color="auto" w:fill="FFFFFF"/>
        </w:rPr>
        <w:t>积极、有序推进</w:t>
      </w:r>
      <w:r>
        <w:rPr>
          <w:rFonts w:hint="eastAsia" w:ascii="方正仿宋_GBK" w:hAnsi="Microsoft YaHei UI" w:eastAsia="方正仿宋_GBK"/>
          <w:spacing w:val="15"/>
          <w:sz w:val="32"/>
          <w:szCs w:val="32"/>
          <w:shd w:val="clear" w:color="auto" w:fill="FFFFFF"/>
        </w:rPr>
        <w:t>政府信息公开各项工作。</w:t>
      </w:r>
      <w:r>
        <w:rPr>
          <w:rFonts w:hint="eastAsia" w:ascii="方正仿宋_GBK" w:hAnsi="Times New Roman" w:eastAsia="方正仿宋_GBK"/>
          <w:color w:val="333333"/>
          <w:kern w:val="0"/>
          <w:sz w:val="32"/>
          <w:szCs w:val="32"/>
        </w:rPr>
        <w:t>按照《云阳县人民政府办公室关于做</w:t>
      </w:r>
      <w:r>
        <w:rPr>
          <w:rFonts w:ascii="Times New Roman" w:hAnsi="Times New Roman" w:eastAsia="方正仿宋_GBK"/>
          <w:color w:val="333333"/>
          <w:kern w:val="0"/>
          <w:sz w:val="32"/>
          <w:szCs w:val="32"/>
        </w:rPr>
        <w:t>好2023年政府信息公开工作年度报告有关工作的通知》（云阳府办工作通知〔2024〕2号）文件要求，编制了《云阳县泥溪镇人民政府2023年政府信息公开工作年度报告》。本报告中所列数据的统计期限自2023年1月1日起至2023年12月31日止。</w:t>
      </w:r>
    </w:p>
    <w:p>
      <w:pPr>
        <w:pStyle w:val="9"/>
        <w:widowControl/>
        <w:shd w:val="clear" w:color="auto" w:fill="FFFFFF"/>
        <w:spacing w:line="578" w:lineRule="exact"/>
        <w:ind w:firstLine="640"/>
        <w:rPr>
          <w:rFonts w:ascii="方正楷体_GBK" w:hAnsi="Times New Roman" w:eastAsia="方正楷体_GBK"/>
          <w:color w:val="333333"/>
          <w:kern w:val="0"/>
          <w:sz w:val="32"/>
          <w:szCs w:val="32"/>
        </w:rPr>
      </w:pPr>
      <w:r>
        <w:rPr>
          <w:rFonts w:hint="eastAsia" w:ascii="方正楷体_GBK" w:hAnsi="Times New Roman" w:eastAsia="方正楷体_GBK"/>
          <w:color w:val="333333"/>
          <w:kern w:val="0"/>
          <w:sz w:val="32"/>
          <w:szCs w:val="32"/>
        </w:rPr>
        <w:t>（一）主动公开政府信息情况</w:t>
      </w:r>
    </w:p>
    <w:p>
      <w:pPr>
        <w:spacing w:line="578" w:lineRule="exact"/>
        <w:ind w:firstLine="640" w:firstLineChars="200"/>
        <w:rPr>
          <w:rFonts w:ascii="Times New Roman" w:hAnsi="Times New Roman" w:eastAsia="方正仿宋_GBK"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color w:val="333333"/>
          <w:kern w:val="0"/>
          <w:sz w:val="32"/>
          <w:szCs w:val="32"/>
        </w:rPr>
        <w:t>紧紧围绕“应公开尽公开”要求，加强政府文件、信息动态等重点内容的公开，做好内容审核、文字校对等工作，确保程序规范、公开及时、内容充实、重点突出。2023年依托县政府门户网站公开公文类政府信息1条、动态类信息25条、机构类信息1条、财政类信息12条。</w:t>
      </w:r>
    </w:p>
    <w:p>
      <w:pPr>
        <w:pStyle w:val="9"/>
        <w:spacing w:line="578" w:lineRule="exact"/>
        <w:ind w:firstLine="640"/>
        <w:rPr>
          <w:rFonts w:ascii="方正楷体_GBK" w:hAnsi="Times New Roman" w:eastAsia="方正楷体_GBK"/>
          <w:color w:val="333333"/>
          <w:kern w:val="0"/>
          <w:sz w:val="32"/>
          <w:szCs w:val="32"/>
        </w:rPr>
      </w:pPr>
      <w:r>
        <w:rPr>
          <w:rFonts w:hint="eastAsia" w:ascii="方正楷体_GBK" w:hAnsi="Times New Roman" w:eastAsia="方正楷体_GBK"/>
          <w:color w:val="333333"/>
          <w:kern w:val="0"/>
          <w:sz w:val="32"/>
          <w:szCs w:val="32"/>
        </w:rPr>
        <w:t>（二）依申请公开政府信息情况</w:t>
      </w:r>
    </w:p>
    <w:p>
      <w:pPr>
        <w:pStyle w:val="9"/>
        <w:spacing w:line="578" w:lineRule="exact"/>
        <w:ind w:firstLine="640"/>
        <w:rPr>
          <w:rFonts w:ascii="Times New Roman" w:hAnsi="Times New Roman" w:eastAsia="方正仿宋_GBK"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color w:val="333333"/>
          <w:kern w:val="0"/>
          <w:sz w:val="32"/>
          <w:szCs w:val="32"/>
        </w:rPr>
        <w:t>本年度我镇未收到政府信息公开申请。</w:t>
      </w:r>
    </w:p>
    <w:p>
      <w:pPr>
        <w:pStyle w:val="9"/>
        <w:spacing w:line="578" w:lineRule="exact"/>
        <w:ind w:firstLine="640"/>
        <w:rPr>
          <w:rFonts w:ascii="方正楷体_GBK" w:hAnsi="Times New Roman" w:eastAsia="方正楷体_GBK"/>
          <w:color w:val="333333"/>
          <w:kern w:val="0"/>
          <w:sz w:val="32"/>
          <w:szCs w:val="32"/>
        </w:rPr>
      </w:pPr>
      <w:r>
        <w:rPr>
          <w:rFonts w:hint="eastAsia" w:ascii="方正楷体_GBK" w:hAnsi="Times New Roman" w:eastAsia="方正楷体_GBK"/>
          <w:color w:val="333333"/>
          <w:kern w:val="0"/>
          <w:sz w:val="32"/>
          <w:szCs w:val="32"/>
        </w:rPr>
        <w:t>（三）政府信息管理情况</w:t>
      </w:r>
    </w:p>
    <w:p>
      <w:pPr>
        <w:spacing w:line="578" w:lineRule="exact"/>
        <w:ind w:firstLine="700" w:firstLineChars="200"/>
        <w:rPr>
          <w:rFonts w:ascii="方正仿宋_GBK" w:hAnsi="Microsoft YaHei UI" w:eastAsia="方正仿宋_GBK"/>
          <w:spacing w:val="15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spacing w:val="15"/>
          <w:sz w:val="32"/>
          <w:szCs w:val="32"/>
          <w:shd w:val="clear" w:color="auto" w:fill="FFFFFF"/>
        </w:rPr>
        <w:t>2023年，我镇全面推进政务公开工作，</w:t>
      </w: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>进一步规范信息管理。</w:t>
      </w:r>
      <w:r>
        <w:rPr>
          <w:rFonts w:ascii="Times New Roman" w:hAnsi="Times New Roman" w:eastAsia="方正仿宋_GBK"/>
          <w:color w:val="292929"/>
          <w:spacing w:val="30"/>
          <w:sz w:val="32"/>
          <w:szCs w:val="32"/>
          <w:shd w:val="clear" w:color="auto" w:fill="FEFEFE"/>
        </w:rPr>
        <w:t>严格落实</w:t>
      </w:r>
      <w:r>
        <w:rPr>
          <w:rFonts w:hint="eastAsia" w:ascii="方正仿宋_GBK" w:hAnsi="Microsoft YaHei UI" w:eastAsia="方正仿宋_GBK"/>
          <w:color w:val="292929"/>
          <w:spacing w:val="30"/>
          <w:sz w:val="32"/>
          <w:szCs w:val="32"/>
          <w:shd w:val="clear" w:color="auto" w:fill="FEFEFE"/>
        </w:rPr>
        <w:t>信息发布审核规定、</w:t>
      </w:r>
      <w:r>
        <w:rPr>
          <w:rFonts w:hint="eastAsia" w:ascii="方正仿宋_GBK" w:eastAsia="方正仿宋_GBK"/>
          <w:color w:val="000000"/>
          <w:sz w:val="32"/>
          <w:szCs w:val="32"/>
          <w:shd w:val="clear" w:color="auto" w:fill="FFFFFF"/>
        </w:rPr>
        <w:t>保密审查制度，确保公开信息规范性。定期维护政府网站信息，及时更新、及时纠错、定期清理，确保公开信息准确性。</w:t>
      </w:r>
    </w:p>
    <w:p>
      <w:pPr>
        <w:pStyle w:val="9"/>
        <w:spacing w:line="578" w:lineRule="exact"/>
        <w:ind w:firstLine="640"/>
        <w:rPr>
          <w:rFonts w:ascii="方正楷体_GBK" w:hAnsi="Times New Roman" w:eastAsia="方正楷体_GBK"/>
          <w:color w:val="333333"/>
          <w:kern w:val="0"/>
          <w:sz w:val="32"/>
          <w:szCs w:val="32"/>
        </w:rPr>
      </w:pPr>
      <w:r>
        <w:rPr>
          <w:rFonts w:hint="eastAsia" w:ascii="方正楷体_GBK" w:hAnsi="Times New Roman" w:eastAsia="方正楷体_GBK"/>
          <w:color w:val="333333"/>
          <w:kern w:val="0"/>
          <w:sz w:val="32"/>
          <w:szCs w:val="32"/>
        </w:rPr>
        <w:t>（四）政府信息公开平台建设情况</w:t>
      </w:r>
    </w:p>
    <w:p>
      <w:pPr>
        <w:spacing w:line="578" w:lineRule="exact"/>
        <w:ind w:firstLine="640" w:firstLineChars="200"/>
        <w:rPr>
          <w:rFonts w:ascii="方正仿宋_GBK" w:eastAsia="方正仿宋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仿宋_GBK" w:hAnsi="微软雅黑" w:eastAsia="方正仿宋_GBK"/>
          <w:color w:val="3D3D3D"/>
          <w:sz w:val="32"/>
          <w:szCs w:val="32"/>
          <w:shd w:val="clear" w:color="auto" w:fill="FFFFFF"/>
        </w:rPr>
        <w:t>持续加强政府门户网站管理，严守各类规章制度，优化信息分类归整，更新完善栏目内容，线上线下深度融合，及时回应群众关切，不断规范公开信息内容、提高群众获取政府信息的便利度。</w:t>
      </w:r>
    </w:p>
    <w:p>
      <w:pPr>
        <w:pStyle w:val="9"/>
        <w:spacing w:line="578" w:lineRule="exact"/>
        <w:ind w:firstLine="640"/>
        <w:rPr>
          <w:rFonts w:ascii="方正楷体_GBK" w:hAnsi="Times New Roman" w:eastAsia="方正楷体_GBK"/>
          <w:color w:val="333333"/>
          <w:kern w:val="0"/>
          <w:sz w:val="32"/>
          <w:szCs w:val="32"/>
        </w:rPr>
      </w:pPr>
      <w:r>
        <w:rPr>
          <w:rFonts w:hint="eastAsia" w:ascii="方正楷体_GBK" w:hAnsi="Times New Roman" w:eastAsia="方正楷体_GBK"/>
          <w:color w:val="333333"/>
          <w:kern w:val="0"/>
          <w:sz w:val="32"/>
          <w:szCs w:val="32"/>
        </w:rPr>
        <w:t>（五）监督保障情况</w:t>
      </w:r>
      <w:r>
        <w:rPr>
          <w:rFonts w:hint="eastAsia" w:ascii="MS Mincho" w:hAnsi="MS Mincho" w:eastAsia="MS Mincho" w:cs="MS Mincho"/>
          <w:kern w:val="0"/>
        </w:rPr>
        <w:t> </w:t>
      </w:r>
    </w:p>
    <w:p>
      <w:pPr>
        <w:overflowPunct w:val="0"/>
        <w:spacing w:line="578" w:lineRule="exact"/>
        <w:ind w:firstLine="760" w:firstLineChars="200"/>
        <w:rPr>
          <w:rFonts w:ascii="方正仿宋_GBK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Microsoft YaHei UI" w:eastAsia="方正仿宋_GBK"/>
          <w:color w:val="292929"/>
          <w:spacing w:val="30"/>
          <w:sz w:val="32"/>
          <w:szCs w:val="32"/>
          <w:shd w:val="clear" w:color="auto" w:fill="FEFEFE"/>
        </w:rPr>
        <w:t>进一步健全政府信息公开工作机制，指定专人负责更新维护，</w:t>
      </w:r>
      <w:r>
        <w:rPr>
          <w:rFonts w:hint="eastAsia" w:ascii="方正仿宋_GBK" w:hAnsi="Microsoft YaHei UI" w:eastAsia="方正仿宋_GBK"/>
          <w:spacing w:val="15"/>
          <w:sz w:val="32"/>
          <w:szCs w:val="32"/>
          <w:shd w:val="clear" w:color="auto" w:fill="FFFFFF"/>
        </w:rPr>
        <w:t>及时公开并完善《政府信息公开指南》，加大社会监督力度，通过网站对社会开展信息公开服务。</w:t>
      </w:r>
      <w:r>
        <w:rPr>
          <w:rFonts w:ascii="Times New Roman" w:hAnsi="Times New Roman" w:eastAsia="方正仿宋_GBK"/>
          <w:color w:val="3D3D3D"/>
          <w:sz w:val="32"/>
          <w:szCs w:val="32"/>
          <w:shd w:val="clear" w:color="auto" w:fill="FFFFFF"/>
        </w:rPr>
        <w:t>2023年我镇接受各单位和群众的社会监督、社会评议，社会群众对我镇信息公开评议结果较好。2023年我</w:t>
      </w:r>
      <w:r>
        <w:rPr>
          <w:rFonts w:hint="eastAsia" w:ascii="方正仿宋_GBK" w:hAnsi="仿宋" w:eastAsia="方正仿宋_GBK"/>
          <w:color w:val="3D3D3D"/>
          <w:sz w:val="32"/>
          <w:szCs w:val="32"/>
          <w:shd w:val="clear" w:color="auto" w:fill="FFFFFF"/>
        </w:rPr>
        <w:t>镇未发生政务公开责任追究情况。</w:t>
      </w:r>
    </w:p>
    <w:p>
      <w:pPr>
        <w:overflowPunct w:val="0"/>
        <w:spacing w:line="578" w:lineRule="exact"/>
        <w:ind w:firstLine="640" w:firstLineChars="200"/>
        <w:rPr>
          <w:rFonts w:ascii="Times New Roman" w:hAnsi="Times New Roman" w:eastAsia="方正黑体_GBK" w:cs="方正黑体_GBK"/>
          <w:color w:val="00000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color w:val="000000"/>
          <w:sz w:val="32"/>
          <w:szCs w:val="32"/>
        </w:rPr>
        <w:t>二、主动公开政府信息情况</w:t>
      </w:r>
    </w:p>
    <w:tbl>
      <w:tblPr>
        <w:tblStyle w:val="4"/>
        <w:tblW w:w="9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</w:rPr>
              <w:t>信息内容</w:t>
            </w:r>
          </w:p>
        </w:tc>
        <w:tc>
          <w:tcPr>
            <w:tcW w:w="243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</w:rPr>
              <w:t>本年制发件数</w:t>
            </w:r>
          </w:p>
        </w:tc>
        <w:tc>
          <w:tcPr>
            <w:tcW w:w="243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</w:rPr>
              <w:t>本年废止件数</w:t>
            </w:r>
          </w:p>
        </w:tc>
        <w:tc>
          <w:tcPr>
            <w:tcW w:w="243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</w:rPr>
              <w:t>规章</w:t>
            </w:r>
          </w:p>
        </w:tc>
        <w:tc>
          <w:tcPr>
            <w:tcW w:w="243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</w:rPr>
              <w:t>　　0</w:t>
            </w:r>
          </w:p>
        </w:tc>
        <w:tc>
          <w:tcPr>
            <w:tcW w:w="243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</w:rPr>
              <w:t>　0</w:t>
            </w:r>
          </w:p>
        </w:tc>
        <w:tc>
          <w:tcPr>
            <w:tcW w:w="243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</w:rPr>
              <w:t>行政规范性文件</w:t>
            </w:r>
          </w:p>
        </w:tc>
        <w:tc>
          <w:tcPr>
            <w:tcW w:w="243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</w:rPr>
              <w:t>　　0</w:t>
            </w:r>
          </w:p>
        </w:tc>
        <w:tc>
          <w:tcPr>
            <w:tcW w:w="243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</w:rPr>
              <w:t>　0</w:t>
            </w:r>
          </w:p>
        </w:tc>
        <w:tc>
          <w:tcPr>
            <w:tcW w:w="243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</w:rPr>
              <w:t>行政许可</w:t>
            </w:r>
          </w:p>
        </w:tc>
        <w:tc>
          <w:tcPr>
            <w:tcW w:w="7305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3465" w:firstLineChars="1650"/>
              <w:jc w:val="left"/>
              <w:rPr>
                <w:rFonts w:hint="default" w:ascii="Times New Roman" w:hAnsi="Times New Roman" w:eastAsia="等线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</w:rPr>
              <w:t>行政处罚</w:t>
            </w:r>
          </w:p>
        </w:tc>
        <w:tc>
          <w:tcPr>
            <w:tcW w:w="7305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3465" w:firstLineChars="1650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</w:rPr>
              <w:t>行政强制</w:t>
            </w:r>
          </w:p>
        </w:tc>
        <w:tc>
          <w:tcPr>
            <w:tcW w:w="7305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3465" w:firstLineChars="1650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</w:rPr>
              <w:t>行政事业性收费</w:t>
            </w:r>
          </w:p>
        </w:tc>
        <w:tc>
          <w:tcPr>
            <w:tcW w:w="7305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ind w:firstLine="3480" w:firstLineChars="1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0</w:t>
            </w:r>
          </w:p>
        </w:tc>
      </w:tr>
    </w:tbl>
    <w:p>
      <w:pPr>
        <w:overflowPunct w:val="0"/>
        <w:spacing w:line="600" w:lineRule="exact"/>
        <w:ind w:firstLine="640" w:firstLineChars="200"/>
        <w:rPr>
          <w:rFonts w:ascii="Times New Roman" w:hAnsi="Times New Roman" w:eastAsia="方正黑体_GBK" w:cs="方正黑体_GBK"/>
          <w:color w:val="00000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color w:val="000000"/>
          <w:sz w:val="32"/>
          <w:szCs w:val="32"/>
        </w:rPr>
        <w:t>三、收到和处理政府信息公开申请情况</w:t>
      </w:r>
    </w:p>
    <w:tbl>
      <w:tblPr>
        <w:tblStyle w:val="4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941"/>
        <w:gridCol w:w="3199"/>
        <w:gridCol w:w="685"/>
        <w:gridCol w:w="693"/>
        <w:gridCol w:w="693"/>
        <w:gridCol w:w="693"/>
        <w:gridCol w:w="693"/>
        <w:gridCol w:w="693"/>
        <w:gridCol w:w="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905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eastAsia="楷体" w:cs="楷体"/>
                <w:color w:val="000000"/>
                <w:kern w:val="0"/>
                <w:sz w:val="20"/>
              </w:rPr>
              <w:t>（本列数据的勾稽关系为：第一项加第二项之和，等于第三项加第四项之和）</w:t>
            </w:r>
          </w:p>
        </w:tc>
        <w:tc>
          <w:tcPr>
            <w:tcW w:w="4843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5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t>自然人</w:t>
            </w:r>
          </w:p>
        </w:tc>
        <w:tc>
          <w:tcPr>
            <w:tcW w:w="3465" w:type="dxa"/>
            <w:gridSpan w:val="5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t>法人或其他组织</w:t>
            </w:r>
          </w:p>
        </w:tc>
        <w:tc>
          <w:tcPr>
            <w:tcW w:w="693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5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3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t>商业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t>企业</w:t>
            </w:r>
          </w:p>
        </w:tc>
        <w:tc>
          <w:tcPr>
            <w:tcW w:w="693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t>科研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t>机构</w:t>
            </w:r>
          </w:p>
        </w:tc>
        <w:tc>
          <w:tcPr>
            <w:tcW w:w="693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t>社会公益组织</w:t>
            </w:r>
          </w:p>
        </w:tc>
        <w:tc>
          <w:tcPr>
            <w:tcW w:w="693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t>法律服务机构</w:t>
            </w:r>
          </w:p>
        </w:tc>
        <w:tc>
          <w:tcPr>
            <w:tcW w:w="693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t>其他</w:t>
            </w:r>
          </w:p>
        </w:tc>
        <w:tc>
          <w:tcPr>
            <w:tcW w:w="693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t>一、本年新收政府信息公开申请数量</w:t>
            </w:r>
          </w:p>
        </w:tc>
        <w:tc>
          <w:tcPr>
            <w:tcW w:w="68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t>二、上年结转政府信息公开申请数量</w:t>
            </w:r>
          </w:p>
        </w:tc>
        <w:tc>
          <w:tcPr>
            <w:tcW w:w="68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t>三、本年度办理结果</w:t>
            </w:r>
          </w:p>
        </w:tc>
        <w:tc>
          <w:tcPr>
            <w:tcW w:w="414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t>（一）予以公开</w:t>
            </w:r>
          </w:p>
        </w:tc>
        <w:tc>
          <w:tcPr>
            <w:tcW w:w="68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t>（二）部分公开</w:t>
            </w:r>
            <w:r>
              <w:rPr>
                <w:rFonts w:ascii="Times New Roman" w:hAnsi="Times New Roman" w:eastAsia="楷体" w:cs="楷体"/>
                <w:color w:val="000000"/>
                <w:kern w:val="0"/>
                <w:sz w:val="20"/>
              </w:rPr>
              <w:t>（区分处理的，只计这一情形，不计其他情形）</w:t>
            </w:r>
          </w:p>
        </w:tc>
        <w:tc>
          <w:tcPr>
            <w:tcW w:w="68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t>（三）不予公开</w:t>
            </w:r>
          </w:p>
        </w:tc>
        <w:tc>
          <w:tcPr>
            <w:tcW w:w="3199" w:type="dxa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</w:rPr>
              <w:t>1.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t>属于国家秘密</w:t>
            </w:r>
          </w:p>
        </w:tc>
        <w:tc>
          <w:tcPr>
            <w:tcW w:w="685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99" w:type="dxa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0"/>
              </w:rPr>
              <w:t>2.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t>其他法律行政法规禁止公开</w:t>
            </w:r>
          </w:p>
        </w:tc>
        <w:tc>
          <w:tcPr>
            <w:tcW w:w="685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99" w:type="dxa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0"/>
              </w:rPr>
              <w:t>3.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t>危及“三安全一稳定”</w:t>
            </w:r>
          </w:p>
        </w:tc>
        <w:tc>
          <w:tcPr>
            <w:tcW w:w="685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99" w:type="dxa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0"/>
              </w:rPr>
              <w:t>4.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t>保护第三方合法权益</w:t>
            </w:r>
          </w:p>
        </w:tc>
        <w:tc>
          <w:tcPr>
            <w:tcW w:w="685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99" w:type="dxa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0"/>
              </w:rPr>
              <w:t>5.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t>属于三类内部事务信息</w:t>
            </w:r>
          </w:p>
        </w:tc>
        <w:tc>
          <w:tcPr>
            <w:tcW w:w="685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99" w:type="dxa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0"/>
              </w:rPr>
              <w:t>6.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t>属于四类过程性信息</w:t>
            </w:r>
          </w:p>
        </w:tc>
        <w:tc>
          <w:tcPr>
            <w:tcW w:w="685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99" w:type="dxa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0"/>
              </w:rPr>
              <w:t>7.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t>属于行政执法案卷</w:t>
            </w:r>
          </w:p>
        </w:tc>
        <w:tc>
          <w:tcPr>
            <w:tcW w:w="685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99" w:type="dxa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0"/>
              </w:rPr>
              <w:t>8.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t>属于行政查询事项</w:t>
            </w:r>
          </w:p>
        </w:tc>
        <w:tc>
          <w:tcPr>
            <w:tcW w:w="685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t>（四）无法提供</w:t>
            </w:r>
          </w:p>
        </w:tc>
        <w:tc>
          <w:tcPr>
            <w:tcW w:w="3199" w:type="dxa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0"/>
              </w:rPr>
              <w:t>1.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t>本机关不掌握相关政府信息</w:t>
            </w:r>
          </w:p>
        </w:tc>
        <w:tc>
          <w:tcPr>
            <w:tcW w:w="685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99" w:type="dxa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0"/>
              </w:rPr>
              <w:t>2.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t>没有现成信息需要另行制作</w:t>
            </w:r>
          </w:p>
        </w:tc>
        <w:tc>
          <w:tcPr>
            <w:tcW w:w="685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99" w:type="dxa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0"/>
              </w:rPr>
              <w:t>3.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t>补正后申请内容仍不明确</w:t>
            </w:r>
          </w:p>
        </w:tc>
        <w:tc>
          <w:tcPr>
            <w:tcW w:w="685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t>（五）不予处理</w:t>
            </w:r>
          </w:p>
        </w:tc>
        <w:tc>
          <w:tcPr>
            <w:tcW w:w="3199" w:type="dxa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0"/>
              </w:rPr>
              <w:t>1.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t>信访举报投诉类申请</w:t>
            </w:r>
          </w:p>
        </w:tc>
        <w:tc>
          <w:tcPr>
            <w:tcW w:w="685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99" w:type="dxa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0"/>
              </w:rPr>
              <w:t>2.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t>重复申请</w:t>
            </w:r>
          </w:p>
        </w:tc>
        <w:tc>
          <w:tcPr>
            <w:tcW w:w="685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99" w:type="dxa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0"/>
              </w:rPr>
              <w:t>3.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t>要求提供公开出版物</w:t>
            </w:r>
          </w:p>
        </w:tc>
        <w:tc>
          <w:tcPr>
            <w:tcW w:w="685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99" w:type="dxa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0"/>
              </w:rPr>
              <w:t>4.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t>无正当理由大量反复申请</w:t>
            </w:r>
          </w:p>
        </w:tc>
        <w:tc>
          <w:tcPr>
            <w:tcW w:w="685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9" w:hRule="atLeast"/>
          <w:jc w:val="center"/>
        </w:trPr>
        <w:tc>
          <w:tcPr>
            <w:tcW w:w="765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0"/>
              </w:rPr>
              <w:t>5.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t>要求行政机关确认或重新出具已获取信息</w:t>
            </w:r>
          </w:p>
        </w:tc>
        <w:tc>
          <w:tcPr>
            <w:tcW w:w="685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t>（六）其他处理</w:t>
            </w:r>
          </w:p>
        </w:tc>
        <w:tc>
          <w:tcPr>
            <w:tcW w:w="31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0"/>
              </w:rPr>
              <w:t>1.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t>申请人无正当理由逾期不补正、行政机关不再处理其政府信息公开申请</w:t>
            </w:r>
          </w:p>
        </w:tc>
        <w:tc>
          <w:tcPr>
            <w:tcW w:w="685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0"/>
              </w:rPr>
              <w:t>2.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t>申请人逾期未按收费通知要求缴纳费用、行政机关不再处理其政府信息公开申请</w:t>
            </w:r>
          </w:p>
        </w:tc>
        <w:tc>
          <w:tcPr>
            <w:tcW w:w="685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0"/>
              </w:rPr>
              <w:t>3.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t>其他</w:t>
            </w:r>
          </w:p>
        </w:tc>
        <w:tc>
          <w:tcPr>
            <w:tcW w:w="68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t>（七）总计</w:t>
            </w:r>
          </w:p>
        </w:tc>
        <w:tc>
          <w:tcPr>
            <w:tcW w:w="68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t>四、结转下年度继续办理</w:t>
            </w:r>
          </w:p>
        </w:tc>
        <w:tc>
          <w:tcPr>
            <w:tcW w:w="68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</w:tr>
    </w:tbl>
    <w:p>
      <w:pPr>
        <w:overflowPunct w:val="0"/>
        <w:spacing w:line="578" w:lineRule="exact"/>
        <w:ind w:firstLine="640" w:firstLineChars="200"/>
        <w:rPr>
          <w:rFonts w:ascii="Times New Roman" w:hAnsi="Times New Roman" w:eastAsia="方正黑体_GBK" w:cs="方正黑体_GBK"/>
          <w:color w:val="000000"/>
          <w:szCs w:val="32"/>
        </w:rPr>
      </w:pPr>
      <w:r>
        <w:rPr>
          <w:rFonts w:hint="eastAsia" w:ascii="Times New Roman" w:hAnsi="Times New Roman" w:eastAsia="方正黑体_GBK" w:cs="方正黑体_GBK"/>
          <w:color w:val="000000"/>
          <w:sz w:val="32"/>
          <w:szCs w:val="32"/>
        </w:rPr>
        <w:t>四、政府信息公开行政复议、行政诉讼情况</w:t>
      </w:r>
    </w:p>
    <w:tbl>
      <w:tblPr>
        <w:tblStyle w:val="4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210" w:type="dxa"/>
            <w:gridSpan w:val="5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t>行政复议</w:t>
            </w:r>
          </w:p>
        </w:tc>
        <w:tc>
          <w:tcPr>
            <w:tcW w:w="6428" w:type="dxa"/>
            <w:gridSpan w:val="1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42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t>结果维持</w:t>
            </w:r>
          </w:p>
        </w:tc>
        <w:tc>
          <w:tcPr>
            <w:tcW w:w="642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t>结果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t>纠正</w:t>
            </w:r>
          </w:p>
        </w:tc>
        <w:tc>
          <w:tcPr>
            <w:tcW w:w="642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t>其他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t>结果</w:t>
            </w:r>
          </w:p>
        </w:tc>
        <w:tc>
          <w:tcPr>
            <w:tcW w:w="642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t>尚未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t>审结</w:t>
            </w:r>
          </w:p>
        </w:tc>
        <w:tc>
          <w:tcPr>
            <w:tcW w:w="642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t>总计</w:t>
            </w:r>
          </w:p>
        </w:tc>
        <w:tc>
          <w:tcPr>
            <w:tcW w:w="3213" w:type="dxa"/>
            <w:gridSpan w:val="5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t>未经复议直接起诉</w:t>
            </w:r>
          </w:p>
        </w:tc>
        <w:tc>
          <w:tcPr>
            <w:tcW w:w="3215" w:type="dxa"/>
            <w:gridSpan w:val="5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42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t>结果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t>维持</w:t>
            </w:r>
          </w:p>
        </w:tc>
        <w:tc>
          <w:tcPr>
            <w:tcW w:w="64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t>结果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t>纠正</w:t>
            </w:r>
          </w:p>
        </w:tc>
        <w:tc>
          <w:tcPr>
            <w:tcW w:w="643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t>其他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t>结果</w:t>
            </w:r>
          </w:p>
        </w:tc>
        <w:tc>
          <w:tcPr>
            <w:tcW w:w="643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t>尚未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t>审结</w:t>
            </w:r>
          </w:p>
        </w:tc>
        <w:tc>
          <w:tcPr>
            <w:tcW w:w="643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t>总计</w:t>
            </w:r>
          </w:p>
        </w:tc>
        <w:tc>
          <w:tcPr>
            <w:tcW w:w="643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t>结果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t>维持</w:t>
            </w:r>
          </w:p>
        </w:tc>
        <w:tc>
          <w:tcPr>
            <w:tcW w:w="643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t>结果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t>纠正</w:t>
            </w:r>
          </w:p>
        </w:tc>
        <w:tc>
          <w:tcPr>
            <w:tcW w:w="643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t>其他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t>结果</w:t>
            </w:r>
          </w:p>
        </w:tc>
        <w:tc>
          <w:tcPr>
            <w:tcW w:w="643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t>尚未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t>审结</w:t>
            </w:r>
          </w:p>
        </w:tc>
        <w:tc>
          <w:tcPr>
            <w:tcW w:w="643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2" w:hRule="atLeast"/>
          <w:jc w:val="center"/>
        </w:trPr>
        <w:tc>
          <w:tcPr>
            <w:tcW w:w="64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/>
              </w:rPr>
            </w:pPr>
            <w:r>
              <w:rPr>
                <w:rFonts w:hint="eastAsia" w:ascii="Times New Roman" w:hAnsi="Times New Roman" w:eastAsia="黑体"/>
                <w:color w:val="000000"/>
              </w:rPr>
              <w:t>0</w:t>
            </w:r>
          </w:p>
        </w:tc>
        <w:tc>
          <w:tcPr>
            <w:tcW w:w="64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/>
              </w:rPr>
            </w:pPr>
            <w:r>
              <w:rPr>
                <w:rFonts w:hint="eastAsia" w:ascii="Times New Roman" w:hAnsi="Times New Roman" w:eastAsia="黑体"/>
                <w:color w:val="000000"/>
              </w:rPr>
              <w:t>0</w:t>
            </w:r>
          </w:p>
        </w:tc>
        <w:tc>
          <w:tcPr>
            <w:tcW w:w="64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/>
              </w:rPr>
            </w:pPr>
            <w:r>
              <w:rPr>
                <w:rFonts w:hint="eastAsia" w:ascii="Times New Roman" w:hAnsi="Times New Roman" w:eastAsia="黑体"/>
                <w:color w:val="000000"/>
              </w:rPr>
              <w:t>0</w:t>
            </w:r>
          </w:p>
        </w:tc>
        <w:tc>
          <w:tcPr>
            <w:tcW w:w="64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/>
              </w:rPr>
            </w:pPr>
            <w:r>
              <w:rPr>
                <w:rFonts w:hint="eastAsia" w:ascii="Times New Roman" w:hAnsi="Times New Roman" w:eastAsia="黑体"/>
                <w:color w:val="000000"/>
              </w:rPr>
              <w:t>0</w:t>
            </w:r>
          </w:p>
        </w:tc>
        <w:tc>
          <w:tcPr>
            <w:tcW w:w="64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/>
              </w:rPr>
            </w:pPr>
            <w:r>
              <w:rPr>
                <w:rFonts w:hint="eastAsia" w:ascii="Times New Roman" w:hAnsi="Times New Roman" w:eastAsia="黑体"/>
                <w:color w:val="000000"/>
              </w:rPr>
              <w:t>0</w:t>
            </w:r>
          </w:p>
        </w:tc>
        <w:tc>
          <w:tcPr>
            <w:tcW w:w="64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/>
              </w:rPr>
            </w:pPr>
            <w:r>
              <w:rPr>
                <w:rFonts w:hint="eastAsia" w:ascii="Times New Roman" w:hAnsi="Times New Roman" w:eastAsia="黑体"/>
                <w:color w:val="000000"/>
              </w:rPr>
              <w:t>0</w:t>
            </w:r>
          </w:p>
        </w:tc>
        <w:tc>
          <w:tcPr>
            <w:tcW w:w="64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/>
              </w:rPr>
            </w:pPr>
            <w:r>
              <w:rPr>
                <w:rFonts w:hint="eastAsia" w:ascii="Times New Roman" w:hAnsi="Times New Roman" w:eastAsia="黑体"/>
                <w:color w:val="000000"/>
              </w:rPr>
              <w:t>0</w:t>
            </w:r>
          </w:p>
        </w:tc>
        <w:tc>
          <w:tcPr>
            <w:tcW w:w="643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/>
              </w:rPr>
            </w:pPr>
            <w:r>
              <w:rPr>
                <w:rFonts w:hint="eastAsia" w:ascii="Times New Roman" w:hAnsi="Times New Roman" w:eastAsia="黑体"/>
                <w:color w:val="000000"/>
              </w:rPr>
              <w:t>0</w:t>
            </w:r>
          </w:p>
        </w:tc>
        <w:tc>
          <w:tcPr>
            <w:tcW w:w="643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/>
              </w:rPr>
            </w:pPr>
            <w:r>
              <w:rPr>
                <w:rFonts w:hint="eastAsia" w:ascii="Times New Roman" w:hAnsi="Times New Roman" w:eastAsia="黑体"/>
                <w:color w:val="000000"/>
              </w:rPr>
              <w:t>0</w:t>
            </w:r>
          </w:p>
        </w:tc>
        <w:tc>
          <w:tcPr>
            <w:tcW w:w="643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/>
              </w:rPr>
            </w:pPr>
            <w:r>
              <w:rPr>
                <w:rFonts w:hint="eastAsia" w:ascii="Times New Roman" w:hAnsi="Times New Roman" w:eastAsia="黑体"/>
                <w:color w:val="000000"/>
              </w:rPr>
              <w:t>0</w:t>
            </w:r>
          </w:p>
        </w:tc>
        <w:tc>
          <w:tcPr>
            <w:tcW w:w="643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/>
              </w:rPr>
            </w:pPr>
            <w:r>
              <w:rPr>
                <w:rFonts w:hint="eastAsia" w:ascii="Times New Roman" w:hAnsi="Times New Roman" w:eastAsia="黑体"/>
                <w:color w:val="000000"/>
              </w:rPr>
              <w:t>0</w:t>
            </w:r>
          </w:p>
        </w:tc>
        <w:tc>
          <w:tcPr>
            <w:tcW w:w="643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/>
              </w:rPr>
            </w:pPr>
            <w:r>
              <w:rPr>
                <w:rFonts w:hint="eastAsia" w:ascii="Times New Roman" w:hAnsi="Times New Roman" w:eastAsia="黑体"/>
                <w:color w:val="000000"/>
              </w:rPr>
              <w:t>0</w:t>
            </w:r>
          </w:p>
        </w:tc>
        <w:tc>
          <w:tcPr>
            <w:tcW w:w="643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/>
              </w:rPr>
            </w:pPr>
            <w:r>
              <w:rPr>
                <w:rFonts w:hint="eastAsia" w:ascii="Times New Roman" w:hAnsi="Times New Roman" w:eastAsia="黑体"/>
                <w:color w:val="000000"/>
              </w:rPr>
              <w:t>0</w:t>
            </w:r>
          </w:p>
        </w:tc>
        <w:tc>
          <w:tcPr>
            <w:tcW w:w="643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/>
              </w:rPr>
            </w:pPr>
            <w:r>
              <w:rPr>
                <w:rFonts w:hint="eastAsia" w:ascii="Times New Roman" w:hAnsi="Times New Roman" w:eastAsia="黑体"/>
                <w:color w:val="000000"/>
              </w:rPr>
              <w:t>0</w:t>
            </w:r>
          </w:p>
        </w:tc>
        <w:tc>
          <w:tcPr>
            <w:tcW w:w="643" w:type="dxa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>
      <w:pPr>
        <w:overflowPunct w:val="0"/>
        <w:spacing w:line="578" w:lineRule="exact"/>
        <w:ind w:firstLine="640" w:firstLineChars="200"/>
        <w:rPr>
          <w:rFonts w:ascii="Times New Roman" w:hAnsi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color w:val="000000"/>
          <w:sz w:val="32"/>
          <w:szCs w:val="32"/>
        </w:rPr>
        <w:t>五、存在的主要问题及改进情况</w:t>
      </w:r>
    </w:p>
    <w:p>
      <w:pPr>
        <w:overflowPunct w:val="0"/>
        <w:spacing w:line="578" w:lineRule="exact"/>
        <w:ind w:firstLine="640" w:firstLineChars="200"/>
        <w:rPr>
          <w:rFonts w:ascii="方正仿宋_GBK" w:hAnsi="Times New Roman" w:eastAsia="方正仿宋_GBK" w:cs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3D3D3D"/>
          <w:sz w:val="32"/>
          <w:szCs w:val="32"/>
          <w:shd w:val="clear" w:color="auto" w:fill="FFFFFF"/>
        </w:rPr>
        <w:t>2023年，我镇信息公开工作取得了一定成效，但仍存在一些问题和不足，主要表现在：一是</w:t>
      </w:r>
      <w:r>
        <w:rPr>
          <w:rFonts w:ascii="Times New Roman" w:hAnsi="Times New Roman" w:eastAsia="方正仿宋_GBK"/>
          <w:spacing w:val="15"/>
          <w:sz w:val="32"/>
          <w:szCs w:val="32"/>
        </w:rPr>
        <w:t>部分人员对信息公开工作重视程度不够，主动性</w:t>
      </w:r>
      <w:r>
        <w:rPr>
          <w:rFonts w:hint="eastAsia" w:ascii="方正仿宋_GBK" w:eastAsia="方正仿宋_GBK"/>
          <w:spacing w:val="15"/>
          <w:sz w:val="32"/>
          <w:szCs w:val="32"/>
        </w:rPr>
        <w:t>不强</w:t>
      </w:r>
      <w:r>
        <w:rPr>
          <w:rFonts w:hint="eastAsia" w:ascii="方正仿宋_GBK" w:hAnsi="微软雅黑" w:eastAsia="方正仿宋_GBK"/>
          <w:color w:val="3D3D3D"/>
          <w:sz w:val="32"/>
          <w:szCs w:val="32"/>
          <w:shd w:val="clear" w:color="auto" w:fill="FFFFFF"/>
        </w:rPr>
        <w:t>；二是在公开的时效、更新频率等方面还需进一步改进；三是信息公开的质量有待提升。针对问题和不足，我镇将采取以下措施：</w:t>
      </w:r>
    </w:p>
    <w:p>
      <w:pPr>
        <w:overflowPunct w:val="0"/>
        <w:spacing w:line="578" w:lineRule="exact"/>
        <w:ind w:firstLine="700" w:firstLineChars="200"/>
        <w:rPr>
          <w:rFonts w:ascii="方正仿宋_GBK" w:hAnsi="Times New Roman" w:eastAsia="方正仿宋_GBK" w:cs="方正仿宋_GBK"/>
          <w:color w:val="000000"/>
          <w:sz w:val="32"/>
          <w:szCs w:val="32"/>
        </w:rPr>
      </w:pPr>
      <w:r>
        <w:rPr>
          <w:rStyle w:val="6"/>
          <w:rFonts w:hint="eastAsia" w:ascii="方正仿宋_GBK" w:eastAsia="方正仿宋_GBK"/>
          <w:b w:val="0"/>
          <w:spacing w:val="15"/>
          <w:sz w:val="32"/>
          <w:szCs w:val="32"/>
        </w:rPr>
        <w:t>一是进一步</w:t>
      </w:r>
      <w:r>
        <w:rPr>
          <w:rFonts w:hint="eastAsia" w:ascii="方正仿宋_GBK" w:eastAsia="方正仿宋_GBK"/>
          <w:spacing w:val="15"/>
          <w:sz w:val="32"/>
          <w:szCs w:val="32"/>
        </w:rPr>
        <w:t>加强对《中华人民共和国政府信息公开条例》和政务信息公开业务知识的学习，提高认识，不断强化主动公开意识；二是进一步加强对政府信息公开的检查力度，深入对照检查、及时查漏补缺，不断提升政府信息公开工作水平；三是进一步完善政务公开工作机制，健全信息发布审核、错误信息处置等工作制度，提高公开质量。</w:t>
      </w:r>
    </w:p>
    <w:p>
      <w:pPr>
        <w:overflowPunct w:val="0"/>
        <w:spacing w:line="578" w:lineRule="exact"/>
        <w:ind w:firstLine="640" w:firstLineChars="200"/>
        <w:rPr>
          <w:rFonts w:ascii="Times New Roman" w:hAnsi="Times New Roman" w:eastAsia="方正黑体_GBK" w:cs="方正黑体_GBK"/>
          <w:color w:val="00000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color w:val="000000"/>
          <w:sz w:val="32"/>
          <w:szCs w:val="32"/>
        </w:rPr>
        <w:t>六、其他需要报告的事项</w:t>
      </w:r>
    </w:p>
    <w:p>
      <w:pPr>
        <w:overflowPunct w:val="0"/>
        <w:spacing w:line="578" w:lineRule="exact"/>
        <w:ind w:firstLine="640" w:firstLineChars="200"/>
        <w:rPr>
          <w:rFonts w:ascii="方正仿宋_GBK" w:hAnsi="Times New Roman" w:eastAsia="方正仿宋_GBK" w:cs="方正黑体_GBK"/>
          <w:color w:val="000000"/>
          <w:sz w:val="32"/>
          <w:szCs w:val="32"/>
        </w:rPr>
      </w:pPr>
      <w:r>
        <w:rPr>
          <w:rFonts w:hint="eastAsia" w:ascii="方正仿宋_GBK" w:hAnsi="Helvetica" w:eastAsia="方正仿宋_GBK"/>
          <w:color w:val="333333"/>
          <w:sz w:val="32"/>
          <w:szCs w:val="32"/>
          <w:shd w:val="clear" w:color="auto" w:fill="FFFFFF"/>
          <w:lang w:eastAsia="zh-CN"/>
        </w:rPr>
        <w:t>无</w:t>
      </w:r>
      <w:bookmarkStart w:id="0" w:name="_GoBack"/>
      <w:bookmarkEnd w:id="0"/>
      <w:r>
        <w:rPr>
          <w:rFonts w:hint="eastAsia" w:ascii="方正仿宋_GBK" w:hAnsi="Helvetica" w:eastAsia="方正仿宋_GBK"/>
          <w:color w:val="333333"/>
          <w:sz w:val="32"/>
          <w:szCs w:val="32"/>
          <w:shd w:val="clear" w:color="auto" w:fill="FFFFFF"/>
        </w:rPr>
        <w:t>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方正细黑一_GBK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Microsoft YaHei UI">
    <w:altName w:val="AR PL UMing CN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MS Mincho">
    <w:altName w:val="方正书宋_GBK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Helvetica">
    <w:altName w:val="DejaVu Sans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细黑一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10" w:leftChars="100" w:right="210" w:rightChars="100"/>
      <w:rPr>
        <w:rFonts w:ascii="宋体" w:hAnsi="宋体" w:eastAsia="宋体" w:cs="宋体"/>
        <w:sz w:val="28"/>
        <w:szCs w:val="28"/>
      </w:rPr>
    </w:pPr>
    <w:r>
      <w:rPr>
        <w:rFonts w:hint="eastAsia" w:ascii="宋体" w:hAnsi="宋体" w:eastAsia="宋体" w:cs="宋体"/>
        <w:sz w:val="28"/>
        <w:szCs w:val="28"/>
      </w:rPr>
      <w:t xml:space="preserve">                                                 —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ascii="宋体" w:hAnsi="宋体" w:eastAsia="宋体" w:cs="宋体"/>
        <w:sz w:val="28"/>
        <w:szCs w:val="28"/>
      </w:rPr>
      <w:t>1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</w:rPr>
      <w:t xml:space="preserve"> —</w:t>
    </w:r>
  </w:p>
  <w:p>
    <w:pPr>
      <w:pStyle w:val="2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10" w:rightChars="100"/>
      <w:rPr>
        <w:rFonts w:ascii="宋体" w:hAnsi="宋体" w:eastAsia="宋体" w:cs="宋体"/>
        <w:sz w:val="28"/>
        <w:szCs w:val="28"/>
      </w:rPr>
    </w:pPr>
    <w:r>
      <w:rPr>
        <w:rFonts w:hint="eastAsia" w:ascii="宋体" w:hAnsi="宋体" w:eastAsia="宋体" w:cs="宋体"/>
        <w:sz w:val="28"/>
        <w:szCs w:val="28"/>
      </w:rPr>
      <w:t xml:space="preserve">—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ascii="宋体" w:hAnsi="宋体" w:eastAsia="宋体" w:cs="宋体"/>
        <w:sz w:val="28"/>
        <w:szCs w:val="28"/>
      </w:rPr>
      <w:t>2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</w:rPr>
      <w:t xml:space="preserve"> 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68BE"/>
    <w:rsid w:val="000F7659"/>
    <w:rsid w:val="0010134A"/>
    <w:rsid w:val="00114BCE"/>
    <w:rsid w:val="001212CA"/>
    <w:rsid w:val="001263AF"/>
    <w:rsid w:val="00130534"/>
    <w:rsid w:val="00154126"/>
    <w:rsid w:val="001629F4"/>
    <w:rsid w:val="00187E4B"/>
    <w:rsid w:val="001D0D6A"/>
    <w:rsid w:val="001D25A0"/>
    <w:rsid w:val="001E0186"/>
    <w:rsid w:val="00235C2E"/>
    <w:rsid w:val="002A7B5C"/>
    <w:rsid w:val="002C6AC1"/>
    <w:rsid w:val="002D3F5C"/>
    <w:rsid w:val="00370633"/>
    <w:rsid w:val="00391847"/>
    <w:rsid w:val="00396D1E"/>
    <w:rsid w:val="00487CAA"/>
    <w:rsid w:val="005033D2"/>
    <w:rsid w:val="00554AF9"/>
    <w:rsid w:val="005B22B9"/>
    <w:rsid w:val="005C6905"/>
    <w:rsid w:val="005D73A5"/>
    <w:rsid w:val="00626718"/>
    <w:rsid w:val="00632131"/>
    <w:rsid w:val="00637547"/>
    <w:rsid w:val="00684AE3"/>
    <w:rsid w:val="006D7774"/>
    <w:rsid w:val="006E105E"/>
    <w:rsid w:val="00702880"/>
    <w:rsid w:val="0075048C"/>
    <w:rsid w:val="00783D2B"/>
    <w:rsid w:val="007859E1"/>
    <w:rsid w:val="007F0BE8"/>
    <w:rsid w:val="0088246C"/>
    <w:rsid w:val="008B4EFA"/>
    <w:rsid w:val="008C021F"/>
    <w:rsid w:val="008E73FE"/>
    <w:rsid w:val="00927589"/>
    <w:rsid w:val="00961DE4"/>
    <w:rsid w:val="00972586"/>
    <w:rsid w:val="00980646"/>
    <w:rsid w:val="00981509"/>
    <w:rsid w:val="00A4439F"/>
    <w:rsid w:val="00A518E6"/>
    <w:rsid w:val="00AC68BE"/>
    <w:rsid w:val="00AC7572"/>
    <w:rsid w:val="00AD78A7"/>
    <w:rsid w:val="00B06455"/>
    <w:rsid w:val="00B91C51"/>
    <w:rsid w:val="00BC61D9"/>
    <w:rsid w:val="00BF2C1C"/>
    <w:rsid w:val="00C24B0B"/>
    <w:rsid w:val="00C75E5A"/>
    <w:rsid w:val="00D6328F"/>
    <w:rsid w:val="00D74AB1"/>
    <w:rsid w:val="00D75A19"/>
    <w:rsid w:val="00D95D31"/>
    <w:rsid w:val="00DB23E0"/>
    <w:rsid w:val="00DB5577"/>
    <w:rsid w:val="00DD2D09"/>
    <w:rsid w:val="00DF3812"/>
    <w:rsid w:val="00E83298"/>
    <w:rsid w:val="00EB39AD"/>
    <w:rsid w:val="00EE0328"/>
    <w:rsid w:val="00EF77BF"/>
    <w:rsid w:val="00F67B7E"/>
    <w:rsid w:val="00FA0D29"/>
    <w:rsid w:val="00FF5C59"/>
    <w:rsid w:val="B72EE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361</Words>
  <Characters>2063</Characters>
  <Lines>17</Lines>
  <Paragraphs>4</Paragraphs>
  <TotalTime>104</TotalTime>
  <ScaleCrop>false</ScaleCrop>
  <LinksUpToDate>false</LinksUpToDate>
  <CharactersWithSpaces>2420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2024-01-17T08:53:00Z</dcterms:created>
  <dc:creator>Windows 用户</dc:creator>
  <cp:lastModifiedBy>user</cp:lastModifiedBy>
  <dcterms:modified xsi:type="dcterms:W3CDTF">2024-01-25T17:41:43Z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