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2981325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5pt;margin-top:234.75pt;height:1.45pt;width:437.4pt;z-index:251661312;mso-width-relative:page;mso-height-relative:page;" filled="f" stroked="t" coordsize="21600,21600" o:gfxdata="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8wuOfcAAAACgEAAA8AAAAAAAAAAQAgAAAA&#10;IgAAAGRycy9kb3ducmV2LnhtbFBLAQIUABQAAAAIAIdO4kBhwpWRBwIAAAEEAAAOAAAAAAAAAAEA&#10;IAAAACsBAABkcnMvZTJvRG9jLnhtbFBLBQYAAAAABgAGAFkBAACk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976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东部新城电力入地通道工程</w:t>
      </w: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批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color w:val="000000"/>
          <w:sz w:val="44"/>
          <w:szCs w:val="44"/>
        </w:rPr>
        <w:t>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重庆江来实业集团有限公司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审批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东部新城电力入地通道工程投资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渝江来文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105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东部新城电力入地通道工程初步设计的批复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327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和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重庆江远圣辰电力勘察设计</w:t>
      </w:r>
      <w:r>
        <w:rPr>
          <w:rFonts w:hint="eastAsia" w:eastAsia="方正仿宋_GBK"/>
          <w:color w:val="000000"/>
          <w:sz w:val="32"/>
          <w:szCs w:val="32"/>
          <w:highlight w:val="none"/>
          <w:lang w:val="en-US" w:eastAsia="zh-CN"/>
        </w:rPr>
        <w:t>有限公司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的《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东部新城电力入地通道工程设计概算书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，结合</w:t>
      </w:r>
      <w:r>
        <w:rPr>
          <w:rFonts w:eastAsia="方正仿宋_GBK"/>
          <w:color w:val="000000"/>
          <w:sz w:val="32"/>
          <w:szCs w:val="32"/>
          <w:highlight w:val="none"/>
        </w:rPr>
        <w:t>县财政投资评审</w:t>
      </w:r>
      <w:r>
        <w:rPr>
          <w:rFonts w:eastAsia="方正仿宋_GBK"/>
          <w:sz w:val="32"/>
          <w:szCs w:val="32"/>
          <w:highlight w:val="none"/>
        </w:rPr>
        <w:t>中心</w:t>
      </w:r>
      <w:r>
        <w:rPr>
          <w:rFonts w:eastAsia="方正仿宋_GBK"/>
          <w:sz w:val="32"/>
          <w:szCs w:val="32"/>
        </w:rPr>
        <w:t>出具</w:t>
      </w:r>
      <w:r>
        <w:rPr>
          <w:rFonts w:eastAsia="方正仿宋_GBK"/>
          <w:color w:val="auto"/>
          <w:sz w:val="32"/>
          <w:szCs w:val="32"/>
        </w:rPr>
        <w:t>的《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关于</w:t>
      </w:r>
      <w:r>
        <w:rPr>
          <w:rFonts w:hint="eastAsia" w:eastAsia="方正仿宋_GBK"/>
          <w:color w:val="auto"/>
          <w:sz w:val="32"/>
          <w:szCs w:val="32"/>
        </w:rPr>
        <w:t>东部新城电力入地通道工程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评审</w:t>
      </w:r>
      <w:r>
        <w:rPr>
          <w:rFonts w:eastAsia="方正仿宋_GBK"/>
          <w:color w:val="auto"/>
          <w:sz w:val="32"/>
          <w:szCs w:val="32"/>
        </w:rPr>
        <w:t>报告》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云财评审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335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东部新城电力入地通道工程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2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东部新城电力入地通道工程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胜禹城乡建设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2301-500235-04-01-653845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一期涉及拆除部分为1回35kV、5回10kV架空线路迁改,其中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1、涉及由薛家沟变电站至城东站外1回35kV薛凤线和1回10kV薛蓑线共2回架空线路迁改。2、涉及由薛家沟变电站至扬沙南路同塔四回10kV架空线路(10kV薛鑫线、薛城二线、薛悠线、薛城一线)迁改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拆除35kV薛凤线(1-11#塔)架空线路,共计拆除JLG1A-185/30钢芯铝绞线9千米,拆除薛家沟变电站至35kV薛凤线1#塔之间电缆线路,拆除35kV电缆0.3km。拆除10kV薛蓑线1#塔至13#杆架空线路,拆除10kV薛蓑线13#塔至10kV薛蓑线14#杆之间电缆线路,拆除薛家沟变电站至10kV薛蓑线1#塔之间电缆线路。共计拆除10kV架空线路JLG1A-185/30钢芯铝绞线10千米,拆除10kV电缆0.35km,铁塔3基。(由于35kV黄薛二线(21-27#)、35kV薛凤线(1-7#)双回同塔架设,35kV薛凤线(8-11#塔)、10kV薛蓑线(10-13#塔)双回同塔架设,10kV薛坝线、10kV薛蓑线1#塔至9#杆双回同塔架设。因此35kV薛凤线、10kV薛蓑线架空线路拆除待二期同步实施)。拆除10kV薛鑫线、薛城二线、薛悠线、薛城一线1#塔至11#塔四回同塔架空线路JLG1A-185/30钢芯铝绞线20千米,铁塔11基,钢管杆1基。拆除10kV薛蓑线11#塔至10kV薛蓑线蓑美支线架空线路,拆除10kV薛蓑线12#塔至10kV薛蓑线蓑钓支线架空线路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一期涉及新建电气部分为1、敷设35kV电缆线路1回,电缆总长2.95千米,采用ZA-YJV22-26/35-3*300电力电缆。2、敷设24芯非金属阻燃光缆3千米。3、敷设10kV干线电缆线路7回,电缆总长23.6 千米,采用ZA-YJV22-8.7/15kV-3*400电力电缆。3、敷设10kV支线电缆线路0.98千米,其中采用ZA-YJV22-8.7/15kV-3*150电力电缆0.3千米,采用ZA -YJV22-8.7/15kV-3*185电力电缆0.68千米。4、安装2进4出型10kV环网柜13 台,1进2出10kV电缆分支箱9台。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一期涉及新建土建部分为1、修建3x3+2型10kV电缆排管3.72千米(管径DN200),修建2x2+2型10kV电缆排管0.85 千米(管径DN200),修建砖砌电缆沟(C-1-1型)0.15千米,修建砖砌电缆沟(C-1-7型)0.49 千米,修建现浇电缆沟(C-2-3型)0.12千米,穿管直埋0.2千米,穿波纹管挂墙敷设0.4千米。2、修建户外环网柜基础13 个,户外电缆分支箱基础9个。3、新建3米直线井54座,6米直线井42座,转弯井26座,三通井9座,竖井5 座。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期涉及拆除部分为1、本工程涉及1回35kV、3回10kV架空线路迁改,其中:1)涉及由薛家沟变电站至内环路杨沙段1回35kV黄薛二线、1回10kV薛坝线、1回10kV薛坝线支线和1回湾曲支线共4回架空线路迁改。2、拆除10kV薛坝线1#塔至14#杆架空线路,共计拆除JLG1A-185/30钢芯铝绞线8千米,铁塔7基,电杆5基。拆除35kV黄薛二线(18-27#)塔架空线路,共计拆除JLG1A-185/30钢芯铝绞线7千米,铁塔7基,电杆2基。拆除10kV湾曲支线1#至8#杆及其附属架空线路LGJ-70钢芯铝绞线4千米,电杆7基。拆除部分:原10kV薛坝线#09杆与#09-1杆间架空线路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期新建电气部分为1、敷设35kV电缆线路1回,电缆总长3.66千米,采用ZA-YJV22-26/35-3*300电力电缆。2、敷设24芯非金属阻燃光缆3.7千米。3、敷设10kV干线电缆线路1回,电缆总长3.62千米,采用ZA-YJV22-8.7/15kV-3*400电力电缆。4、敷设10kV支线电缆线路0.5千米,其中采用ZA-YJV22-8.7/15kV-3*150电力电缆0.25千米,采用ZA -YJV22-8.7/15kV-3*70电力电缆0.25千米。5、新建10kV架空线路0.2千米,采用JKLGYJ-120架空绝缘线。6、安装2进4出型10kV环网柜5台。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二期新建土建部分为1、修建3x3+2型10kV电缆排管2.45千米(管径DN200),穿管直埋0.4千米。2、修建户外环网柜基础5个。3、新建3米直线井26座,6米直线井22座,转弯井13座,三通井4座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  <w:highlight w:val="none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</w:t>
      </w:r>
      <w:r>
        <w:rPr>
          <w:rFonts w:eastAsia="方正黑体_GBK" w:cs="Times New Roman"/>
          <w:color w:val="auto"/>
          <w:sz w:val="32"/>
          <w:szCs w:val="32"/>
          <w:highlight w:val="none"/>
        </w:rPr>
        <w:t>源：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9926.74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8970.57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工程建设其他费用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483.47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472.7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eastAsia="方正仿宋_GBK" w:cs="Times New Roman"/>
          <w:color w:val="000000"/>
          <w:sz w:val="32"/>
          <w:szCs w:val="32"/>
          <w:highlight w:val="none"/>
        </w:rPr>
        <w:t>。</w:t>
      </w:r>
      <w:r>
        <w:rPr>
          <w:rFonts w:eastAsia="方正仿宋_GBK" w:cs="Times New Roman"/>
          <w:sz w:val="32"/>
          <w:szCs w:val="32"/>
          <w:highlight w:val="none"/>
        </w:rPr>
        <w:t>资金来源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上级专项资金、地方政府专项债券及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业主自筹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  <w:bookmarkStart w:id="0" w:name="_GoBack"/>
      <w:bookmarkEnd w:id="0"/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2944AD4"/>
    <w:rsid w:val="33525999"/>
    <w:rsid w:val="34C264DD"/>
    <w:rsid w:val="34E45413"/>
    <w:rsid w:val="35443B98"/>
    <w:rsid w:val="36EF19AF"/>
    <w:rsid w:val="37DFA4AF"/>
    <w:rsid w:val="38456CAF"/>
    <w:rsid w:val="3C706011"/>
    <w:rsid w:val="3E0A6BD9"/>
    <w:rsid w:val="3E387569"/>
    <w:rsid w:val="3F3E3BEB"/>
    <w:rsid w:val="3FCB9F8D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E7F8F68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7FF87D6"/>
    <w:rsid w:val="58296279"/>
    <w:rsid w:val="585C73BC"/>
    <w:rsid w:val="59F60E0B"/>
    <w:rsid w:val="5AA04A12"/>
    <w:rsid w:val="5C031E3F"/>
    <w:rsid w:val="5C8E1C27"/>
    <w:rsid w:val="5CBE1FF0"/>
    <w:rsid w:val="5DF973A3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586398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C33E9B2F"/>
    <w:rsid w:val="D7FD0E9A"/>
    <w:rsid w:val="F96FA851"/>
    <w:rsid w:val="FF6F3F1D"/>
    <w:rsid w:val="FFFD3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1</TotalTime>
  <ScaleCrop>false</ScaleCrop>
  <LinksUpToDate>false</LinksUpToDate>
  <CharactersWithSpaces>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2021-12-21T02:01:00Z</dcterms:created>
  <dc:creator>Administrator</dc:creator>
  <cp:lastModifiedBy>王灿VIP超级用户</cp:lastModifiedBy>
  <cp:lastPrinted>2023-11-30T10:34:00Z</cp:lastPrinted>
  <dcterms:modified xsi:type="dcterms:W3CDTF">2023-12-12T07:37:53Z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780899887_cloud</vt:lpwstr>
  </property>
  <property fmtid="{D5CDD505-2E9C-101B-9397-08002B2CF9AE}" pid="4" name="ICV">
    <vt:lpwstr>9FFC780D6FB1148FCE696465061E8889</vt:lpwstr>
  </property>
</Properties>
</file>