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6D3967">
      <w:pPr>
        <w:tabs>
          <w:tab w:val="left" w:pos="7560"/>
        </w:tabs>
        <w:adjustRightInd w:val="0"/>
        <w:snapToGrid w:val="0"/>
        <w:spacing w:line="580" w:lineRule="exact"/>
        <w:jc w:val="center"/>
        <w:rPr>
          <w:rFonts w:hint="eastAsia" w:ascii="Times New Roman" w:hAnsi="Times New Roman" w:eastAsia="宋体"/>
          <w:b w:val="0"/>
          <w:bCs w:val="0"/>
          <w:szCs w:val="44"/>
          <w:lang w:eastAsia="zh-CN"/>
        </w:rPr>
      </w:pPr>
    </w:p>
    <w:p w14:paraId="57584B61">
      <w:pPr>
        <w:adjustRightInd w:val="0"/>
        <w:snapToGrid w:val="0"/>
        <w:spacing w:line="580" w:lineRule="exact"/>
        <w:jc w:val="center"/>
        <w:rPr>
          <w:rFonts w:ascii="Times New Roman" w:hAnsi="Times New Roman"/>
          <w:b w:val="0"/>
          <w:bCs w:val="0"/>
          <w:szCs w:val="44"/>
        </w:rPr>
      </w:pPr>
    </w:p>
    <w:p w14:paraId="2306D1E5">
      <w:pPr>
        <w:tabs>
          <w:tab w:val="left" w:pos="5372"/>
        </w:tabs>
        <w:adjustRightInd w:val="0"/>
        <w:snapToGrid w:val="0"/>
        <w:spacing w:line="580" w:lineRule="exact"/>
        <w:jc w:val="center"/>
        <w:rPr>
          <w:rFonts w:ascii="Times New Roman" w:hAnsi="Times New Roman"/>
          <w:b w:val="0"/>
          <w:bCs w:val="0"/>
          <w:szCs w:val="44"/>
        </w:rPr>
      </w:pPr>
    </w:p>
    <w:p w14:paraId="6354414C">
      <w:pPr>
        <w:adjustRightInd w:val="0"/>
        <w:snapToGrid w:val="0"/>
        <w:spacing w:line="580" w:lineRule="exact"/>
        <w:jc w:val="center"/>
        <w:rPr>
          <w:rFonts w:ascii="Times New Roman" w:hAnsi="Times New Roman"/>
          <w:b w:val="0"/>
          <w:bCs w:val="0"/>
          <w:szCs w:val="44"/>
        </w:rPr>
      </w:pPr>
    </w:p>
    <w:p w14:paraId="5C86D3AD">
      <w:pPr>
        <w:adjustRightInd w:val="0"/>
        <w:snapToGrid w:val="0"/>
        <w:spacing w:line="580" w:lineRule="exact"/>
        <w:jc w:val="center"/>
        <w:rPr>
          <w:rFonts w:ascii="Times New Roman" w:hAnsi="Times New Roman"/>
          <w:b w:val="0"/>
          <w:bCs w:val="0"/>
          <w:szCs w:val="44"/>
        </w:rPr>
      </w:pPr>
    </w:p>
    <w:p w14:paraId="0135FA15">
      <w:pPr>
        <w:adjustRightInd w:val="0"/>
        <w:snapToGrid w:val="0"/>
        <w:spacing w:line="580" w:lineRule="exact"/>
        <w:jc w:val="center"/>
        <w:rPr>
          <w:rFonts w:ascii="Times New Roman" w:hAnsi="Times New Roman"/>
          <w:b w:val="0"/>
          <w:bCs w:val="0"/>
          <w:szCs w:val="44"/>
        </w:rPr>
      </w:pPr>
    </w:p>
    <w:p w14:paraId="54091BEA">
      <w:pPr>
        <w:adjustRightInd w:val="0"/>
        <w:snapToGrid w:val="0"/>
        <w:spacing w:line="580" w:lineRule="exact"/>
        <w:jc w:val="center"/>
        <w:rPr>
          <w:rFonts w:ascii="Times New Roman" w:hAnsi="Times New Roman"/>
          <w:b w:val="0"/>
          <w:bCs w:val="0"/>
          <w:szCs w:val="44"/>
        </w:rPr>
      </w:pPr>
    </w:p>
    <w:p w14:paraId="2B747CB7">
      <w:pPr>
        <w:adjustRightInd w:val="0"/>
        <w:snapToGrid w:val="0"/>
        <w:spacing w:line="580" w:lineRule="exact"/>
        <w:jc w:val="center"/>
        <w:rPr>
          <w:rFonts w:ascii="Times New Roman" w:hAnsi="Times New Roman" w:eastAsia="方正仿宋_GBK"/>
          <w:b w:val="0"/>
          <w:bCs w:val="0"/>
          <w:szCs w:val="44"/>
        </w:rPr>
      </w:pPr>
      <w:r>
        <w:rPr>
          <w:rFonts w:ascii="Times New Roman" w:hAnsi="Times New Roman" w:eastAsia="方正仿宋_GBK" w:cs="Times New Roman"/>
          <w:b w:val="0"/>
          <w:bCs w:val="0"/>
          <w:sz w:val="32"/>
          <w:szCs w:val="32"/>
        </w:rPr>
        <w:t>云阳府办发〔2022〕</w:t>
      </w:r>
      <w:r>
        <w:rPr>
          <w:rFonts w:hint="eastAsia" w:ascii="Times New Roman" w:hAnsi="Times New Roman" w:eastAsia="方正仿宋_GBK" w:cs="Times New Roman"/>
          <w:b w:val="0"/>
          <w:bCs w:val="0"/>
          <w:sz w:val="32"/>
          <w:szCs w:val="32"/>
          <w:lang w:val="en-US" w:eastAsia="zh-CN"/>
        </w:rPr>
        <w:t>20</w:t>
      </w:r>
      <w:r>
        <w:rPr>
          <w:rFonts w:ascii="Times New Roman" w:hAnsi="Times New Roman" w:eastAsia="方正仿宋_GBK" w:cs="Times New Roman"/>
          <w:b w:val="0"/>
          <w:bCs w:val="0"/>
          <w:sz w:val="32"/>
          <w:szCs w:val="32"/>
        </w:rPr>
        <w:t>号</w:t>
      </w:r>
    </w:p>
    <w:p w14:paraId="6CC7D1DC">
      <w:pPr>
        <w:adjustRightInd w:val="0"/>
        <w:snapToGrid w:val="0"/>
        <w:spacing w:line="580" w:lineRule="exact"/>
        <w:jc w:val="center"/>
        <w:rPr>
          <w:rFonts w:ascii="Times New Roman" w:hAnsi="Times New Roman"/>
          <w:b w:val="0"/>
          <w:bCs w:val="0"/>
          <w:szCs w:val="44"/>
        </w:rPr>
      </w:pPr>
    </w:p>
    <w:p w14:paraId="4D2B3A7E">
      <w:pPr>
        <w:tabs>
          <w:tab w:val="left" w:pos="7680"/>
        </w:tabs>
        <w:adjustRightInd w:val="0"/>
        <w:snapToGrid w:val="0"/>
        <w:spacing w:line="580" w:lineRule="exact"/>
        <w:jc w:val="center"/>
        <w:rPr>
          <w:rFonts w:ascii="Times New Roman" w:hAnsi="Times New Roman"/>
          <w:b w:val="0"/>
          <w:bCs w:val="0"/>
          <w:szCs w:val="44"/>
        </w:rPr>
      </w:pPr>
    </w:p>
    <w:p w14:paraId="2FD153C7">
      <w:pPr>
        <w:adjustRightInd w:val="0"/>
        <w:snapToGrid w:val="0"/>
        <w:spacing w:line="720" w:lineRule="exact"/>
        <w:jc w:val="center"/>
        <w:rPr>
          <w:rFonts w:ascii="Times New Roman" w:hAnsi="Times New Roman" w:eastAsia="方正小标宋_GBK"/>
          <w:b w:val="0"/>
          <w:bCs w:val="0"/>
          <w:sz w:val="44"/>
          <w:szCs w:val="44"/>
        </w:rPr>
      </w:pPr>
      <w:r>
        <w:rPr>
          <w:rFonts w:hint="eastAsia" w:ascii="Times New Roman" w:hAnsi="Times New Roman" w:eastAsia="方正小标宋_GBK"/>
          <w:b w:val="0"/>
          <w:bCs w:val="0"/>
          <w:sz w:val="44"/>
          <w:szCs w:val="44"/>
        </w:rPr>
        <w:t>云阳县人民政府办公室</w:t>
      </w:r>
    </w:p>
    <w:p w14:paraId="69B55A78">
      <w:pPr>
        <w:spacing w:line="720" w:lineRule="exact"/>
        <w:jc w:val="center"/>
        <w:rPr>
          <w:rFonts w:ascii="Times New Roman" w:hAnsi="Times New Roman" w:eastAsia="方正小标宋_GBK"/>
          <w:b w:val="0"/>
          <w:bCs w:val="0"/>
          <w:sz w:val="44"/>
          <w:szCs w:val="44"/>
        </w:rPr>
      </w:pPr>
      <w:r>
        <w:rPr>
          <w:rFonts w:hint="eastAsia" w:ascii="Times New Roman" w:hAnsi="Times New Roman" w:eastAsia="方正小标宋_GBK"/>
          <w:b w:val="0"/>
          <w:bCs w:val="0"/>
          <w:sz w:val="44"/>
          <w:szCs w:val="44"/>
        </w:rPr>
        <w:t>关于印发《</w:t>
      </w:r>
      <w:r>
        <w:rPr>
          <w:rFonts w:hint="eastAsia" w:ascii="Times New Roman" w:hAnsi="Times New Roman" w:eastAsia="方正小标宋_GBK" w:cs="宋体"/>
          <w:b w:val="0"/>
          <w:bCs w:val="0"/>
          <w:sz w:val="44"/>
          <w:szCs w:val="44"/>
        </w:rPr>
        <w:t>云阳县卫生健康事业发展“十四五”规划</w:t>
      </w:r>
      <w:r>
        <w:rPr>
          <w:rFonts w:hint="eastAsia" w:ascii="Times New Roman" w:hAnsi="Times New Roman" w:eastAsia="方正小标宋_GBK"/>
          <w:b w:val="0"/>
          <w:bCs w:val="0"/>
          <w:sz w:val="44"/>
          <w:szCs w:val="44"/>
        </w:rPr>
        <w:t>》的通知</w:t>
      </w:r>
    </w:p>
    <w:p w14:paraId="31159F7A">
      <w:pPr>
        <w:adjustRightInd w:val="0"/>
        <w:snapToGrid w:val="0"/>
        <w:spacing w:line="578" w:lineRule="exact"/>
        <w:ind w:firstLine="420" w:firstLineChars="200"/>
        <w:rPr>
          <w:rFonts w:ascii="Times New Roman" w:hAnsi="Times New Roman"/>
          <w:b w:val="0"/>
          <w:bCs w:val="0"/>
        </w:rPr>
      </w:pPr>
    </w:p>
    <w:p w14:paraId="1F0D9880">
      <w:pPr>
        <w:adjustRightInd w:val="0"/>
        <w:snapToGrid w:val="0"/>
        <w:spacing w:line="578" w:lineRule="exact"/>
        <w:rPr>
          <w:rFonts w:ascii="Times New Roman" w:hAnsi="Times New Roman" w:eastAsia="方正仿宋_GBK" w:cs="Times New Roman"/>
          <w:b w:val="0"/>
          <w:bCs w:val="0"/>
          <w:sz w:val="32"/>
          <w:szCs w:val="32"/>
        </w:rPr>
      </w:pPr>
      <w:r>
        <w:rPr>
          <w:rFonts w:ascii="Times New Roman" w:hAnsi="Times New Roman" w:eastAsia="方正仿宋_GBK" w:cs="Times New Roman"/>
          <w:b w:val="0"/>
          <w:bCs w:val="0"/>
          <w:sz w:val="32"/>
          <w:szCs w:val="32"/>
        </w:rPr>
        <w:t>各乡镇人民政府、街道办事处，县政府各部门，有关单位：</w:t>
      </w:r>
    </w:p>
    <w:p w14:paraId="291819FF">
      <w:pPr>
        <w:adjustRightInd w:val="0"/>
        <w:snapToGrid w:val="0"/>
        <w:spacing w:line="578" w:lineRule="exact"/>
        <w:ind w:firstLine="640" w:firstLineChars="200"/>
        <w:rPr>
          <w:rFonts w:ascii="Times New Roman" w:hAnsi="Times New Roman" w:eastAsia="方正仿宋_GBK" w:cs="Times New Roman"/>
          <w:b w:val="0"/>
          <w:bCs w:val="0"/>
          <w:sz w:val="32"/>
          <w:szCs w:val="32"/>
        </w:rPr>
      </w:pPr>
      <w:r>
        <w:rPr>
          <w:rFonts w:ascii="Times New Roman" w:hAnsi="Times New Roman" w:eastAsia="方正仿宋_GBK" w:cs="Times New Roman"/>
          <w:b w:val="0"/>
          <w:bCs w:val="0"/>
          <w:sz w:val="32"/>
          <w:szCs w:val="32"/>
        </w:rPr>
        <w:t>《云阳县</w:t>
      </w:r>
      <w:r>
        <w:rPr>
          <w:rFonts w:hint="eastAsia" w:ascii="Times New Roman" w:hAnsi="Times New Roman" w:eastAsia="方正仿宋_GBK" w:cs="Times New Roman"/>
          <w:b w:val="0"/>
          <w:bCs w:val="0"/>
          <w:sz w:val="32"/>
          <w:szCs w:val="32"/>
        </w:rPr>
        <w:t>卫生健康事业发展“</w:t>
      </w:r>
      <w:r>
        <w:rPr>
          <w:rFonts w:ascii="Times New Roman" w:hAnsi="Times New Roman" w:eastAsia="方正仿宋_GBK" w:cs="Times New Roman"/>
          <w:b w:val="0"/>
          <w:bCs w:val="0"/>
          <w:sz w:val="32"/>
          <w:szCs w:val="32"/>
        </w:rPr>
        <w:t>十四五</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规划》已经县委、县政府同意，现印发给你们，请认真组织实施。</w:t>
      </w:r>
    </w:p>
    <w:p w14:paraId="5AC318C3">
      <w:pPr>
        <w:adjustRightInd w:val="0"/>
        <w:snapToGrid w:val="0"/>
        <w:spacing w:line="578" w:lineRule="exact"/>
        <w:ind w:firstLine="640" w:firstLineChars="200"/>
        <w:rPr>
          <w:rFonts w:ascii="Times New Roman" w:hAnsi="Times New Roman" w:eastAsia="方正仿宋_GBK" w:cs="Times New Roman"/>
          <w:b w:val="0"/>
          <w:bCs w:val="0"/>
          <w:sz w:val="32"/>
          <w:szCs w:val="32"/>
        </w:rPr>
      </w:pPr>
    </w:p>
    <w:p w14:paraId="68B0E6ED">
      <w:pPr>
        <w:adjustRightInd w:val="0"/>
        <w:snapToGrid w:val="0"/>
        <w:spacing w:line="578" w:lineRule="exact"/>
        <w:ind w:firstLine="640" w:firstLineChars="200"/>
        <w:rPr>
          <w:rFonts w:ascii="Times New Roman" w:hAnsi="Times New Roman" w:eastAsia="方正仿宋_GBK" w:cs="Times New Roman"/>
          <w:b w:val="0"/>
          <w:bCs w:val="0"/>
          <w:sz w:val="32"/>
          <w:szCs w:val="32"/>
        </w:rPr>
      </w:pPr>
    </w:p>
    <w:p w14:paraId="4A5B8BBB">
      <w:pPr>
        <w:tabs>
          <w:tab w:val="left" w:pos="7680"/>
          <w:tab w:val="left" w:pos="8400"/>
        </w:tabs>
        <w:adjustRightInd w:val="0"/>
        <w:snapToGrid w:val="0"/>
        <w:spacing w:line="578" w:lineRule="exact"/>
        <w:ind w:firstLine="5280" w:firstLineChars="1650"/>
        <w:rPr>
          <w:rFonts w:ascii="Times New Roman" w:hAnsi="Times New Roman" w:eastAsia="方正仿宋_GBK" w:cs="Times New Roman"/>
          <w:b w:val="0"/>
          <w:bCs w:val="0"/>
          <w:sz w:val="32"/>
          <w:szCs w:val="32"/>
        </w:rPr>
      </w:pPr>
      <w:r>
        <w:rPr>
          <w:rFonts w:ascii="Times New Roman" w:hAnsi="Times New Roman" w:eastAsia="方正仿宋_GBK" w:cs="Times New Roman"/>
          <w:b w:val="0"/>
          <w:bCs w:val="0"/>
          <w:sz w:val="32"/>
          <w:szCs w:val="32"/>
        </w:rPr>
        <w:t>云阳县人民政府办公室</w:t>
      </w:r>
    </w:p>
    <w:p w14:paraId="01FD3A69">
      <w:pPr>
        <w:tabs>
          <w:tab w:val="left" w:pos="7560"/>
        </w:tabs>
        <w:adjustRightInd w:val="0"/>
        <w:snapToGrid w:val="0"/>
        <w:spacing w:line="578" w:lineRule="exact"/>
        <w:ind w:firstLine="5952" w:firstLineChars="1860"/>
        <w:rPr>
          <w:rFonts w:ascii="Times New Roman" w:hAnsi="Times New Roman" w:eastAsia="方正仿宋_GBK"/>
          <w:b w:val="0"/>
          <w:bCs w:val="0"/>
          <w:szCs w:val="32"/>
        </w:rPr>
      </w:pPr>
      <w:r>
        <w:rPr>
          <w:rFonts w:ascii="Times New Roman" w:hAnsi="Times New Roman" w:eastAsia="方正仿宋_GBK" w:cs="Times New Roman"/>
          <w:b w:val="0"/>
          <w:bCs w:val="0"/>
          <w:sz w:val="32"/>
          <w:szCs w:val="32"/>
        </w:rPr>
        <w:t>2022年</w:t>
      </w:r>
      <w:r>
        <w:rPr>
          <w:rFonts w:hint="eastAsia" w:ascii="Times New Roman" w:hAnsi="Times New Roman" w:eastAsia="方正仿宋_GBK" w:cs="Times New Roman"/>
          <w:b w:val="0"/>
          <w:bCs w:val="0"/>
          <w:sz w:val="32"/>
          <w:szCs w:val="32"/>
        </w:rPr>
        <w:t>3</w:t>
      </w:r>
      <w:r>
        <w:rPr>
          <w:rFonts w:ascii="Times New Roman" w:hAnsi="Times New Roman" w:eastAsia="方正仿宋_GBK" w:cs="Times New Roman"/>
          <w:b w:val="0"/>
          <w:bCs w:val="0"/>
          <w:sz w:val="32"/>
          <w:szCs w:val="32"/>
        </w:rPr>
        <w:t>月</w:t>
      </w:r>
      <w:r>
        <w:rPr>
          <w:rFonts w:hint="eastAsia" w:ascii="Times New Roman" w:hAnsi="Times New Roman" w:eastAsia="方正仿宋_GBK" w:cs="Times New Roman"/>
          <w:b w:val="0"/>
          <w:bCs w:val="0"/>
          <w:sz w:val="32"/>
          <w:szCs w:val="32"/>
          <w:lang w:val="en-US" w:eastAsia="zh-CN"/>
        </w:rPr>
        <w:t>11</w:t>
      </w:r>
      <w:r>
        <w:rPr>
          <w:rFonts w:ascii="Times New Roman" w:hAnsi="Times New Roman" w:eastAsia="方正仿宋_GBK" w:cs="Times New Roman"/>
          <w:b w:val="0"/>
          <w:bCs w:val="0"/>
          <w:sz w:val="32"/>
          <w:szCs w:val="32"/>
        </w:rPr>
        <w:t>日</w:t>
      </w:r>
    </w:p>
    <w:p w14:paraId="7FC1A7AA">
      <w:pPr>
        <w:spacing w:line="578" w:lineRule="exact"/>
        <w:jc w:val="center"/>
        <w:rPr>
          <w:rFonts w:ascii="Times New Roman" w:hAnsi="Times New Roman" w:eastAsia="方正小标宋_GBK"/>
          <w:b w:val="0"/>
          <w:bCs w:val="0"/>
          <w:sz w:val="44"/>
          <w:szCs w:val="44"/>
        </w:rPr>
      </w:pPr>
    </w:p>
    <w:p w14:paraId="7F73EBE1">
      <w:pPr>
        <w:spacing w:line="578" w:lineRule="exact"/>
        <w:jc w:val="center"/>
        <w:rPr>
          <w:rFonts w:ascii="Times New Roman" w:hAnsi="Times New Roman" w:eastAsia="方正小标宋_GBK" w:cs="宋体"/>
          <w:b w:val="0"/>
          <w:bCs w:val="0"/>
          <w:sz w:val="44"/>
          <w:szCs w:val="44"/>
        </w:rPr>
      </w:pPr>
    </w:p>
    <w:p w14:paraId="2390386B">
      <w:pPr>
        <w:spacing w:line="560" w:lineRule="exact"/>
        <w:jc w:val="center"/>
        <w:rPr>
          <w:rFonts w:ascii="Times New Roman" w:hAnsi="Times New Roman" w:eastAsia="方正小标宋_GBK" w:cs="宋体"/>
          <w:b w:val="0"/>
          <w:bCs w:val="0"/>
          <w:sz w:val="44"/>
          <w:szCs w:val="44"/>
        </w:rPr>
      </w:pPr>
      <w:r>
        <w:rPr>
          <w:rFonts w:hint="eastAsia" w:ascii="Times New Roman" w:hAnsi="Times New Roman" w:eastAsia="方正小标宋_GBK" w:cs="宋体"/>
          <w:b w:val="0"/>
          <w:bCs w:val="0"/>
          <w:sz w:val="44"/>
          <w:szCs w:val="44"/>
        </w:rPr>
        <w:t>云阳县卫生健康事业发展“十四五”规划</w:t>
      </w:r>
    </w:p>
    <w:p w14:paraId="255264FE">
      <w:pPr>
        <w:widowControl w:val="0"/>
        <w:spacing w:after="0" w:line="560" w:lineRule="exact"/>
        <w:jc w:val="center"/>
        <w:rPr>
          <w:rFonts w:ascii="Times New Roman" w:hAnsi="Times New Roman" w:eastAsia="方正小标宋_GBK" w:cs="宋体"/>
          <w:b w:val="0"/>
          <w:bCs w:val="0"/>
          <w:kern w:val="2"/>
          <w:sz w:val="44"/>
          <w:szCs w:val="44"/>
          <w:lang w:val="en-US" w:eastAsia="zh-CN" w:bidi="ar-SA"/>
        </w:rPr>
      </w:pPr>
    </w:p>
    <w:p w14:paraId="4DD6C89B">
      <w:pPr>
        <w:rPr>
          <w:rFonts w:ascii="Times New Roman" w:hAnsi="Times New Roman"/>
          <w:b w:val="0"/>
          <w:bCs w:val="0"/>
        </w:rPr>
      </w:pPr>
    </w:p>
    <w:p w14:paraId="20634BC7">
      <w:pPr>
        <w:spacing w:line="560" w:lineRule="exact"/>
        <w:rPr>
          <w:rFonts w:ascii="Times New Roman" w:hAnsi="Times New Roman"/>
          <w:b w:val="0"/>
          <w:bCs w:val="0"/>
        </w:rPr>
      </w:pPr>
    </w:p>
    <w:p w14:paraId="06E298B3">
      <w:pPr>
        <w:spacing w:line="560" w:lineRule="exact"/>
        <w:rPr>
          <w:rFonts w:ascii="Times New Roman" w:hAnsi="Times New Roman"/>
          <w:b w:val="0"/>
          <w:bCs w:val="0"/>
        </w:rPr>
      </w:pPr>
    </w:p>
    <w:p w14:paraId="10370557">
      <w:pPr>
        <w:spacing w:line="560" w:lineRule="exact"/>
        <w:rPr>
          <w:rFonts w:ascii="Times New Roman" w:hAnsi="Times New Roman"/>
          <w:b w:val="0"/>
          <w:bCs w:val="0"/>
        </w:rPr>
      </w:pPr>
    </w:p>
    <w:p w14:paraId="1C29936D">
      <w:pPr>
        <w:spacing w:line="560" w:lineRule="exact"/>
        <w:rPr>
          <w:rFonts w:ascii="Times New Roman" w:hAnsi="Times New Roman"/>
          <w:b w:val="0"/>
          <w:bCs w:val="0"/>
        </w:rPr>
      </w:pPr>
    </w:p>
    <w:p w14:paraId="40CA8ADF">
      <w:pPr>
        <w:spacing w:line="560" w:lineRule="exact"/>
        <w:rPr>
          <w:rFonts w:ascii="Times New Roman" w:hAnsi="Times New Roman"/>
          <w:b w:val="0"/>
          <w:bCs w:val="0"/>
        </w:rPr>
      </w:pPr>
    </w:p>
    <w:p w14:paraId="3A628711">
      <w:pPr>
        <w:spacing w:line="560" w:lineRule="exact"/>
        <w:rPr>
          <w:rFonts w:ascii="Times New Roman" w:hAnsi="Times New Roman"/>
          <w:b w:val="0"/>
          <w:bCs w:val="0"/>
        </w:rPr>
      </w:pPr>
    </w:p>
    <w:p w14:paraId="602901F3">
      <w:pPr>
        <w:spacing w:line="560" w:lineRule="exact"/>
        <w:rPr>
          <w:rFonts w:ascii="Times New Roman" w:hAnsi="Times New Roman"/>
          <w:b w:val="0"/>
          <w:bCs w:val="0"/>
        </w:rPr>
      </w:pPr>
    </w:p>
    <w:p w14:paraId="2318749A">
      <w:pPr>
        <w:spacing w:line="560" w:lineRule="exact"/>
        <w:rPr>
          <w:rFonts w:ascii="Times New Roman" w:hAnsi="Times New Roman"/>
          <w:b w:val="0"/>
          <w:bCs w:val="0"/>
        </w:rPr>
      </w:pPr>
    </w:p>
    <w:p w14:paraId="499E4D71">
      <w:pPr>
        <w:spacing w:line="560" w:lineRule="exact"/>
        <w:rPr>
          <w:rFonts w:ascii="Times New Roman" w:hAnsi="Times New Roman"/>
          <w:b w:val="0"/>
          <w:bCs w:val="0"/>
        </w:rPr>
      </w:pPr>
    </w:p>
    <w:p w14:paraId="24E91927">
      <w:pPr>
        <w:spacing w:line="560" w:lineRule="exact"/>
        <w:rPr>
          <w:rFonts w:ascii="Times New Roman" w:hAnsi="Times New Roman"/>
          <w:b w:val="0"/>
          <w:bCs w:val="0"/>
        </w:rPr>
      </w:pPr>
    </w:p>
    <w:p w14:paraId="7C57BA9C">
      <w:pPr>
        <w:spacing w:line="560" w:lineRule="exact"/>
        <w:rPr>
          <w:rFonts w:ascii="Times New Roman" w:hAnsi="Times New Roman"/>
          <w:b w:val="0"/>
          <w:bCs w:val="0"/>
        </w:rPr>
      </w:pPr>
    </w:p>
    <w:p w14:paraId="63029857">
      <w:pPr>
        <w:spacing w:line="560" w:lineRule="exact"/>
        <w:jc w:val="center"/>
        <w:rPr>
          <w:rFonts w:ascii="Times New Roman" w:hAnsi="Times New Roman" w:eastAsia="方正黑体_GBK"/>
          <w:b w:val="0"/>
          <w:bCs w:val="0"/>
          <w:sz w:val="32"/>
          <w:szCs w:val="32"/>
        </w:rPr>
      </w:pPr>
    </w:p>
    <w:p w14:paraId="54B1C697">
      <w:pPr>
        <w:spacing w:line="560" w:lineRule="exact"/>
        <w:jc w:val="center"/>
        <w:rPr>
          <w:rFonts w:ascii="Times New Roman" w:hAnsi="Times New Roman" w:eastAsia="方正黑体_GBK"/>
          <w:b w:val="0"/>
          <w:bCs w:val="0"/>
          <w:sz w:val="32"/>
          <w:szCs w:val="32"/>
        </w:rPr>
      </w:pPr>
    </w:p>
    <w:p w14:paraId="636D394D">
      <w:pPr>
        <w:spacing w:line="560" w:lineRule="exact"/>
        <w:jc w:val="center"/>
        <w:rPr>
          <w:rFonts w:ascii="Times New Roman" w:hAnsi="Times New Roman" w:eastAsia="方正黑体_GBK"/>
          <w:b w:val="0"/>
          <w:bCs w:val="0"/>
          <w:sz w:val="32"/>
          <w:szCs w:val="32"/>
        </w:rPr>
      </w:pPr>
    </w:p>
    <w:p w14:paraId="4D55CBFA">
      <w:pPr>
        <w:spacing w:line="560" w:lineRule="exact"/>
        <w:jc w:val="center"/>
        <w:rPr>
          <w:rFonts w:ascii="Times New Roman" w:hAnsi="Times New Roman" w:eastAsia="方正黑体_GBK"/>
          <w:b w:val="0"/>
          <w:bCs w:val="0"/>
          <w:sz w:val="32"/>
          <w:szCs w:val="32"/>
        </w:rPr>
      </w:pPr>
    </w:p>
    <w:p w14:paraId="3EC511D3">
      <w:pPr>
        <w:spacing w:line="560" w:lineRule="exact"/>
        <w:jc w:val="center"/>
        <w:rPr>
          <w:rFonts w:ascii="Times New Roman" w:hAnsi="Times New Roman" w:eastAsia="方正黑体_GBK"/>
          <w:b w:val="0"/>
          <w:bCs w:val="0"/>
          <w:sz w:val="32"/>
          <w:szCs w:val="32"/>
        </w:rPr>
      </w:pPr>
      <w:r>
        <w:rPr>
          <w:rFonts w:hint="eastAsia" w:ascii="Times New Roman" w:hAnsi="Times New Roman" w:eastAsia="方正黑体_GBK"/>
          <w:b w:val="0"/>
          <w:bCs w:val="0"/>
          <w:sz w:val="32"/>
          <w:szCs w:val="32"/>
        </w:rPr>
        <w:t>云阳县卫生健康委员会</w:t>
      </w:r>
    </w:p>
    <w:p w14:paraId="617251EA">
      <w:pPr>
        <w:spacing w:line="560" w:lineRule="exact"/>
        <w:jc w:val="center"/>
        <w:rPr>
          <w:rFonts w:ascii="Times New Roman" w:hAnsi="Times New Roman" w:eastAsia="方正黑体_GBK"/>
          <w:b w:val="0"/>
          <w:bCs w:val="0"/>
          <w:sz w:val="32"/>
          <w:szCs w:val="32"/>
        </w:rPr>
      </w:pPr>
      <w:r>
        <w:rPr>
          <w:rFonts w:hint="eastAsia" w:ascii="Times New Roman" w:hAnsi="Times New Roman" w:eastAsia="方正黑体_GBK"/>
          <w:b w:val="0"/>
          <w:bCs w:val="0"/>
          <w:sz w:val="32"/>
          <w:szCs w:val="32"/>
          <w:lang w:eastAsia="zh-CN"/>
        </w:rPr>
        <w:t>二〇二二</w:t>
      </w:r>
      <w:r>
        <w:rPr>
          <w:rFonts w:hint="eastAsia" w:ascii="Times New Roman" w:hAnsi="Times New Roman" w:eastAsia="方正黑体_GBK"/>
          <w:b w:val="0"/>
          <w:bCs w:val="0"/>
          <w:sz w:val="32"/>
          <w:szCs w:val="32"/>
        </w:rPr>
        <w:t>年</w:t>
      </w:r>
      <w:r>
        <w:rPr>
          <w:rFonts w:hint="eastAsia" w:ascii="Times New Roman" w:hAnsi="Times New Roman" w:eastAsia="方正黑体_GBK"/>
          <w:b w:val="0"/>
          <w:bCs w:val="0"/>
          <w:sz w:val="32"/>
          <w:szCs w:val="32"/>
          <w:lang w:eastAsia="zh-CN"/>
        </w:rPr>
        <w:t>三</w:t>
      </w:r>
      <w:r>
        <w:rPr>
          <w:rFonts w:hint="eastAsia" w:ascii="Times New Roman" w:hAnsi="Times New Roman" w:eastAsia="方正黑体_GBK"/>
          <w:b w:val="0"/>
          <w:bCs w:val="0"/>
          <w:sz w:val="32"/>
          <w:szCs w:val="32"/>
        </w:rPr>
        <w:t>月</w:t>
      </w:r>
    </w:p>
    <w:p w14:paraId="50ABBF94">
      <w:pPr>
        <w:jc w:val="center"/>
        <w:rPr>
          <w:rFonts w:hint="eastAsia" w:ascii="Times New Roman" w:hAnsi="Times New Roman" w:eastAsia="方正黑体_GBK" w:cs="方正黑体_GBK"/>
          <w:b w:val="0"/>
          <w:bCs w:val="0"/>
          <w:sz w:val="30"/>
          <w:szCs w:val="30"/>
        </w:rPr>
      </w:pPr>
      <w:bookmarkStart w:id="0" w:name="_Toc2367_WPSOffice_Type2"/>
    </w:p>
    <w:p w14:paraId="6ACB122D">
      <w:pPr>
        <w:jc w:val="center"/>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目   录</w:t>
      </w:r>
    </w:p>
    <w:p w14:paraId="4D74BA5E">
      <w:pPr>
        <w:tabs>
          <w:tab w:val="right" w:leader="dot" w:pos="9016"/>
        </w:tabs>
        <w:rPr>
          <w:rFonts w:ascii="Times New Roman" w:hAnsi="Times New Roman" w:eastAsia="宋体" w:cs="Times New Roman"/>
          <w:b w:val="0"/>
          <w:bCs w:val="0"/>
          <w:sz w:val="30"/>
          <w:szCs w:val="30"/>
          <w:lang w:val="en-US" w:eastAsia="zh-CN" w:bidi="ar-SA"/>
        </w:rPr>
      </w:pPr>
      <w:r>
        <w:rPr>
          <w:rFonts w:ascii="Times New Roman" w:hAnsi="Times New Roman" w:eastAsia="宋体" w:cs="Times New Roman"/>
          <w:b w:val="0"/>
          <w:bCs w:val="0"/>
          <w:lang w:val="en-US" w:eastAsia="zh-CN" w:bidi="ar-SA"/>
        </w:rPr>
        <w:fldChar w:fldCharType="begin"/>
      </w:r>
      <w:r>
        <w:rPr>
          <w:rFonts w:ascii="Times New Roman" w:hAnsi="Times New Roman" w:eastAsia="宋体" w:cs="Times New Roman"/>
          <w:b w:val="0"/>
          <w:bCs w:val="0"/>
          <w:lang w:val="en-US" w:eastAsia="zh-CN" w:bidi="ar-SA"/>
        </w:rPr>
        <w:instrText xml:space="preserve"> HYPERLINK \l "_Toc24834_WPSOffice_Level1" </w:instrText>
      </w:r>
      <w:r>
        <w:rPr>
          <w:rFonts w:ascii="Times New Roman" w:hAnsi="Times New Roman" w:eastAsia="宋体" w:cs="Times New Roman"/>
          <w:b w:val="0"/>
          <w:bCs w:val="0"/>
          <w:lang w:val="en-US" w:eastAsia="zh-CN" w:bidi="ar-SA"/>
        </w:rPr>
        <w:fldChar w:fldCharType="separate"/>
      </w:r>
      <w:r>
        <w:rPr>
          <w:rFonts w:hint="eastAsia" w:ascii="Times New Roman" w:hAnsi="Times New Roman" w:eastAsia="方正黑体_GBK" w:cs="Times New Roman"/>
          <w:b w:val="0"/>
          <w:bCs w:val="0"/>
          <w:sz w:val="30"/>
          <w:szCs w:val="30"/>
          <w:lang w:val="en-US" w:eastAsia="zh-CN" w:bidi="ar-SA"/>
        </w:rPr>
        <w:t>一 、规划背景</w:t>
      </w:r>
      <w:r>
        <w:rPr>
          <w:rFonts w:ascii="Times New Roman" w:hAnsi="Times New Roman" w:eastAsia="宋体" w:cs="Times New Roman"/>
          <w:b w:val="0"/>
          <w:bCs w:val="0"/>
          <w:sz w:val="30"/>
          <w:szCs w:val="30"/>
          <w:lang w:val="en-US" w:eastAsia="zh-CN" w:bidi="ar-SA"/>
        </w:rPr>
        <w:tab/>
      </w:r>
      <w:r>
        <w:rPr>
          <w:rFonts w:hint="eastAsia" w:ascii="Times New Roman" w:hAnsi="Times New Roman" w:eastAsia="宋体" w:cs="Times New Roman"/>
          <w:b w:val="0"/>
          <w:bCs w:val="0"/>
          <w:sz w:val="30"/>
          <w:szCs w:val="30"/>
          <w:lang w:val="en-US" w:eastAsia="zh-CN" w:bidi="ar-SA"/>
        </w:rPr>
        <w:t>5</w:t>
      </w:r>
      <w:r>
        <w:rPr>
          <w:rFonts w:hint="eastAsia" w:ascii="Times New Roman" w:hAnsi="Times New Roman" w:eastAsia="宋体" w:cs="Times New Roman"/>
          <w:b w:val="0"/>
          <w:bCs w:val="0"/>
          <w:sz w:val="30"/>
          <w:szCs w:val="30"/>
          <w:lang w:val="en-US" w:eastAsia="zh-CN" w:bidi="ar-SA"/>
        </w:rPr>
        <w:fldChar w:fldCharType="end"/>
      </w:r>
    </w:p>
    <w:p w14:paraId="30A4E1A3">
      <w:pPr>
        <w:tabs>
          <w:tab w:val="right" w:leader="dot" w:pos="9016"/>
        </w:tabs>
        <w:ind w:left="420" w:leftChars="200"/>
        <w:rPr>
          <w:rFonts w:hint="eastAsia" w:ascii="Times New Roman" w:hAnsi="Times New Roman" w:eastAsia="方正楷体_GBK" w:cs="Times New Roman"/>
          <w:b w:val="0"/>
          <w:bCs w:val="0"/>
          <w:sz w:val="30"/>
          <w:szCs w:val="30"/>
          <w:lang w:val="en-US" w:eastAsia="zh-CN" w:bidi="ar-SA"/>
        </w:rPr>
      </w:pPr>
      <w:r>
        <w:rPr>
          <w:rFonts w:ascii="Times New Roman" w:hAnsi="Times New Roman" w:eastAsia="宋体" w:cs="Times New Roman"/>
          <w:b w:val="0"/>
          <w:bCs w:val="0"/>
          <w:lang w:val="en-US" w:eastAsia="zh-CN" w:bidi="ar-SA"/>
        </w:rPr>
        <w:fldChar w:fldCharType="begin"/>
      </w:r>
      <w:r>
        <w:rPr>
          <w:rFonts w:ascii="Times New Roman" w:hAnsi="Times New Roman" w:eastAsia="宋体" w:cs="Times New Roman"/>
          <w:b w:val="0"/>
          <w:bCs w:val="0"/>
          <w:lang w:val="en-US" w:eastAsia="zh-CN" w:bidi="ar-SA"/>
        </w:rPr>
        <w:instrText xml:space="preserve"> HYPERLINK \l "_Toc2367_WPSOffice_Level2" </w:instrText>
      </w:r>
      <w:r>
        <w:rPr>
          <w:rFonts w:ascii="Times New Roman" w:hAnsi="Times New Roman" w:eastAsia="宋体" w:cs="Times New Roman"/>
          <w:b w:val="0"/>
          <w:bCs w:val="0"/>
          <w:lang w:val="en-US" w:eastAsia="zh-CN" w:bidi="ar-SA"/>
        </w:rPr>
        <w:fldChar w:fldCharType="separate"/>
      </w:r>
      <w:r>
        <w:rPr>
          <w:rFonts w:hint="eastAsia" w:ascii="Times New Roman" w:hAnsi="Times New Roman" w:eastAsia="方正楷体_GBK" w:cs="Times New Roman"/>
          <w:b w:val="0"/>
          <w:bCs w:val="0"/>
          <w:sz w:val="30"/>
          <w:szCs w:val="30"/>
          <w:lang w:val="en-US" w:eastAsia="zh-CN" w:bidi="ar-SA"/>
        </w:rPr>
        <w:t>（一）“十三五”时期卫生健康事业发展成效</w:t>
      </w:r>
      <w:r>
        <w:rPr>
          <w:rFonts w:hint="eastAsia" w:ascii="Times New Roman" w:hAnsi="Times New Roman" w:eastAsia="方正楷体_GBK" w:cs="Times New Roman"/>
          <w:b w:val="0"/>
          <w:bCs w:val="0"/>
          <w:sz w:val="30"/>
          <w:szCs w:val="30"/>
          <w:lang w:val="en-US" w:eastAsia="zh-CN" w:bidi="ar-SA"/>
        </w:rPr>
        <w:tab/>
      </w:r>
      <w:r>
        <w:rPr>
          <w:rFonts w:hint="eastAsia" w:ascii="Times New Roman" w:hAnsi="Times New Roman" w:eastAsia="方正楷体_GBK" w:cs="Times New Roman"/>
          <w:b w:val="0"/>
          <w:bCs w:val="0"/>
          <w:sz w:val="30"/>
          <w:szCs w:val="30"/>
          <w:lang w:val="en-US" w:eastAsia="zh-CN" w:bidi="ar-SA"/>
        </w:rPr>
        <w:t>5</w:t>
      </w:r>
      <w:r>
        <w:rPr>
          <w:rFonts w:hint="eastAsia" w:ascii="Times New Roman" w:hAnsi="Times New Roman" w:eastAsia="方正楷体_GBK" w:cs="Times New Roman"/>
          <w:b w:val="0"/>
          <w:bCs w:val="0"/>
          <w:sz w:val="30"/>
          <w:szCs w:val="30"/>
          <w:lang w:val="en-US" w:eastAsia="zh-CN" w:bidi="ar-SA"/>
        </w:rPr>
        <w:fldChar w:fldCharType="end"/>
      </w:r>
    </w:p>
    <w:p w14:paraId="087C9AC5">
      <w:pPr>
        <w:tabs>
          <w:tab w:val="right" w:leader="dot" w:pos="9016"/>
        </w:tabs>
        <w:ind w:left="420" w:leftChars="200"/>
        <w:rPr>
          <w:rFonts w:hint="eastAsia" w:ascii="Times New Roman" w:hAnsi="Times New Roman" w:eastAsia="方正楷体_GBK" w:cs="Times New Roman"/>
          <w:b w:val="0"/>
          <w:bCs w:val="0"/>
          <w:sz w:val="30"/>
          <w:szCs w:val="30"/>
          <w:lang w:val="en-US" w:eastAsia="zh-CN" w:bidi="ar-SA"/>
        </w:rPr>
      </w:pPr>
      <w:r>
        <w:rPr>
          <w:rFonts w:ascii="Times New Roman" w:hAnsi="Times New Roman" w:eastAsia="宋体" w:cs="Times New Roman"/>
          <w:b w:val="0"/>
          <w:bCs w:val="0"/>
          <w:lang w:val="en-US" w:eastAsia="zh-CN" w:bidi="ar-SA"/>
        </w:rPr>
        <w:fldChar w:fldCharType="begin"/>
      </w:r>
      <w:r>
        <w:rPr>
          <w:rFonts w:ascii="Times New Roman" w:hAnsi="Times New Roman" w:eastAsia="宋体" w:cs="Times New Roman"/>
          <w:b w:val="0"/>
          <w:bCs w:val="0"/>
          <w:lang w:val="en-US" w:eastAsia="zh-CN" w:bidi="ar-SA"/>
        </w:rPr>
        <w:instrText xml:space="preserve"> HYPERLINK \l "_Toc23315_WPSOffice_Level2" </w:instrText>
      </w:r>
      <w:r>
        <w:rPr>
          <w:rFonts w:ascii="Times New Roman" w:hAnsi="Times New Roman" w:eastAsia="宋体" w:cs="Times New Roman"/>
          <w:b w:val="0"/>
          <w:bCs w:val="0"/>
          <w:lang w:val="en-US" w:eastAsia="zh-CN" w:bidi="ar-SA"/>
        </w:rPr>
        <w:fldChar w:fldCharType="separate"/>
      </w:r>
      <w:r>
        <w:rPr>
          <w:rFonts w:hint="eastAsia" w:ascii="Times New Roman" w:hAnsi="Times New Roman" w:eastAsia="方正楷体_GBK" w:cs="Times New Roman"/>
          <w:b w:val="0"/>
          <w:bCs w:val="0"/>
          <w:sz w:val="30"/>
          <w:szCs w:val="30"/>
          <w:lang w:val="en-US" w:eastAsia="zh-CN" w:bidi="ar-SA"/>
        </w:rPr>
        <w:t>（二）“十四五”时期面临的机遇和挑战</w:t>
      </w:r>
      <w:r>
        <w:rPr>
          <w:rFonts w:hint="eastAsia" w:ascii="Times New Roman" w:hAnsi="Times New Roman" w:eastAsia="方正楷体_GBK" w:cs="Times New Roman"/>
          <w:b w:val="0"/>
          <w:bCs w:val="0"/>
          <w:sz w:val="30"/>
          <w:szCs w:val="30"/>
          <w:lang w:val="en-US" w:eastAsia="zh-CN" w:bidi="ar-SA"/>
        </w:rPr>
        <w:tab/>
      </w:r>
      <w:r>
        <w:rPr>
          <w:rFonts w:hint="eastAsia" w:ascii="Times New Roman" w:hAnsi="Times New Roman" w:eastAsia="方正楷体_GBK" w:cs="Times New Roman"/>
          <w:b w:val="0"/>
          <w:bCs w:val="0"/>
          <w:sz w:val="30"/>
          <w:szCs w:val="30"/>
          <w:lang w:val="en-US" w:eastAsia="zh-CN" w:bidi="ar-SA"/>
        </w:rPr>
        <w:t>1</w:t>
      </w:r>
      <w:r>
        <w:rPr>
          <w:rFonts w:hint="eastAsia" w:ascii="Times New Roman" w:hAnsi="Times New Roman" w:eastAsia="方正楷体_GBK" w:cs="Times New Roman"/>
          <w:b w:val="0"/>
          <w:bCs w:val="0"/>
          <w:sz w:val="30"/>
          <w:szCs w:val="30"/>
          <w:lang w:val="en-US" w:eastAsia="zh-CN" w:bidi="ar-SA"/>
        </w:rPr>
        <w:fldChar w:fldCharType="end"/>
      </w:r>
      <w:r>
        <w:rPr>
          <w:rFonts w:hint="eastAsia" w:ascii="Times New Roman" w:hAnsi="Times New Roman" w:eastAsia="方正楷体_GBK" w:cs="Times New Roman"/>
          <w:b w:val="0"/>
          <w:bCs w:val="0"/>
          <w:sz w:val="30"/>
          <w:szCs w:val="30"/>
          <w:lang w:val="en-US" w:eastAsia="zh-CN" w:bidi="ar-SA"/>
        </w:rPr>
        <w:t>2</w:t>
      </w:r>
    </w:p>
    <w:p w14:paraId="7950F112">
      <w:pPr>
        <w:tabs>
          <w:tab w:val="right" w:leader="dot" w:pos="9016"/>
        </w:tabs>
        <w:rPr>
          <w:rFonts w:ascii="Times New Roman" w:hAnsi="Times New Roman" w:eastAsia="宋体" w:cs="Times New Roman"/>
          <w:b w:val="0"/>
          <w:bCs w:val="0"/>
          <w:sz w:val="30"/>
          <w:szCs w:val="30"/>
          <w:lang w:val="en-US" w:eastAsia="zh-CN" w:bidi="ar-SA"/>
        </w:rPr>
      </w:pPr>
      <w:r>
        <w:rPr>
          <w:rFonts w:ascii="Times New Roman" w:hAnsi="Times New Roman" w:eastAsia="宋体" w:cs="Times New Roman"/>
          <w:b w:val="0"/>
          <w:bCs w:val="0"/>
          <w:lang w:val="en-US" w:eastAsia="zh-CN" w:bidi="ar-SA"/>
        </w:rPr>
        <w:fldChar w:fldCharType="begin"/>
      </w:r>
      <w:r>
        <w:rPr>
          <w:rFonts w:ascii="Times New Roman" w:hAnsi="Times New Roman" w:eastAsia="宋体" w:cs="Times New Roman"/>
          <w:b w:val="0"/>
          <w:bCs w:val="0"/>
          <w:lang w:val="en-US" w:eastAsia="zh-CN" w:bidi="ar-SA"/>
        </w:rPr>
        <w:instrText xml:space="preserve"> HYPERLINK \l "_Toc2367_WPSOffice_Level1" </w:instrText>
      </w:r>
      <w:r>
        <w:rPr>
          <w:rFonts w:ascii="Times New Roman" w:hAnsi="Times New Roman" w:eastAsia="宋体" w:cs="Times New Roman"/>
          <w:b w:val="0"/>
          <w:bCs w:val="0"/>
          <w:lang w:val="en-US" w:eastAsia="zh-CN" w:bidi="ar-SA"/>
        </w:rPr>
        <w:fldChar w:fldCharType="separate"/>
      </w:r>
      <w:r>
        <w:rPr>
          <w:rFonts w:hint="eastAsia" w:ascii="Times New Roman" w:hAnsi="Times New Roman" w:eastAsia="方正黑体_GBK" w:cs="Times New Roman"/>
          <w:b w:val="0"/>
          <w:bCs w:val="0"/>
          <w:sz w:val="30"/>
          <w:szCs w:val="30"/>
          <w:lang w:val="en-US" w:eastAsia="zh-CN" w:bidi="ar-SA"/>
        </w:rPr>
        <w:t>二、指导思想、基本原则及发展目标</w:t>
      </w:r>
      <w:r>
        <w:rPr>
          <w:rFonts w:ascii="Times New Roman" w:hAnsi="Times New Roman" w:eastAsia="宋体" w:cs="Times New Roman"/>
          <w:b w:val="0"/>
          <w:bCs w:val="0"/>
          <w:sz w:val="30"/>
          <w:szCs w:val="30"/>
          <w:lang w:val="en-US" w:eastAsia="zh-CN" w:bidi="ar-SA"/>
        </w:rPr>
        <w:tab/>
      </w:r>
      <w:r>
        <w:rPr>
          <w:rFonts w:hint="eastAsia" w:ascii="Times New Roman" w:hAnsi="Times New Roman" w:eastAsia="宋体" w:cs="Times New Roman"/>
          <w:b w:val="0"/>
          <w:bCs w:val="0"/>
          <w:sz w:val="30"/>
          <w:szCs w:val="30"/>
          <w:lang w:val="en-US" w:eastAsia="zh-CN" w:bidi="ar-SA"/>
        </w:rPr>
        <w:t>1</w:t>
      </w:r>
      <w:r>
        <w:rPr>
          <w:rFonts w:hint="eastAsia" w:ascii="Times New Roman" w:hAnsi="Times New Roman" w:eastAsia="宋体" w:cs="Times New Roman"/>
          <w:b w:val="0"/>
          <w:bCs w:val="0"/>
          <w:sz w:val="30"/>
          <w:szCs w:val="30"/>
          <w:lang w:val="en-US" w:eastAsia="zh-CN" w:bidi="ar-SA"/>
        </w:rPr>
        <w:fldChar w:fldCharType="end"/>
      </w:r>
      <w:r>
        <w:rPr>
          <w:rFonts w:hint="eastAsia" w:ascii="Times New Roman" w:hAnsi="Times New Roman" w:eastAsia="宋体" w:cs="Times New Roman"/>
          <w:b w:val="0"/>
          <w:bCs w:val="0"/>
          <w:sz w:val="30"/>
          <w:szCs w:val="30"/>
          <w:lang w:val="en-US" w:eastAsia="zh-CN" w:bidi="ar-SA"/>
        </w:rPr>
        <w:t>4</w:t>
      </w:r>
    </w:p>
    <w:p w14:paraId="47CE0DD5">
      <w:pPr>
        <w:tabs>
          <w:tab w:val="right" w:leader="dot" w:pos="9016"/>
        </w:tabs>
        <w:ind w:left="420" w:leftChars="200"/>
        <w:rPr>
          <w:rFonts w:hint="eastAsia" w:ascii="Times New Roman" w:hAnsi="Times New Roman" w:eastAsia="方正楷体_GBK" w:cs="Times New Roman"/>
          <w:b w:val="0"/>
          <w:bCs w:val="0"/>
          <w:sz w:val="30"/>
          <w:szCs w:val="30"/>
          <w:lang w:val="en-US" w:eastAsia="zh-CN" w:bidi="ar-SA"/>
        </w:rPr>
      </w:pPr>
      <w:r>
        <w:rPr>
          <w:rFonts w:ascii="Times New Roman" w:hAnsi="Times New Roman" w:eastAsia="宋体" w:cs="Times New Roman"/>
          <w:b w:val="0"/>
          <w:bCs w:val="0"/>
          <w:lang w:val="en-US" w:eastAsia="zh-CN" w:bidi="ar-SA"/>
        </w:rPr>
        <w:fldChar w:fldCharType="begin"/>
      </w:r>
      <w:r>
        <w:rPr>
          <w:rFonts w:ascii="Times New Roman" w:hAnsi="Times New Roman" w:eastAsia="宋体" w:cs="Times New Roman"/>
          <w:b w:val="0"/>
          <w:bCs w:val="0"/>
          <w:lang w:val="en-US" w:eastAsia="zh-CN" w:bidi="ar-SA"/>
        </w:rPr>
        <w:instrText xml:space="preserve"> HYPERLINK \l "_Toc3498_WPSOffice_Level2" </w:instrText>
      </w:r>
      <w:r>
        <w:rPr>
          <w:rFonts w:ascii="Times New Roman" w:hAnsi="Times New Roman" w:eastAsia="宋体" w:cs="Times New Roman"/>
          <w:b w:val="0"/>
          <w:bCs w:val="0"/>
          <w:lang w:val="en-US" w:eastAsia="zh-CN" w:bidi="ar-SA"/>
        </w:rPr>
        <w:fldChar w:fldCharType="separate"/>
      </w:r>
      <w:r>
        <w:rPr>
          <w:rFonts w:hint="eastAsia" w:ascii="Times New Roman" w:hAnsi="Times New Roman" w:eastAsia="方正楷体_GBK" w:cs="楷体"/>
          <w:b w:val="0"/>
          <w:bCs w:val="0"/>
          <w:sz w:val="30"/>
          <w:szCs w:val="30"/>
          <w:lang w:val="en-US" w:eastAsia="zh-CN" w:bidi="ar-SA"/>
        </w:rPr>
        <w:t>（一）指导思想</w:t>
      </w:r>
      <w:r>
        <w:rPr>
          <w:rFonts w:hint="eastAsia" w:ascii="Times New Roman" w:hAnsi="Times New Roman" w:eastAsia="方正楷体_GBK" w:cs="Times New Roman"/>
          <w:b w:val="0"/>
          <w:bCs w:val="0"/>
          <w:sz w:val="30"/>
          <w:szCs w:val="30"/>
          <w:lang w:val="en-US" w:eastAsia="zh-CN" w:bidi="ar-SA"/>
        </w:rPr>
        <w:tab/>
      </w:r>
      <w:r>
        <w:rPr>
          <w:rFonts w:hint="eastAsia" w:ascii="Times New Roman" w:hAnsi="Times New Roman" w:eastAsia="方正楷体_GBK" w:cs="Times New Roman"/>
          <w:b w:val="0"/>
          <w:bCs w:val="0"/>
          <w:sz w:val="30"/>
          <w:szCs w:val="30"/>
          <w:lang w:val="en-US" w:eastAsia="zh-CN" w:bidi="ar-SA"/>
        </w:rPr>
        <w:t>1</w:t>
      </w:r>
      <w:r>
        <w:rPr>
          <w:rFonts w:hint="eastAsia" w:ascii="Times New Roman" w:hAnsi="Times New Roman" w:eastAsia="方正楷体_GBK" w:cs="Times New Roman"/>
          <w:b w:val="0"/>
          <w:bCs w:val="0"/>
          <w:sz w:val="30"/>
          <w:szCs w:val="30"/>
          <w:lang w:val="en-US" w:eastAsia="zh-CN" w:bidi="ar-SA"/>
        </w:rPr>
        <w:fldChar w:fldCharType="end"/>
      </w:r>
      <w:r>
        <w:rPr>
          <w:rFonts w:hint="eastAsia" w:ascii="Times New Roman" w:hAnsi="Times New Roman" w:eastAsia="方正楷体_GBK" w:cs="Times New Roman"/>
          <w:b w:val="0"/>
          <w:bCs w:val="0"/>
          <w:sz w:val="30"/>
          <w:szCs w:val="30"/>
          <w:lang w:val="en-US" w:eastAsia="zh-CN" w:bidi="ar-SA"/>
        </w:rPr>
        <w:t>4</w:t>
      </w:r>
    </w:p>
    <w:p w14:paraId="79277BC9">
      <w:pPr>
        <w:tabs>
          <w:tab w:val="right" w:leader="dot" w:pos="9016"/>
        </w:tabs>
        <w:ind w:left="420" w:leftChars="200"/>
        <w:rPr>
          <w:rFonts w:hint="eastAsia" w:ascii="Times New Roman" w:hAnsi="Times New Roman" w:eastAsia="方正楷体_GBK" w:cs="Times New Roman"/>
          <w:b w:val="0"/>
          <w:bCs w:val="0"/>
          <w:sz w:val="30"/>
          <w:szCs w:val="30"/>
          <w:lang w:val="en-US" w:eastAsia="zh-CN" w:bidi="ar-SA"/>
        </w:rPr>
      </w:pPr>
      <w:r>
        <w:rPr>
          <w:rFonts w:ascii="Times New Roman" w:hAnsi="Times New Roman" w:eastAsia="宋体" w:cs="Times New Roman"/>
          <w:b w:val="0"/>
          <w:bCs w:val="0"/>
          <w:lang w:val="en-US" w:eastAsia="zh-CN" w:bidi="ar-SA"/>
        </w:rPr>
        <w:fldChar w:fldCharType="begin"/>
      </w:r>
      <w:r>
        <w:rPr>
          <w:rFonts w:ascii="Times New Roman" w:hAnsi="Times New Roman" w:eastAsia="宋体" w:cs="Times New Roman"/>
          <w:b w:val="0"/>
          <w:bCs w:val="0"/>
          <w:lang w:val="en-US" w:eastAsia="zh-CN" w:bidi="ar-SA"/>
        </w:rPr>
        <w:instrText xml:space="preserve"> HYPERLINK \l "_Toc5793_WPSOffice_Level2" </w:instrText>
      </w:r>
      <w:r>
        <w:rPr>
          <w:rFonts w:ascii="Times New Roman" w:hAnsi="Times New Roman" w:eastAsia="宋体" w:cs="Times New Roman"/>
          <w:b w:val="0"/>
          <w:bCs w:val="0"/>
          <w:lang w:val="en-US" w:eastAsia="zh-CN" w:bidi="ar-SA"/>
        </w:rPr>
        <w:fldChar w:fldCharType="separate"/>
      </w:r>
      <w:r>
        <w:rPr>
          <w:rFonts w:hint="eastAsia" w:ascii="Times New Roman" w:hAnsi="Times New Roman" w:eastAsia="方正楷体_GBK" w:cs="楷体"/>
          <w:b w:val="0"/>
          <w:bCs w:val="0"/>
          <w:sz w:val="30"/>
          <w:szCs w:val="30"/>
          <w:lang w:val="en-US" w:eastAsia="zh-CN" w:bidi="ar-SA"/>
        </w:rPr>
        <w:t>（二）基本原则</w:t>
      </w:r>
      <w:r>
        <w:rPr>
          <w:rFonts w:hint="eastAsia" w:ascii="Times New Roman" w:hAnsi="Times New Roman" w:eastAsia="方正楷体_GBK" w:cs="Times New Roman"/>
          <w:b w:val="0"/>
          <w:bCs w:val="0"/>
          <w:sz w:val="30"/>
          <w:szCs w:val="30"/>
          <w:lang w:val="en-US" w:eastAsia="zh-CN" w:bidi="ar-SA"/>
        </w:rPr>
        <w:tab/>
      </w:r>
      <w:r>
        <w:rPr>
          <w:rFonts w:hint="eastAsia" w:ascii="Times New Roman" w:hAnsi="Times New Roman" w:eastAsia="方正楷体_GBK" w:cs="Times New Roman"/>
          <w:b w:val="0"/>
          <w:bCs w:val="0"/>
          <w:sz w:val="30"/>
          <w:szCs w:val="30"/>
          <w:lang w:val="en-US" w:eastAsia="zh-CN" w:bidi="ar-SA"/>
        </w:rPr>
        <w:t>1</w:t>
      </w:r>
      <w:r>
        <w:rPr>
          <w:rFonts w:hint="eastAsia" w:ascii="Times New Roman" w:hAnsi="Times New Roman" w:eastAsia="方正楷体_GBK" w:cs="Times New Roman"/>
          <w:b w:val="0"/>
          <w:bCs w:val="0"/>
          <w:sz w:val="30"/>
          <w:szCs w:val="30"/>
          <w:lang w:val="en-US" w:eastAsia="zh-CN" w:bidi="ar-SA"/>
        </w:rPr>
        <w:fldChar w:fldCharType="end"/>
      </w:r>
      <w:r>
        <w:rPr>
          <w:rFonts w:hint="eastAsia" w:ascii="Times New Roman" w:hAnsi="Times New Roman" w:eastAsia="方正楷体_GBK" w:cs="Times New Roman"/>
          <w:b w:val="0"/>
          <w:bCs w:val="0"/>
          <w:sz w:val="30"/>
          <w:szCs w:val="30"/>
          <w:lang w:val="en-US" w:eastAsia="zh-CN" w:bidi="ar-SA"/>
        </w:rPr>
        <w:t>5</w:t>
      </w:r>
    </w:p>
    <w:p w14:paraId="5335E0F8">
      <w:pPr>
        <w:tabs>
          <w:tab w:val="right" w:leader="dot" w:pos="9016"/>
        </w:tabs>
        <w:ind w:left="420" w:leftChars="200"/>
        <w:rPr>
          <w:rFonts w:hint="eastAsia" w:ascii="Times New Roman" w:hAnsi="Times New Roman" w:eastAsia="方正楷体_GBK" w:cs="Times New Roman"/>
          <w:b w:val="0"/>
          <w:bCs w:val="0"/>
          <w:sz w:val="30"/>
          <w:szCs w:val="30"/>
          <w:lang w:val="en-US" w:eastAsia="zh-CN" w:bidi="ar-SA"/>
        </w:rPr>
      </w:pPr>
      <w:r>
        <w:rPr>
          <w:rFonts w:ascii="Times New Roman" w:hAnsi="Times New Roman" w:eastAsia="宋体" w:cs="Times New Roman"/>
          <w:b w:val="0"/>
          <w:bCs w:val="0"/>
          <w:lang w:val="en-US" w:eastAsia="zh-CN" w:bidi="ar-SA"/>
        </w:rPr>
        <w:fldChar w:fldCharType="begin"/>
      </w:r>
      <w:r>
        <w:rPr>
          <w:rFonts w:ascii="Times New Roman" w:hAnsi="Times New Roman" w:eastAsia="宋体" w:cs="Times New Roman"/>
          <w:b w:val="0"/>
          <w:bCs w:val="0"/>
          <w:lang w:val="en-US" w:eastAsia="zh-CN" w:bidi="ar-SA"/>
        </w:rPr>
        <w:instrText xml:space="preserve"> HYPERLINK \l "_Toc3770_WPSOffice_Level2" </w:instrText>
      </w:r>
      <w:r>
        <w:rPr>
          <w:rFonts w:ascii="Times New Roman" w:hAnsi="Times New Roman" w:eastAsia="宋体" w:cs="Times New Roman"/>
          <w:b w:val="0"/>
          <w:bCs w:val="0"/>
          <w:lang w:val="en-US" w:eastAsia="zh-CN" w:bidi="ar-SA"/>
        </w:rPr>
        <w:fldChar w:fldCharType="separate"/>
      </w:r>
      <w:r>
        <w:rPr>
          <w:rFonts w:hint="eastAsia" w:ascii="Times New Roman" w:hAnsi="Times New Roman" w:eastAsia="方正楷体_GBK" w:cs="楷体"/>
          <w:b w:val="0"/>
          <w:bCs w:val="0"/>
          <w:sz w:val="30"/>
          <w:szCs w:val="30"/>
          <w:lang w:val="en-US" w:eastAsia="zh-CN" w:bidi="ar-SA"/>
        </w:rPr>
        <w:t>（三）发展目标</w:t>
      </w:r>
      <w:r>
        <w:rPr>
          <w:rFonts w:hint="eastAsia" w:ascii="Times New Roman" w:hAnsi="Times New Roman" w:eastAsia="方正楷体_GBK" w:cs="Times New Roman"/>
          <w:b w:val="0"/>
          <w:bCs w:val="0"/>
          <w:sz w:val="30"/>
          <w:szCs w:val="30"/>
          <w:lang w:val="en-US" w:eastAsia="zh-CN" w:bidi="ar-SA"/>
        </w:rPr>
        <w:tab/>
      </w:r>
      <w:r>
        <w:rPr>
          <w:rFonts w:hint="eastAsia" w:ascii="Times New Roman" w:hAnsi="Times New Roman" w:eastAsia="方正楷体_GBK" w:cs="Times New Roman"/>
          <w:b w:val="0"/>
          <w:bCs w:val="0"/>
          <w:sz w:val="30"/>
          <w:szCs w:val="30"/>
          <w:lang w:val="en-US" w:eastAsia="zh-CN" w:bidi="ar-SA"/>
        </w:rPr>
        <w:t>1</w:t>
      </w:r>
      <w:r>
        <w:rPr>
          <w:rFonts w:hint="eastAsia" w:ascii="Times New Roman" w:hAnsi="Times New Roman" w:eastAsia="方正楷体_GBK" w:cs="Times New Roman"/>
          <w:b w:val="0"/>
          <w:bCs w:val="0"/>
          <w:sz w:val="30"/>
          <w:szCs w:val="30"/>
          <w:lang w:val="en-US" w:eastAsia="zh-CN" w:bidi="ar-SA"/>
        </w:rPr>
        <w:fldChar w:fldCharType="end"/>
      </w:r>
      <w:r>
        <w:rPr>
          <w:rFonts w:hint="eastAsia" w:ascii="Times New Roman" w:hAnsi="Times New Roman" w:eastAsia="方正楷体_GBK" w:cs="Times New Roman"/>
          <w:b w:val="0"/>
          <w:bCs w:val="0"/>
          <w:sz w:val="30"/>
          <w:szCs w:val="30"/>
          <w:lang w:val="en-US" w:eastAsia="zh-CN" w:bidi="ar-SA"/>
        </w:rPr>
        <w:t>7</w:t>
      </w:r>
    </w:p>
    <w:p w14:paraId="3110BC7C">
      <w:pPr>
        <w:tabs>
          <w:tab w:val="right" w:leader="dot" w:pos="9016"/>
        </w:tabs>
        <w:rPr>
          <w:rFonts w:ascii="Times New Roman" w:hAnsi="Times New Roman" w:eastAsia="宋体" w:cs="Times New Roman"/>
          <w:b w:val="0"/>
          <w:bCs w:val="0"/>
          <w:sz w:val="30"/>
          <w:szCs w:val="30"/>
          <w:lang w:val="en-US" w:eastAsia="zh-CN" w:bidi="ar-SA"/>
        </w:rPr>
      </w:pPr>
      <w:r>
        <w:rPr>
          <w:rFonts w:ascii="Times New Roman" w:hAnsi="Times New Roman" w:eastAsia="宋体" w:cs="Times New Roman"/>
          <w:b w:val="0"/>
          <w:bCs w:val="0"/>
          <w:lang w:val="en-US" w:eastAsia="zh-CN" w:bidi="ar-SA"/>
        </w:rPr>
        <w:fldChar w:fldCharType="begin"/>
      </w:r>
      <w:r>
        <w:rPr>
          <w:rFonts w:ascii="Times New Roman" w:hAnsi="Times New Roman" w:eastAsia="宋体" w:cs="Times New Roman"/>
          <w:b w:val="0"/>
          <w:bCs w:val="0"/>
          <w:lang w:val="en-US" w:eastAsia="zh-CN" w:bidi="ar-SA"/>
        </w:rPr>
        <w:instrText xml:space="preserve"> HYPERLINK \l "_Toc23315_WPSOffice_Level1" </w:instrText>
      </w:r>
      <w:r>
        <w:rPr>
          <w:rFonts w:ascii="Times New Roman" w:hAnsi="Times New Roman" w:eastAsia="宋体" w:cs="Times New Roman"/>
          <w:b w:val="0"/>
          <w:bCs w:val="0"/>
          <w:lang w:val="en-US" w:eastAsia="zh-CN" w:bidi="ar-SA"/>
        </w:rPr>
        <w:fldChar w:fldCharType="separate"/>
      </w:r>
      <w:r>
        <w:rPr>
          <w:rFonts w:hint="eastAsia" w:ascii="Times New Roman" w:hAnsi="Times New Roman" w:eastAsia="方正黑体_GBK" w:cs="Times New Roman"/>
          <w:b w:val="0"/>
          <w:bCs w:val="0"/>
          <w:sz w:val="30"/>
          <w:szCs w:val="30"/>
          <w:lang w:val="en-US" w:eastAsia="zh-CN" w:bidi="ar-SA"/>
        </w:rPr>
        <w:t>三、重要任务和重大改革举措</w:t>
      </w:r>
      <w:r>
        <w:rPr>
          <w:rFonts w:ascii="Times New Roman" w:hAnsi="Times New Roman" w:eastAsia="宋体" w:cs="Times New Roman"/>
          <w:b w:val="0"/>
          <w:bCs w:val="0"/>
          <w:sz w:val="30"/>
          <w:szCs w:val="30"/>
          <w:lang w:val="en-US" w:eastAsia="zh-CN" w:bidi="ar-SA"/>
        </w:rPr>
        <w:tab/>
      </w:r>
      <w:r>
        <w:rPr>
          <w:rFonts w:hint="eastAsia" w:ascii="Times New Roman" w:hAnsi="Times New Roman" w:eastAsia="宋体" w:cs="Times New Roman"/>
          <w:b w:val="0"/>
          <w:bCs w:val="0"/>
          <w:sz w:val="30"/>
          <w:szCs w:val="30"/>
          <w:lang w:val="en-US" w:eastAsia="zh-CN" w:bidi="ar-SA"/>
        </w:rPr>
        <w:t>2</w:t>
      </w:r>
      <w:r>
        <w:rPr>
          <w:rFonts w:hint="eastAsia" w:ascii="Times New Roman" w:hAnsi="Times New Roman" w:eastAsia="宋体" w:cs="Times New Roman"/>
          <w:b w:val="0"/>
          <w:bCs w:val="0"/>
          <w:sz w:val="30"/>
          <w:szCs w:val="30"/>
          <w:lang w:val="en-US" w:eastAsia="zh-CN" w:bidi="ar-SA"/>
        </w:rPr>
        <w:fldChar w:fldCharType="end"/>
      </w:r>
      <w:r>
        <w:rPr>
          <w:rFonts w:hint="eastAsia" w:ascii="Times New Roman" w:hAnsi="Times New Roman" w:eastAsia="宋体" w:cs="Times New Roman"/>
          <w:b w:val="0"/>
          <w:bCs w:val="0"/>
          <w:sz w:val="30"/>
          <w:szCs w:val="30"/>
          <w:lang w:val="en-US" w:eastAsia="zh-CN" w:bidi="ar-SA"/>
        </w:rPr>
        <w:t>1</w:t>
      </w:r>
    </w:p>
    <w:p w14:paraId="4DDA34F7">
      <w:pPr>
        <w:tabs>
          <w:tab w:val="right" w:leader="dot" w:pos="9016"/>
        </w:tabs>
        <w:ind w:left="420" w:leftChars="200"/>
        <w:rPr>
          <w:rFonts w:hint="eastAsia" w:ascii="Times New Roman" w:hAnsi="Times New Roman" w:eastAsia="方正楷体_GBK" w:cs="Times New Roman"/>
          <w:b w:val="0"/>
          <w:bCs w:val="0"/>
          <w:sz w:val="30"/>
          <w:szCs w:val="30"/>
          <w:lang w:val="en-US" w:eastAsia="zh-CN" w:bidi="ar-SA"/>
        </w:rPr>
      </w:pPr>
      <w:r>
        <w:rPr>
          <w:rFonts w:ascii="Times New Roman" w:hAnsi="Times New Roman" w:eastAsia="宋体" w:cs="Times New Roman"/>
          <w:b w:val="0"/>
          <w:bCs w:val="0"/>
          <w:lang w:val="en-US" w:eastAsia="zh-CN" w:bidi="ar-SA"/>
        </w:rPr>
        <w:fldChar w:fldCharType="begin"/>
      </w:r>
      <w:r>
        <w:rPr>
          <w:rFonts w:ascii="Times New Roman" w:hAnsi="Times New Roman" w:eastAsia="宋体" w:cs="Times New Roman"/>
          <w:b w:val="0"/>
          <w:bCs w:val="0"/>
          <w:lang w:val="en-US" w:eastAsia="zh-CN" w:bidi="ar-SA"/>
        </w:rPr>
        <w:instrText xml:space="preserve"> HYPERLINK \l "_Toc14509_WPSOffice_Level2" </w:instrText>
      </w:r>
      <w:r>
        <w:rPr>
          <w:rFonts w:ascii="Times New Roman" w:hAnsi="Times New Roman" w:eastAsia="宋体" w:cs="Times New Roman"/>
          <w:b w:val="0"/>
          <w:bCs w:val="0"/>
          <w:lang w:val="en-US" w:eastAsia="zh-CN" w:bidi="ar-SA"/>
        </w:rPr>
        <w:fldChar w:fldCharType="separate"/>
      </w:r>
      <w:r>
        <w:rPr>
          <w:rFonts w:hint="eastAsia" w:ascii="Times New Roman" w:hAnsi="Times New Roman" w:eastAsia="方正楷体_GBK" w:cs="楷体"/>
          <w:b w:val="0"/>
          <w:bCs w:val="0"/>
          <w:sz w:val="30"/>
          <w:szCs w:val="30"/>
          <w:lang w:val="en-US" w:eastAsia="zh-CN" w:bidi="ar-SA"/>
        </w:rPr>
        <w:t>（一）深入推进健康中国云阳行动，不断提升居民健康水平</w:t>
      </w:r>
      <w:r>
        <w:rPr>
          <w:rFonts w:hint="eastAsia" w:ascii="Times New Roman" w:hAnsi="Times New Roman" w:eastAsia="方正楷体_GBK" w:cs="Times New Roman"/>
          <w:b w:val="0"/>
          <w:bCs w:val="0"/>
          <w:sz w:val="30"/>
          <w:szCs w:val="30"/>
          <w:lang w:val="en-US" w:eastAsia="zh-CN" w:bidi="ar-SA"/>
        </w:rPr>
        <w:tab/>
      </w:r>
      <w:r>
        <w:rPr>
          <w:rFonts w:hint="eastAsia" w:ascii="Times New Roman" w:hAnsi="Times New Roman" w:eastAsia="方正楷体_GBK" w:cs="Times New Roman"/>
          <w:b w:val="0"/>
          <w:bCs w:val="0"/>
          <w:sz w:val="30"/>
          <w:szCs w:val="30"/>
          <w:lang w:val="en-US" w:eastAsia="zh-CN" w:bidi="ar-SA"/>
        </w:rPr>
        <w:t>2</w:t>
      </w:r>
      <w:r>
        <w:rPr>
          <w:rFonts w:hint="eastAsia" w:ascii="Times New Roman" w:hAnsi="Times New Roman" w:eastAsia="方正楷体_GBK" w:cs="Times New Roman"/>
          <w:b w:val="0"/>
          <w:bCs w:val="0"/>
          <w:sz w:val="30"/>
          <w:szCs w:val="30"/>
          <w:lang w:val="en-US" w:eastAsia="zh-CN" w:bidi="ar-SA"/>
        </w:rPr>
        <w:fldChar w:fldCharType="end"/>
      </w:r>
      <w:r>
        <w:rPr>
          <w:rFonts w:hint="eastAsia" w:ascii="Times New Roman" w:hAnsi="Times New Roman" w:eastAsia="方正楷体_GBK" w:cs="Times New Roman"/>
          <w:b w:val="0"/>
          <w:bCs w:val="0"/>
          <w:sz w:val="30"/>
          <w:szCs w:val="30"/>
          <w:lang w:val="en-US" w:eastAsia="zh-CN" w:bidi="ar-SA"/>
        </w:rPr>
        <w:t>1</w:t>
      </w:r>
    </w:p>
    <w:p w14:paraId="028E656B">
      <w:pPr>
        <w:tabs>
          <w:tab w:val="right" w:leader="dot" w:pos="9016"/>
        </w:tabs>
        <w:ind w:left="420" w:leftChars="200"/>
        <w:rPr>
          <w:rFonts w:hint="eastAsia" w:ascii="Times New Roman" w:hAnsi="Times New Roman" w:eastAsia="方正楷体_GBK" w:cs="Times New Roman"/>
          <w:b w:val="0"/>
          <w:bCs w:val="0"/>
          <w:sz w:val="30"/>
          <w:szCs w:val="30"/>
          <w:lang w:val="en-US" w:eastAsia="zh-CN" w:bidi="ar-SA"/>
        </w:rPr>
      </w:pPr>
      <w:r>
        <w:rPr>
          <w:rFonts w:ascii="Times New Roman" w:hAnsi="Times New Roman" w:eastAsia="宋体" w:cs="Times New Roman"/>
          <w:b w:val="0"/>
          <w:bCs w:val="0"/>
          <w:lang w:val="en-US" w:eastAsia="zh-CN" w:bidi="ar-SA"/>
        </w:rPr>
        <w:fldChar w:fldCharType="begin"/>
      </w:r>
      <w:r>
        <w:rPr>
          <w:rFonts w:ascii="Times New Roman" w:hAnsi="Times New Roman" w:eastAsia="宋体" w:cs="Times New Roman"/>
          <w:b w:val="0"/>
          <w:bCs w:val="0"/>
          <w:lang w:val="en-US" w:eastAsia="zh-CN" w:bidi="ar-SA"/>
        </w:rPr>
        <w:instrText xml:space="preserve"> HYPERLINK \l "_Toc25451_WPSOffice_Level2" </w:instrText>
      </w:r>
      <w:r>
        <w:rPr>
          <w:rFonts w:ascii="Times New Roman" w:hAnsi="Times New Roman" w:eastAsia="宋体" w:cs="Times New Roman"/>
          <w:b w:val="0"/>
          <w:bCs w:val="0"/>
          <w:lang w:val="en-US" w:eastAsia="zh-CN" w:bidi="ar-SA"/>
        </w:rPr>
        <w:fldChar w:fldCharType="separate"/>
      </w:r>
      <w:r>
        <w:rPr>
          <w:rFonts w:hint="eastAsia" w:ascii="Times New Roman" w:hAnsi="Times New Roman" w:eastAsia="方正楷体_GBK" w:cs="楷体"/>
          <w:b w:val="0"/>
          <w:bCs w:val="0"/>
          <w:sz w:val="30"/>
          <w:szCs w:val="30"/>
          <w:lang w:val="en-US" w:eastAsia="zh-CN" w:bidi="ar-SA"/>
        </w:rPr>
        <w:t>（二）创新构建医防融合新机制，打造公共卫生服务新高地</w:t>
      </w:r>
      <w:r>
        <w:rPr>
          <w:rFonts w:hint="eastAsia" w:ascii="Times New Roman" w:hAnsi="Times New Roman" w:eastAsia="方正楷体_GBK" w:cs="Times New Roman"/>
          <w:b w:val="0"/>
          <w:bCs w:val="0"/>
          <w:sz w:val="30"/>
          <w:szCs w:val="30"/>
          <w:lang w:val="en-US" w:eastAsia="zh-CN" w:bidi="ar-SA"/>
        </w:rPr>
        <w:tab/>
      </w:r>
      <w:r>
        <w:rPr>
          <w:rFonts w:hint="eastAsia" w:ascii="Times New Roman" w:hAnsi="Times New Roman" w:eastAsia="方正楷体_GBK" w:cs="Times New Roman"/>
          <w:b w:val="0"/>
          <w:bCs w:val="0"/>
          <w:sz w:val="30"/>
          <w:szCs w:val="30"/>
          <w:lang w:val="en-US" w:eastAsia="zh-CN" w:bidi="ar-SA"/>
        </w:rPr>
        <w:t>2</w:t>
      </w:r>
      <w:r>
        <w:rPr>
          <w:rFonts w:hint="eastAsia" w:ascii="Times New Roman" w:hAnsi="Times New Roman" w:eastAsia="方正楷体_GBK" w:cs="Times New Roman"/>
          <w:b w:val="0"/>
          <w:bCs w:val="0"/>
          <w:sz w:val="30"/>
          <w:szCs w:val="30"/>
          <w:lang w:val="en-US" w:eastAsia="zh-CN" w:bidi="ar-SA"/>
        </w:rPr>
        <w:fldChar w:fldCharType="end"/>
      </w:r>
      <w:r>
        <w:rPr>
          <w:rFonts w:hint="eastAsia" w:ascii="Times New Roman" w:hAnsi="Times New Roman" w:eastAsia="方正楷体_GBK" w:cs="Times New Roman"/>
          <w:b w:val="0"/>
          <w:bCs w:val="0"/>
          <w:sz w:val="30"/>
          <w:szCs w:val="30"/>
          <w:lang w:val="en-US" w:eastAsia="zh-CN" w:bidi="ar-SA"/>
        </w:rPr>
        <w:t>6</w:t>
      </w:r>
    </w:p>
    <w:p w14:paraId="429795F8">
      <w:pPr>
        <w:tabs>
          <w:tab w:val="right" w:leader="dot" w:pos="9016"/>
        </w:tabs>
        <w:ind w:left="420" w:leftChars="200"/>
        <w:rPr>
          <w:rFonts w:hint="eastAsia" w:ascii="Times New Roman" w:hAnsi="Times New Roman" w:eastAsia="方正楷体_GBK" w:cs="Times New Roman"/>
          <w:b w:val="0"/>
          <w:bCs w:val="0"/>
          <w:sz w:val="30"/>
          <w:szCs w:val="30"/>
          <w:lang w:val="en-US" w:eastAsia="zh-CN" w:bidi="ar-SA"/>
        </w:rPr>
      </w:pPr>
      <w:r>
        <w:rPr>
          <w:rFonts w:ascii="Times New Roman" w:hAnsi="Times New Roman" w:eastAsia="宋体" w:cs="Times New Roman"/>
          <w:b w:val="0"/>
          <w:bCs w:val="0"/>
          <w:lang w:val="en-US" w:eastAsia="zh-CN" w:bidi="ar-SA"/>
        </w:rPr>
        <w:fldChar w:fldCharType="begin"/>
      </w:r>
      <w:r>
        <w:rPr>
          <w:rFonts w:ascii="Times New Roman" w:hAnsi="Times New Roman" w:eastAsia="宋体" w:cs="Times New Roman"/>
          <w:b w:val="0"/>
          <w:bCs w:val="0"/>
          <w:lang w:val="en-US" w:eastAsia="zh-CN" w:bidi="ar-SA"/>
        </w:rPr>
        <w:instrText xml:space="preserve"> HYPERLINK \l "_Toc13851_WPSOffice_Level2" </w:instrText>
      </w:r>
      <w:r>
        <w:rPr>
          <w:rFonts w:ascii="Times New Roman" w:hAnsi="Times New Roman" w:eastAsia="宋体" w:cs="Times New Roman"/>
          <w:b w:val="0"/>
          <w:bCs w:val="0"/>
          <w:lang w:val="en-US" w:eastAsia="zh-CN" w:bidi="ar-SA"/>
        </w:rPr>
        <w:fldChar w:fldCharType="separate"/>
      </w:r>
      <w:r>
        <w:rPr>
          <w:rFonts w:hint="eastAsia" w:ascii="Times New Roman" w:hAnsi="Times New Roman" w:eastAsia="方正楷体_GBK" w:cs="楷体"/>
          <w:b w:val="0"/>
          <w:bCs w:val="0"/>
          <w:sz w:val="30"/>
          <w:szCs w:val="30"/>
          <w:lang w:val="en-US" w:eastAsia="zh-CN" w:bidi="ar-SA"/>
        </w:rPr>
        <w:t>（三）推进县域医疗集群发展，完善医疗资源结构优化布局</w:t>
      </w:r>
      <w:r>
        <w:rPr>
          <w:rFonts w:hint="eastAsia" w:ascii="Times New Roman" w:hAnsi="Times New Roman" w:eastAsia="方正楷体_GBK" w:cs="Times New Roman"/>
          <w:b w:val="0"/>
          <w:bCs w:val="0"/>
          <w:sz w:val="30"/>
          <w:szCs w:val="30"/>
          <w:lang w:val="en-US" w:eastAsia="zh-CN" w:bidi="ar-SA"/>
        </w:rPr>
        <w:tab/>
      </w:r>
      <w:bookmarkStart w:id="1" w:name="_Toc13851_WPSOffice_Level2Page"/>
      <w:r>
        <w:rPr>
          <w:rFonts w:hint="eastAsia" w:ascii="Times New Roman" w:hAnsi="Times New Roman" w:eastAsia="方正楷体_GBK" w:cs="Times New Roman"/>
          <w:b w:val="0"/>
          <w:bCs w:val="0"/>
          <w:sz w:val="30"/>
          <w:szCs w:val="30"/>
          <w:lang w:val="en-US" w:eastAsia="zh-CN" w:bidi="ar-SA"/>
        </w:rPr>
        <w:t>2</w:t>
      </w:r>
      <w:bookmarkEnd w:id="1"/>
      <w:r>
        <w:rPr>
          <w:rFonts w:hint="eastAsia" w:ascii="Times New Roman" w:hAnsi="Times New Roman" w:eastAsia="方正楷体_GBK" w:cs="Times New Roman"/>
          <w:b w:val="0"/>
          <w:bCs w:val="0"/>
          <w:sz w:val="30"/>
          <w:szCs w:val="30"/>
          <w:lang w:val="en-US" w:eastAsia="zh-CN" w:bidi="ar-SA"/>
        </w:rPr>
        <w:t>8</w:t>
      </w:r>
      <w:r>
        <w:rPr>
          <w:rFonts w:hint="eastAsia" w:ascii="Times New Roman" w:hAnsi="Times New Roman" w:eastAsia="方正楷体_GBK" w:cs="Times New Roman"/>
          <w:b w:val="0"/>
          <w:bCs w:val="0"/>
          <w:sz w:val="30"/>
          <w:szCs w:val="30"/>
          <w:lang w:val="en-US" w:eastAsia="zh-CN" w:bidi="ar-SA"/>
        </w:rPr>
        <w:fldChar w:fldCharType="end"/>
      </w:r>
    </w:p>
    <w:p w14:paraId="62CBC014">
      <w:pPr>
        <w:tabs>
          <w:tab w:val="right" w:leader="dot" w:pos="9016"/>
        </w:tabs>
        <w:ind w:left="420" w:leftChars="200"/>
        <w:rPr>
          <w:rFonts w:hint="eastAsia" w:ascii="Times New Roman" w:hAnsi="Times New Roman" w:eastAsia="方正楷体_GBK" w:cs="Times New Roman"/>
          <w:b w:val="0"/>
          <w:bCs w:val="0"/>
          <w:sz w:val="30"/>
          <w:szCs w:val="30"/>
          <w:lang w:val="en-US" w:eastAsia="zh-CN" w:bidi="ar-SA"/>
        </w:rPr>
      </w:pPr>
      <w:r>
        <w:rPr>
          <w:rFonts w:ascii="Times New Roman" w:hAnsi="Times New Roman" w:eastAsia="宋体" w:cs="Times New Roman"/>
          <w:b w:val="0"/>
          <w:bCs w:val="0"/>
          <w:lang w:val="en-US" w:eastAsia="zh-CN" w:bidi="ar-SA"/>
        </w:rPr>
        <w:fldChar w:fldCharType="begin"/>
      </w:r>
      <w:r>
        <w:rPr>
          <w:rFonts w:ascii="Times New Roman" w:hAnsi="Times New Roman" w:eastAsia="宋体" w:cs="Times New Roman"/>
          <w:b w:val="0"/>
          <w:bCs w:val="0"/>
          <w:lang w:val="en-US" w:eastAsia="zh-CN" w:bidi="ar-SA"/>
        </w:rPr>
        <w:instrText xml:space="preserve"> HYPERLINK \l "_Toc18622_WPSOffice_Level2" </w:instrText>
      </w:r>
      <w:r>
        <w:rPr>
          <w:rFonts w:ascii="Times New Roman" w:hAnsi="Times New Roman" w:eastAsia="宋体" w:cs="Times New Roman"/>
          <w:b w:val="0"/>
          <w:bCs w:val="0"/>
          <w:lang w:val="en-US" w:eastAsia="zh-CN" w:bidi="ar-SA"/>
        </w:rPr>
        <w:fldChar w:fldCharType="separate"/>
      </w:r>
      <w:r>
        <w:rPr>
          <w:rFonts w:hint="eastAsia" w:ascii="Times New Roman" w:hAnsi="Times New Roman" w:eastAsia="方正楷体_GBK" w:cs="楷体"/>
          <w:b w:val="0"/>
          <w:bCs w:val="0"/>
          <w:sz w:val="30"/>
          <w:szCs w:val="30"/>
          <w:lang w:val="en-US" w:eastAsia="zh-CN" w:bidi="ar-SA"/>
        </w:rPr>
        <w:t>（四）推进医疗服务能力建设，持续改进医疗质量</w:t>
      </w:r>
      <w:r>
        <w:rPr>
          <w:rFonts w:hint="eastAsia" w:ascii="Times New Roman" w:hAnsi="Times New Roman" w:eastAsia="方正楷体_GBK" w:cs="Times New Roman"/>
          <w:b w:val="0"/>
          <w:bCs w:val="0"/>
          <w:sz w:val="30"/>
          <w:szCs w:val="30"/>
          <w:lang w:val="en-US" w:eastAsia="zh-CN" w:bidi="ar-SA"/>
        </w:rPr>
        <w:tab/>
      </w:r>
      <w:r>
        <w:rPr>
          <w:rFonts w:hint="eastAsia" w:ascii="Times New Roman" w:hAnsi="Times New Roman" w:eastAsia="方正楷体_GBK" w:cs="Times New Roman"/>
          <w:b w:val="0"/>
          <w:bCs w:val="0"/>
          <w:sz w:val="30"/>
          <w:szCs w:val="30"/>
          <w:lang w:val="en-US" w:eastAsia="zh-CN" w:bidi="ar-SA"/>
        </w:rPr>
        <w:t>3</w:t>
      </w:r>
      <w:r>
        <w:rPr>
          <w:rFonts w:hint="eastAsia" w:ascii="Times New Roman" w:hAnsi="Times New Roman" w:eastAsia="方正楷体_GBK" w:cs="Times New Roman"/>
          <w:b w:val="0"/>
          <w:bCs w:val="0"/>
          <w:sz w:val="30"/>
          <w:szCs w:val="30"/>
          <w:lang w:val="en-US" w:eastAsia="zh-CN" w:bidi="ar-SA"/>
        </w:rPr>
        <w:fldChar w:fldCharType="end"/>
      </w:r>
      <w:r>
        <w:rPr>
          <w:rFonts w:hint="eastAsia" w:ascii="Times New Roman" w:hAnsi="Times New Roman" w:eastAsia="方正楷体_GBK" w:cs="Times New Roman"/>
          <w:b w:val="0"/>
          <w:bCs w:val="0"/>
          <w:sz w:val="30"/>
          <w:szCs w:val="30"/>
          <w:lang w:val="en-US" w:eastAsia="zh-CN" w:bidi="ar-SA"/>
        </w:rPr>
        <w:t>1</w:t>
      </w:r>
    </w:p>
    <w:p w14:paraId="378F88A8">
      <w:pPr>
        <w:tabs>
          <w:tab w:val="right" w:leader="dot" w:pos="9016"/>
        </w:tabs>
        <w:ind w:left="420" w:leftChars="200"/>
        <w:rPr>
          <w:rFonts w:hint="eastAsia" w:ascii="Times New Roman" w:hAnsi="Times New Roman" w:eastAsia="方正楷体_GBK" w:cs="Times New Roman"/>
          <w:b w:val="0"/>
          <w:bCs w:val="0"/>
          <w:sz w:val="30"/>
          <w:szCs w:val="30"/>
          <w:lang w:val="en-US" w:eastAsia="zh-CN" w:bidi="ar-SA"/>
        </w:rPr>
      </w:pPr>
      <w:r>
        <w:rPr>
          <w:rFonts w:ascii="Times New Roman" w:hAnsi="Times New Roman" w:eastAsia="宋体" w:cs="Times New Roman"/>
          <w:b w:val="0"/>
          <w:bCs w:val="0"/>
          <w:lang w:val="en-US" w:eastAsia="zh-CN" w:bidi="ar-SA"/>
        </w:rPr>
        <w:fldChar w:fldCharType="begin"/>
      </w:r>
      <w:r>
        <w:rPr>
          <w:rFonts w:ascii="Times New Roman" w:hAnsi="Times New Roman" w:eastAsia="宋体" w:cs="Times New Roman"/>
          <w:b w:val="0"/>
          <w:bCs w:val="0"/>
          <w:lang w:val="en-US" w:eastAsia="zh-CN" w:bidi="ar-SA"/>
        </w:rPr>
        <w:instrText xml:space="preserve"> HYPERLINK \l "_Toc9842_WPSOffice_Level2" </w:instrText>
      </w:r>
      <w:r>
        <w:rPr>
          <w:rFonts w:ascii="Times New Roman" w:hAnsi="Times New Roman" w:eastAsia="宋体" w:cs="Times New Roman"/>
          <w:b w:val="0"/>
          <w:bCs w:val="0"/>
          <w:lang w:val="en-US" w:eastAsia="zh-CN" w:bidi="ar-SA"/>
        </w:rPr>
        <w:fldChar w:fldCharType="separate"/>
      </w:r>
      <w:r>
        <w:rPr>
          <w:rFonts w:hint="eastAsia" w:ascii="Times New Roman" w:hAnsi="Times New Roman" w:eastAsia="方正楷体_GBK" w:cs="楷体"/>
          <w:b w:val="0"/>
          <w:bCs w:val="0"/>
          <w:sz w:val="30"/>
          <w:szCs w:val="30"/>
          <w:lang w:val="en-US" w:eastAsia="zh-CN" w:bidi="ar-SA"/>
        </w:rPr>
        <w:t>（五）大力发展中医药事业，提升传承与创新能力</w:t>
      </w:r>
      <w:r>
        <w:rPr>
          <w:rFonts w:hint="eastAsia" w:ascii="Times New Roman" w:hAnsi="Times New Roman" w:eastAsia="方正楷体_GBK" w:cs="Times New Roman"/>
          <w:b w:val="0"/>
          <w:bCs w:val="0"/>
          <w:sz w:val="30"/>
          <w:szCs w:val="30"/>
          <w:lang w:val="en-US" w:eastAsia="zh-CN" w:bidi="ar-SA"/>
        </w:rPr>
        <w:tab/>
      </w:r>
      <w:bookmarkStart w:id="2" w:name="_Toc9842_WPSOffice_Level2Page"/>
      <w:r>
        <w:rPr>
          <w:rFonts w:hint="eastAsia" w:ascii="Times New Roman" w:hAnsi="Times New Roman" w:eastAsia="方正楷体_GBK" w:cs="Times New Roman"/>
          <w:b w:val="0"/>
          <w:bCs w:val="0"/>
          <w:sz w:val="30"/>
          <w:szCs w:val="30"/>
          <w:lang w:val="en-US" w:eastAsia="zh-CN" w:bidi="ar-SA"/>
        </w:rPr>
        <w:t>3</w:t>
      </w:r>
      <w:bookmarkEnd w:id="2"/>
      <w:r>
        <w:rPr>
          <w:rFonts w:hint="eastAsia" w:ascii="Times New Roman" w:hAnsi="Times New Roman" w:eastAsia="方正楷体_GBK" w:cs="Times New Roman"/>
          <w:b w:val="0"/>
          <w:bCs w:val="0"/>
          <w:sz w:val="30"/>
          <w:szCs w:val="30"/>
          <w:lang w:val="en-US" w:eastAsia="zh-CN" w:bidi="ar-SA"/>
        </w:rPr>
        <w:fldChar w:fldCharType="end"/>
      </w:r>
      <w:r>
        <w:rPr>
          <w:rFonts w:hint="eastAsia" w:ascii="Times New Roman" w:hAnsi="Times New Roman" w:eastAsia="方正楷体_GBK" w:cs="Times New Roman"/>
          <w:b w:val="0"/>
          <w:bCs w:val="0"/>
          <w:sz w:val="30"/>
          <w:szCs w:val="30"/>
          <w:lang w:val="en-US" w:eastAsia="zh-CN" w:bidi="ar-SA"/>
        </w:rPr>
        <w:t>4</w:t>
      </w:r>
    </w:p>
    <w:p w14:paraId="0AAC2D61">
      <w:pPr>
        <w:tabs>
          <w:tab w:val="right" w:leader="dot" w:pos="9016"/>
        </w:tabs>
        <w:ind w:left="420" w:leftChars="200"/>
        <w:rPr>
          <w:rFonts w:hint="eastAsia" w:ascii="Times New Roman" w:hAnsi="Times New Roman" w:eastAsia="方正楷体_GBK" w:cs="Times New Roman"/>
          <w:b w:val="0"/>
          <w:bCs w:val="0"/>
          <w:sz w:val="30"/>
          <w:szCs w:val="30"/>
          <w:lang w:val="en-US" w:eastAsia="zh-CN" w:bidi="ar-SA"/>
        </w:rPr>
      </w:pPr>
      <w:r>
        <w:rPr>
          <w:rFonts w:ascii="Times New Roman" w:hAnsi="Times New Roman" w:eastAsia="宋体" w:cs="Times New Roman"/>
          <w:b w:val="0"/>
          <w:bCs w:val="0"/>
          <w:lang w:val="en-US" w:eastAsia="zh-CN" w:bidi="ar-SA"/>
        </w:rPr>
        <w:fldChar w:fldCharType="begin"/>
      </w:r>
      <w:r>
        <w:rPr>
          <w:rFonts w:ascii="Times New Roman" w:hAnsi="Times New Roman" w:eastAsia="宋体" w:cs="Times New Roman"/>
          <w:b w:val="0"/>
          <w:bCs w:val="0"/>
          <w:lang w:val="en-US" w:eastAsia="zh-CN" w:bidi="ar-SA"/>
        </w:rPr>
        <w:instrText xml:space="preserve"> HYPERLINK \l "_Toc27509_WPSOffice_Level2" </w:instrText>
      </w:r>
      <w:r>
        <w:rPr>
          <w:rFonts w:ascii="Times New Roman" w:hAnsi="Times New Roman" w:eastAsia="宋体" w:cs="Times New Roman"/>
          <w:b w:val="0"/>
          <w:bCs w:val="0"/>
          <w:lang w:val="en-US" w:eastAsia="zh-CN" w:bidi="ar-SA"/>
        </w:rPr>
        <w:fldChar w:fldCharType="separate"/>
      </w:r>
      <w:r>
        <w:rPr>
          <w:rFonts w:hint="eastAsia" w:ascii="Times New Roman" w:hAnsi="Times New Roman" w:eastAsia="方正楷体_GBK" w:cs="楷体"/>
          <w:b w:val="0"/>
          <w:bCs w:val="0"/>
          <w:sz w:val="30"/>
          <w:szCs w:val="30"/>
          <w:lang w:val="en-US" w:eastAsia="zh-CN" w:bidi="ar-SA"/>
        </w:rPr>
        <w:t>（六）促进大健康产业高质量发展</w:t>
      </w:r>
      <w:r>
        <w:rPr>
          <w:rFonts w:hint="eastAsia" w:ascii="Times New Roman" w:hAnsi="Times New Roman" w:eastAsia="方正楷体_GBK" w:cs="Times New Roman"/>
          <w:b w:val="0"/>
          <w:bCs w:val="0"/>
          <w:sz w:val="30"/>
          <w:szCs w:val="30"/>
          <w:lang w:val="en-US" w:eastAsia="zh-CN" w:bidi="ar-SA"/>
        </w:rPr>
        <w:tab/>
      </w:r>
      <w:bookmarkStart w:id="3" w:name="_Toc27509_WPSOffice_Level2Page"/>
      <w:r>
        <w:rPr>
          <w:rFonts w:hint="eastAsia" w:ascii="Times New Roman" w:hAnsi="Times New Roman" w:eastAsia="方正楷体_GBK" w:cs="Times New Roman"/>
          <w:b w:val="0"/>
          <w:bCs w:val="0"/>
          <w:sz w:val="30"/>
          <w:szCs w:val="30"/>
          <w:lang w:val="en-US" w:eastAsia="zh-CN" w:bidi="ar-SA"/>
        </w:rPr>
        <w:t>3</w:t>
      </w:r>
      <w:bookmarkEnd w:id="3"/>
      <w:r>
        <w:rPr>
          <w:rFonts w:hint="eastAsia" w:ascii="Times New Roman" w:hAnsi="Times New Roman" w:eastAsia="方正楷体_GBK" w:cs="Times New Roman"/>
          <w:b w:val="0"/>
          <w:bCs w:val="0"/>
          <w:sz w:val="30"/>
          <w:szCs w:val="30"/>
          <w:lang w:val="en-US" w:eastAsia="zh-CN" w:bidi="ar-SA"/>
        </w:rPr>
        <w:fldChar w:fldCharType="end"/>
      </w:r>
      <w:r>
        <w:rPr>
          <w:rFonts w:hint="eastAsia" w:ascii="Times New Roman" w:hAnsi="Times New Roman" w:eastAsia="方正楷体_GBK" w:cs="Times New Roman"/>
          <w:b w:val="0"/>
          <w:bCs w:val="0"/>
          <w:sz w:val="30"/>
          <w:szCs w:val="30"/>
          <w:lang w:val="en-US" w:eastAsia="zh-CN" w:bidi="ar-SA"/>
        </w:rPr>
        <w:t>7</w:t>
      </w:r>
    </w:p>
    <w:p w14:paraId="1A9BD709">
      <w:pPr>
        <w:tabs>
          <w:tab w:val="right" w:leader="dot" w:pos="9016"/>
        </w:tabs>
        <w:ind w:left="420" w:leftChars="200"/>
        <w:rPr>
          <w:rFonts w:hint="eastAsia" w:ascii="Times New Roman" w:hAnsi="Times New Roman" w:eastAsia="方正楷体_GBK" w:cs="Times New Roman"/>
          <w:b w:val="0"/>
          <w:bCs w:val="0"/>
          <w:sz w:val="30"/>
          <w:szCs w:val="30"/>
          <w:lang w:val="en-US" w:eastAsia="zh-CN" w:bidi="ar-SA"/>
        </w:rPr>
      </w:pPr>
      <w:r>
        <w:rPr>
          <w:rFonts w:ascii="Times New Roman" w:hAnsi="Times New Roman" w:eastAsia="宋体" w:cs="Times New Roman"/>
          <w:b w:val="0"/>
          <w:bCs w:val="0"/>
          <w:lang w:val="en-US" w:eastAsia="zh-CN" w:bidi="ar-SA"/>
        </w:rPr>
        <w:fldChar w:fldCharType="begin"/>
      </w:r>
      <w:r>
        <w:rPr>
          <w:rFonts w:ascii="Times New Roman" w:hAnsi="Times New Roman" w:eastAsia="宋体" w:cs="Times New Roman"/>
          <w:b w:val="0"/>
          <w:bCs w:val="0"/>
          <w:lang w:val="en-US" w:eastAsia="zh-CN" w:bidi="ar-SA"/>
        </w:rPr>
        <w:instrText xml:space="preserve"> HYPERLINK \l "_Toc25918_WPSOffice_Level2" </w:instrText>
      </w:r>
      <w:r>
        <w:rPr>
          <w:rFonts w:ascii="Times New Roman" w:hAnsi="Times New Roman" w:eastAsia="宋体" w:cs="Times New Roman"/>
          <w:b w:val="0"/>
          <w:bCs w:val="0"/>
          <w:lang w:val="en-US" w:eastAsia="zh-CN" w:bidi="ar-SA"/>
        </w:rPr>
        <w:fldChar w:fldCharType="separate"/>
      </w:r>
      <w:r>
        <w:rPr>
          <w:rFonts w:hint="eastAsia" w:ascii="Times New Roman" w:hAnsi="Times New Roman" w:eastAsia="方正楷体_GBK" w:cs="楷体"/>
          <w:b w:val="0"/>
          <w:bCs w:val="0"/>
          <w:sz w:val="30"/>
          <w:szCs w:val="30"/>
          <w:lang w:val="en-US" w:eastAsia="zh-CN" w:bidi="ar-SA"/>
        </w:rPr>
        <w:t>（七）加快全民健康信息化建设，智能化赋能管理和应用</w:t>
      </w:r>
      <w:r>
        <w:rPr>
          <w:rFonts w:hint="eastAsia" w:ascii="Times New Roman" w:hAnsi="Times New Roman" w:eastAsia="方正楷体_GBK" w:cs="Times New Roman"/>
          <w:b w:val="0"/>
          <w:bCs w:val="0"/>
          <w:sz w:val="30"/>
          <w:szCs w:val="30"/>
          <w:lang w:val="en-US" w:eastAsia="zh-CN" w:bidi="ar-SA"/>
        </w:rPr>
        <w:tab/>
      </w:r>
      <w:r>
        <w:rPr>
          <w:rFonts w:hint="eastAsia" w:ascii="Times New Roman" w:hAnsi="Times New Roman" w:eastAsia="方正楷体_GBK" w:cs="Times New Roman"/>
          <w:b w:val="0"/>
          <w:bCs w:val="0"/>
          <w:sz w:val="30"/>
          <w:szCs w:val="30"/>
          <w:lang w:val="en-US" w:eastAsia="zh-CN" w:bidi="ar-SA"/>
        </w:rPr>
        <w:fldChar w:fldCharType="end"/>
      </w:r>
      <w:r>
        <w:rPr>
          <w:rFonts w:hint="eastAsia" w:ascii="Times New Roman" w:hAnsi="Times New Roman" w:eastAsia="方正楷体_GBK" w:cs="Times New Roman"/>
          <w:b w:val="0"/>
          <w:bCs w:val="0"/>
          <w:sz w:val="30"/>
          <w:szCs w:val="30"/>
          <w:lang w:val="en-US" w:eastAsia="zh-CN" w:bidi="ar-SA"/>
        </w:rPr>
        <w:t>40</w:t>
      </w:r>
    </w:p>
    <w:p w14:paraId="1F4AB08D">
      <w:pPr>
        <w:tabs>
          <w:tab w:val="right" w:leader="dot" w:pos="9016"/>
        </w:tabs>
        <w:ind w:left="420" w:leftChars="200"/>
        <w:rPr>
          <w:rFonts w:hint="eastAsia" w:ascii="Times New Roman" w:hAnsi="Times New Roman" w:eastAsia="方正楷体_GBK" w:cs="Times New Roman"/>
          <w:b w:val="0"/>
          <w:bCs w:val="0"/>
          <w:sz w:val="30"/>
          <w:szCs w:val="30"/>
          <w:lang w:val="en-US" w:eastAsia="zh-CN" w:bidi="ar-SA"/>
        </w:rPr>
      </w:pPr>
      <w:r>
        <w:rPr>
          <w:rFonts w:ascii="Times New Roman" w:hAnsi="Times New Roman" w:eastAsia="宋体" w:cs="Times New Roman"/>
          <w:b w:val="0"/>
          <w:bCs w:val="0"/>
          <w:lang w:val="en-US" w:eastAsia="zh-CN" w:bidi="ar-SA"/>
        </w:rPr>
        <w:fldChar w:fldCharType="begin"/>
      </w:r>
      <w:r>
        <w:rPr>
          <w:rFonts w:ascii="Times New Roman" w:hAnsi="Times New Roman" w:eastAsia="宋体" w:cs="Times New Roman"/>
          <w:b w:val="0"/>
          <w:bCs w:val="0"/>
          <w:lang w:val="en-US" w:eastAsia="zh-CN" w:bidi="ar-SA"/>
        </w:rPr>
        <w:instrText xml:space="preserve"> HYPERLINK \l "_Toc13272_WPSOffice_Level2" </w:instrText>
      </w:r>
      <w:r>
        <w:rPr>
          <w:rFonts w:ascii="Times New Roman" w:hAnsi="Times New Roman" w:eastAsia="宋体" w:cs="Times New Roman"/>
          <w:b w:val="0"/>
          <w:bCs w:val="0"/>
          <w:lang w:val="en-US" w:eastAsia="zh-CN" w:bidi="ar-SA"/>
        </w:rPr>
        <w:fldChar w:fldCharType="separate"/>
      </w:r>
      <w:r>
        <w:rPr>
          <w:rFonts w:hint="eastAsia" w:ascii="Times New Roman" w:hAnsi="Times New Roman" w:eastAsia="方正楷体_GBK" w:cs="楷体"/>
          <w:b w:val="0"/>
          <w:bCs w:val="0"/>
          <w:sz w:val="30"/>
          <w:szCs w:val="30"/>
          <w:lang w:val="en-US" w:eastAsia="zh-CN" w:bidi="ar-SA"/>
        </w:rPr>
        <w:t>（八）坚持深化医药卫生体制改革，促进公立医院高质量发展</w:t>
      </w:r>
      <w:r>
        <w:rPr>
          <w:rFonts w:hint="eastAsia" w:ascii="Times New Roman" w:hAnsi="Times New Roman" w:eastAsia="方正楷体_GBK" w:cs="Times New Roman"/>
          <w:b w:val="0"/>
          <w:bCs w:val="0"/>
          <w:sz w:val="30"/>
          <w:szCs w:val="30"/>
          <w:lang w:val="en-US" w:eastAsia="zh-CN" w:bidi="ar-SA"/>
        </w:rPr>
        <w:tab/>
      </w:r>
      <w:r>
        <w:rPr>
          <w:rFonts w:hint="eastAsia" w:ascii="Times New Roman" w:hAnsi="Times New Roman" w:eastAsia="方正楷体_GBK" w:cs="Times New Roman"/>
          <w:b w:val="0"/>
          <w:bCs w:val="0"/>
          <w:sz w:val="30"/>
          <w:szCs w:val="30"/>
          <w:lang w:val="en-US" w:eastAsia="zh-CN" w:bidi="ar-SA"/>
        </w:rPr>
        <w:t>4</w:t>
      </w:r>
      <w:r>
        <w:rPr>
          <w:rFonts w:hint="eastAsia" w:ascii="Times New Roman" w:hAnsi="Times New Roman" w:eastAsia="方正楷体_GBK" w:cs="Times New Roman"/>
          <w:b w:val="0"/>
          <w:bCs w:val="0"/>
          <w:sz w:val="30"/>
          <w:szCs w:val="30"/>
          <w:lang w:val="en-US" w:eastAsia="zh-CN" w:bidi="ar-SA"/>
        </w:rPr>
        <w:fldChar w:fldCharType="end"/>
      </w:r>
      <w:r>
        <w:rPr>
          <w:rFonts w:hint="eastAsia" w:ascii="Times New Roman" w:hAnsi="Times New Roman" w:eastAsia="方正楷体_GBK" w:cs="Times New Roman"/>
          <w:b w:val="0"/>
          <w:bCs w:val="0"/>
          <w:sz w:val="30"/>
          <w:szCs w:val="30"/>
          <w:lang w:val="en-US" w:eastAsia="zh-CN" w:bidi="ar-SA"/>
        </w:rPr>
        <w:t>1</w:t>
      </w:r>
    </w:p>
    <w:p w14:paraId="051B041D">
      <w:pPr>
        <w:tabs>
          <w:tab w:val="right" w:leader="dot" w:pos="9016"/>
        </w:tabs>
        <w:ind w:left="420" w:leftChars="200"/>
        <w:rPr>
          <w:rFonts w:hint="eastAsia" w:ascii="Times New Roman" w:hAnsi="Times New Roman" w:eastAsia="方正楷体_GBK" w:cs="Times New Roman"/>
          <w:b w:val="0"/>
          <w:bCs w:val="0"/>
          <w:sz w:val="30"/>
          <w:szCs w:val="30"/>
          <w:lang w:val="en-US" w:eastAsia="zh-CN" w:bidi="ar-SA"/>
        </w:rPr>
      </w:pPr>
      <w:r>
        <w:rPr>
          <w:rFonts w:ascii="Times New Roman" w:hAnsi="Times New Roman" w:eastAsia="宋体" w:cs="Times New Roman"/>
          <w:b w:val="0"/>
          <w:bCs w:val="0"/>
          <w:lang w:val="en-US" w:eastAsia="zh-CN" w:bidi="ar-SA"/>
        </w:rPr>
        <w:fldChar w:fldCharType="begin"/>
      </w:r>
      <w:r>
        <w:rPr>
          <w:rFonts w:ascii="Times New Roman" w:hAnsi="Times New Roman" w:eastAsia="宋体" w:cs="Times New Roman"/>
          <w:b w:val="0"/>
          <w:bCs w:val="0"/>
          <w:lang w:val="en-US" w:eastAsia="zh-CN" w:bidi="ar-SA"/>
        </w:rPr>
        <w:instrText xml:space="preserve"> HYPERLINK \l "_Toc4309_WPSOffice_Level2" </w:instrText>
      </w:r>
      <w:r>
        <w:rPr>
          <w:rFonts w:ascii="Times New Roman" w:hAnsi="Times New Roman" w:eastAsia="宋体" w:cs="Times New Roman"/>
          <w:b w:val="0"/>
          <w:bCs w:val="0"/>
          <w:lang w:val="en-US" w:eastAsia="zh-CN" w:bidi="ar-SA"/>
        </w:rPr>
        <w:fldChar w:fldCharType="separate"/>
      </w:r>
      <w:r>
        <w:rPr>
          <w:rFonts w:hint="eastAsia" w:ascii="Times New Roman" w:hAnsi="Times New Roman" w:eastAsia="方正楷体_GBK" w:cs="楷体"/>
          <w:b w:val="0"/>
          <w:bCs w:val="0"/>
          <w:sz w:val="30"/>
          <w:szCs w:val="30"/>
          <w:lang w:val="en-US" w:eastAsia="zh-CN" w:bidi="ar-SA"/>
        </w:rPr>
        <w:t>（九）促进人口与家庭发展，积极应对人口老龄化</w:t>
      </w:r>
      <w:r>
        <w:rPr>
          <w:rFonts w:hint="eastAsia" w:ascii="Times New Roman" w:hAnsi="Times New Roman" w:eastAsia="方正楷体_GBK" w:cs="Times New Roman"/>
          <w:b w:val="0"/>
          <w:bCs w:val="0"/>
          <w:sz w:val="30"/>
          <w:szCs w:val="30"/>
          <w:lang w:val="en-US" w:eastAsia="zh-CN" w:bidi="ar-SA"/>
        </w:rPr>
        <w:tab/>
      </w:r>
      <w:bookmarkStart w:id="4" w:name="_Toc4309_WPSOffice_Level2Page"/>
      <w:r>
        <w:rPr>
          <w:rFonts w:hint="eastAsia" w:ascii="Times New Roman" w:hAnsi="Times New Roman" w:eastAsia="方正楷体_GBK" w:cs="Times New Roman"/>
          <w:b w:val="0"/>
          <w:bCs w:val="0"/>
          <w:sz w:val="30"/>
          <w:szCs w:val="30"/>
          <w:lang w:val="en-US" w:eastAsia="zh-CN" w:bidi="ar-SA"/>
        </w:rPr>
        <w:t>4</w:t>
      </w:r>
      <w:bookmarkEnd w:id="4"/>
      <w:r>
        <w:rPr>
          <w:rFonts w:hint="eastAsia" w:ascii="Times New Roman" w:hAnsi="Times New Roman" w:eastAsia="方正楷体_GBK" w:cs="Times New Roman"/>
          <w:b w:val="0"/>
          <w:bCs w:val="0"/>
          <w:sz w:val="30"/>
          <w:szCs w:val="30"/>
          <w:lang w:val="en-US" w:eastAsia="zh-CN" w:bidi="ar-SA"/>
        </w:rPr>
        <w:fldChar w:fldCharType="end"/>
      </w:r>
      <w:r>
        <w:rPr>
          <w:rFonts w:hint="eastAsia" w:ascii="Times New Roman" w:hAnsi="Times New Roman" w:eastAsia="方正楷体_GBK" w:cs="Times New Roman"/>
          <w:b w:val="0"/>
          <w:bCs w:val="0"/>
          <w:sz w:val="30"/>
          <w:szCs w:val="30"/>
          <w:lang w:val="en-US" w:eastAsia="zh-CN" w:bidi="ar-SA"/>
        </w:rPr>
        <w:t>2</w:t>
      </w:r>
    </w:p>
    <w:p w14:paraId="5EC1B9C4">
      <w:pPr>
        <w:tabs>
          <w:tab w:val="right" w:leader="dot" w:pos="9016"/>
        </w:tabs>
        <w:ind w:left="420" w:leftChars="200"/>
        <w:rPr>
          <w:rFonts w:hint="eastAsia" w:ascii="Times New Roman" w:hAnsi="Times New Roman" w:eastAsia="方正楷体_GBK" w:cs="Times New Roman"/>
          <w:b w:val="0"/>
          <w:bCs w:val="0"/>
          <w:sz w:val="30"/>
          <w:szCs w:val="30"/>
          <w:lang w:val="en-US" w:eastAsia="zh-CN" w:bidi="ar-SA"/>
        </w:rPr>
      </w:pPr>
      <w:r>
        <w:rPr>
          <w:rFonts w:ascii="Times New Roman" w:hAnsi="Times New Roman" w:eastAsia="宋体" w:cs="Times New Roman"/>
          <w:b w:val="0"/>
          <w:bCs w:val="0"/>
          <w:lang w:val="en-US" w:eastAsia="zh-CN" w:bidi="ar-SA"/>
        </w:rPr>
        <w:fldChar w:fldCharType="begin"/>
      </w:r>
      <w:r>
        <w:rPr>
          <w:rFonts w:ascii="Times New Roman" w:hAnsi="Times New Roman" w:eastAsia="宋体" w:cs="Times New Roman"/>
          <w:b w:val="0"/>
          <w:bCs w:val="0"/>
          <w:lang w:val="en-US" w:eastAsia="zh-CN" w:bidi="ar-SA"/>
        </w:rPr>
        <w:instrText xml:space="preserve"> HYPERLINK \l "_Toc26994_WPSOffice_Level2" </w:instrText>
      </w:r>
      <w:r>
        <w:rPr>
          <w:rFonts w:ascii="Times New Roman" w:hAnsi="Times New Roman" w:eastAsia="宋体" w:cs="Times New Roman"/>
          <w:b w:val="0"/>
          <w:bCs w:val="0"/>
          <w:lang w:val="en-US" w:eastAsia="zh-CN" w:bidi="ar-SA"/>
        </w:rPr>
        <w:fldChar w:fldCharType="separate"/>
      </w:r>
      <w:r>
        <w:rPr>
          <w:rFonts w:hint="eastAsia" w:ascii="Times New Roman" w:hAnsi="Times New Roman" w:eastAsia="方正楷体_GBK" w:cs="楷体"/>
          <w:b w:val="0"/>
          <w:bCs w:val="0"/>
          <w:sz w:val="30"/>
          <w:szCs w:val="30"/>
          <w:lang w:val="en-US" w:eastAsia="zh-CN" w:bidi="ar-SA"/>
        </w:rPr>
        <w:t>（十）完善卫生健康综合监管体系，推进治理能力现代化</w:t>
      </w:r>
      <w:r>
        <w:rPr>
          <w:rFonts w:hint="eastAsia" w:ascii="Times New Roman" w:hAnsi="Times New Roman" w:eastAsia="方正楷体_GBK" w:cs="Times New Roman"/>
          <w:b w:val="0"/>
          <w:bCs w:val="0"/>
          <w:sz w:val="30"/>
          <w:szCs w:val="30"/>
          <w:lang w:val="en-US" w:eastAsia="zh-CN" w:bidi="ar-SA"/>
        </w:rPr>
        <w:tab/>
      </w:r>
      <w:bookmarkStart w:id="5" w:name="_Toc26994_WPSOffice_Level2Page"/>
      <w:r>
        <w:rPr>
          <w:rFonts w:hint="eastAsia" w:ascii="Times New Roman" w:hAnsi="Times New Roman" w:eastAsia="方正楷体_GBK" w:cs="Times New Roman"/>
          <w:b w:val="0"/>
          <w:bCs w:val="0"/>
          <w:sz w:val="30"/>
          <w:szCs w:val="30"/>
          <w:lang w:val="en-US" w:eastAsia="zh-CN" w:bidi="ar-SA"/>
        </w:rPr>
        <w:t>4</w:t>
      </w:r>
      <w:bookmarkEnd w:id="5"/>
      <w:r>
        <w:rPr>
          <w:rFonts w:hint="eastAsia" w:ascii="Times New Roman" w:hAnsi="Times New Roman" w:eastAsia="方正楷体_GBK" w:cs="Times New Roman"/>
          <w:b w:val="0"/>
          <w:bCs w:val="0"/>
          <w:sz w:val="30"/>
          <w:szCs w:val="30"/>
          <w:lang w:val="en-US" w:eastAsia="zh-CN" w:bidi="ar-SA"/>
        </w:rPr>
        <w:fldChar w:fldCharType="end"/>
      </w:r>
      <w:r>
        <w:rPr>
          <w:rFonts w:hint="eastAsia" w:ascii="Times New Roman" w:hAnsi="Times New Roman" w:eastAsia="方正楷体_GBK" w:cs="Times New Roman"/>
          <w:b w:val="0"/>
          <w:bCs w:val="0"/>
          <w:sz w:val="30"/>
          <w:szCs w:val="30"/>
          <w:lang w:val="en-US" w:eastAsia="zh-CN" w:bidi="ar-SA"/>
        </w:rPr>
        <w:t>4</w:t>
      </w:r>
    </w:p>
    <w:p w14:paraId="5D42F646">
      <w:pPr>
        <w:tabs>
          <w:tab w:val="right" w:leader="dot" w:pos="9016"/>
        </w:tabs>
        <w:ind w:left="420" w:leftChars="200"/>
        <w:rPr>
          <w:rFonts w:hint="eastAsia" w:ascii="Times New Roman" w:hAnsi="Times New Roman" w:eastAsia="方正楷体_GBK" w:cs="Times New Roman"/>
          <w:b w:val="0"/>
          <w:bCs w:val="0"/>
          <w:sz w:val="30"/>
          <w:szCs w:val="30"/>
          <w:lang w:val="en-US" w:eastAsia="zh-CN" w:bidi="ar-SA"/>
        </w:rPr>
      </w:pPr>
      <w:r>
        <w:rPr>
          <w:rFonts w:ascii="Times New Roman" w:hAnsi="Times New Roman" w:eastAsia="宋体" w:cs="Times New Roman"/>
          <w:b w:val="0"/>
          <w:bCs w:val="0"/>
          <w:lang w:val="en-US" w:eastAsia="zh-CN" w:bidi="ar-SA"/>
        </w:rPr>
        <w:fldChar w:fldCharType="begin"/>
      </w:r>
      <w:r>
        <w:rPr>
          <w:rFonts w:ascii="Times New Roman" w:hAnsi="Times New Roman" w:eastAsia="宋体" w:cs="Times New Roman"/>
          <w:b w:val="0"/>
          <w:bCs w:val="0"/>
          <w:lang w:val="en-US" w:eastAsia="zh-CN" w:bidi="ar-SA"/>
        </w:rPr>
        <w:instrText xml:space="preserve"> HYPERLINK \l "_Toc29456_WPSOffice_Level2" </w:instrText>
      </w:r>
      <w:r>
        <w:rPr>
          <w:rFonts w:ascii="Times New Roman" w:hAnsi="Times New Roman" w:eastAsia="宋体" w:cs="Times New Roman"/>
          <w:b w:val="0"/>
          <w:bCs w:val="0"/>
          <w:lang w:val="en-US" w:eastAsia="zh-CN" w:bidi="ar-SA"/>
        </w:rPr>
        <w:fldChar w:fldCharType="separate"/>
      </w:r>
      <w:r>
        <w:rPr>
          <w:rFonts w:hint="eastAsia" w:ascii="Times New Roman" w:hAnsi="Times New Roman" w:eastAsia="方正楷体_GBK" w:cs="楷体"/>
          <w:b w:val="0"/>
          <w:bCs w:val="0"/>
          <w:sz w:val="30"/>
          <w:szCs w:val="30"/>
          <w:lang w:val="en-US" w:eastAsia="zh-CN" w:bidi="ar-SA"/>
        </w:rPr>
        <w:t>（十一）</w:t>
      </w:r>
      <w:r>
        <w:rPr>
          <w:rFonts w:hint="eastAsia" w:ascii="Times New Roman" w:hAnsi="Times New Roman" w:eastAsia="方正楷体_GBK" w:cs="楷体"/>
          <w:b w:val="0"/>
          <w:bCs w:val="0"/>
          <w:spacing w:val="-6"/>
          <w:sz w:val="30"/>
          <w:szCs w:val="30"/>
          <w:lang w:val="en-US" w:eastAsia="zh-CN" w:bidi="ar-SA"/>
        </w:rPr>
        <w:t>完善人才引进培养体系，打造渝东北医学人才集聚高地</w:t>
      </w:r>
      <w:r>
        <w:rPr>
          <w:rFonts w:hint="eastAsia" w:ascii="Times New Roman" w:hAnsi="Times New Roman" w:eastAsia="方正楷体_GBK" w:cs="Times New Roman"/>
          <w:b w:val="0"/>
          <w:bCs w:val="0"/>
          <w:sz w:val="30"/>
          <w:szCs w:val="30"/>
          <w:lang w:val="en-US" w:eastAsia="zh-CN" w:bidi="ar-SA"/>
        </w:rPr>
        <w:tab/>
      </w:r>
      <w:bookmarkStart w:id="6" w:name="_Toc29456_WPSOffice_Level2Page"/>
      <w:r>
        <w:rPr>
          <w:rFonts w:hint="eastAsia" w:ascii="Times New Roman" w:hAnsi="Times New Roman" w:eastAsia="方正楷体_GBK" w:cs="Times New Roman"/>
          <w:b w:val="0"/>
          <w:bCs w:val="0"/>
          <w:sz w:val="30"/>
          <w:szCs w:val="30"/>
          <w:lang w:val="en-US" w:eastAsia="zh-CN" w:bidi="ar-SA"/>
        </w:rPr>
        <w:t>4</w:t>
      </w:r>
      <w:bookmarkEnd w:id="6"/>
      <w:r>
        <w:rPr>
          <w:rFonts w:hint="eastAsia" w:ascii="Times New Roman" w:hAnsi="Times New Roman" w:eastAsia="方正楷体_GBK" w:cs="Times New Roman"/>
          <w:b w:val="0"/>
          <w:bCs w:val="0"/>
          <w:sz w:val="30"/>
          <w:szCs w:val="30"/>
          <w:lang w:val="en-US" w:eastAsia="zh-CN" w:bidi="ar-SA"/>
        </w:rPr>
        <w:fldChar w:fldCharType="end"/>
      </w:r>
      <w:r>
        <w:rPr>
          <w:rFonts w:hint="eastAsia" w:ascii="Times New Roman" w:hAnsi="Times New Roman" w:eastAsia="方正楷体_GBK" w:cs="Times New Roman"/>
          <w:b w:val="0"/>
          <w:bCs w:val="0"/>
          <w:sz w:val="30"/>
          <w:szCs w:val="30"/>
          <w:lang w:val="en-US" w:eastAsia="zh-CN" w:bidi="ar-SA"/>
        </w:rPr>
        <w:t>5</w:t>
      </w:r>
    </w:p>
    <w:p w14:paraId="02B4B590">
      <w:pPr>
        <w:tabs>
          <w:tab w:val="right" w:leader="dot" w:pos="9016"/>
        </w:tabs>
        <w:ind w:left="420" w:leftChars="200"/>
        <w:rPr>
          <w:rFonts w:hint="eastAsia" w:ascii="Times New Roman" w:hAnsi="Times New Roman" w:eastAsia="方正楷体_GBK" w:cs="Times New Roman"/>
          <w:b w:val="0"/>
          <w:bCs w:val="0"/>
          <w:sz w:val="30"/>
          <w:szCs w:val="30"/>
          <w:lang w:val="en-US" w:eastAsia="zh-CN" w:bidi="ar-SA"/>
        </w:rPr>
      </w:pPr>
      <w:r>
        <w:rPr>
          <w:rFonts w:ascii="Times New Roman" w:hAnsi="Times New Roman" w:eastAsia="宋体" w:cs="Times New Roman"/>
          <w:b w:val="0"/>
          <w:bCs w:val="0"/>
          <w:lang w:val="en-US" w:eastAsia="zh-CN" w:bidi="ar-SA"/>
        </w:rPr>
        <w:fldChar w:fldCharType="begin"/>
      </w:r>
      <w:r>
        <w:rPr>
          <w:rFonts w:ascii="Times New Roman" w:hAnsi="Times New Roman" w:eastAsia="宋体" w:cs="Times New Roman"/>
          <w:b w:val="0"/>
          <w:bCs w:val="0"/>
          <w:lang w:val="en-US" w:eastAsia="zh-CN" w:bidi="ar-SA"/>
        </w:rPr>
        <w:instrText xml:space="preserve"> HYPERLINK \l "_Toc13632_WPSOffice_Level2" </w:instrText>
      </w:r>
      <w:r>
        <w:rPr>
          <w:rFonts w:ascii="Times New Roman" w:hAnsi="Times New Roman" w:eastAsia="宋体" w:cs="Times New Roman"/>
          <w:b w:val="0"/>
          <w:bCs w:val="0"/>
          <w:lang w:val="en-US" w:eastAsia="zh-CN" w:bidi="ar-SA"/>
        </w:rPr>
        <w:fldChar w:fldCharType="separate"/>
      </w:r>
      <w:r>
        <w:rPr>
          <w:rFonts w:hint="eastAsia" w:ascii="Times New Roman" w:hAnsi="Times New Roman" w:eastAsia="方正楷体_GBK" w:cs="楷体"/>
          <w:b w:val="0"/>
          <w:bCs w:val="0"/>
          <w:sz w:val="30"/>
          <w:szCs w:val="30"/>
          <w:lang w:val="en-US" w:eastAsia="zh-CN" w:bidi="ar-SA"/>
        </w:rPr>
        <w:t>（十二） 加强万开云卫生健康联动协作</w:t>
      </w:r>
      <w:r>
        <w:rPr>
          <w:rFonts w:hint="eastAsia" w:ascii="Times New Roman" w:hAnsi="Times New Roman" w:eastAsia="方正楷体_GBK" w:cs="Times New Roman"/>
          <w:b w:val="0"/>
          <w:bCs w:val="0"/>
          <w:sz w:val="30"/>
          <w:szCs w:val="30"/>
          <w:lang w:val="en-US" w:eastAsia="zh-CN" w:bidi="ar-SA"/>
        </w:rPr>
        <w:tab/>
      </w:r>
      <w:bookmarkStart w:id="7" w:name="_Toc13632_WPSOffice_Level2Page"/>
      <w:r>
        <w:rPr>
          <w:rFonts w:hint="eastAsia" w:ascii="Times New Roman" w:hAnsi="Times New Roman" w:eastAsia="方正楷体_GBK" w:cs="Times New Roman"/>
          <w:b w:val="0"/>
          <w:bCs w:val="0"/>
          <w:sz w:val="30"/>
          <w:szCs w:val="30"/>
          <w:lang w:val="en-US" w:eastAsia="zh-CN" w:bidi="ar-SA"/>
        </w:rPr>
        <w:t>4</w:t>
      </w:r>
      <w:bookmarkEnd w:id="7"/>
      <w:r>
        <w:rPr>
          <w:rFonts w:hint="eastAsia" w:ascii="Times New Roman" w:hAnsi="Times New Roman" w:eastAsia="方正楷体_GBK" w:cs="Times New Roman"/>
          <w:b w:val="0"/>
          <w:bCs w:val="0"/>
          <w:sz w:val="30"/>
          <w:szCs w:val="30"/>
          <w:lang w:val="en-US" w:eastAsia="zh-CN" w:bidi="ar-SA"/>
        </w:rPr>
        <w:fldChar w:fldCharType="end"/>
      </w:r>
      <w:r>
        <w:rPr>
          <w:rFonts w:hint="eastAsia" w:ascii="Times New Roman" w:hAnsi="Times New Roman" w:eastAsia="方正楷体_GBK" w:cs="Times New Roman"/>
          <w:b w:val="0"/>
          <w:bCs w:val="0"/>
          <w:sz w:val="30"/>
          <w:szCs w:val="30"/>
          <w:lang w:val="en-US" w:eastAsia="zh-CN" w:bidi="ar-SA"/>
        </w:rPr>
        <w:t>8</w:t>
      </w:r>
    </w:p>
    <w:p w14:paraId="3C8AF6A6">
      <w:pPr>
        <w:tabs>
          <w:tab w:val="right" w:leader="dot" w:pos="9016"/>
        </w:tabs>
        <w:rPr>
          <w:rFonts w:ascii="Times New Roman" w:hAnsi="Times New Roman" w:eastAsia="宋体" w:cs="Times New Roman"/>
          <w:b w:val="0"/>
          <w:bCs w:val="0"/>
          <w:sz w:val="30"/>
          <w:szCs w:val="30"/>
          <w:lang w:val="en-US" w:eastAsia="zh-CN" w:bidi="ar-SA"/>
        </w:rPr>
      </w:pPr>
      <w:r>
        <w:rPr>
          <w:rFonts w:ascii="Times New Roman" w:hAnsi="Times New Roman" w:eastAsia="宋体" w:cs="Times New Roman"/>
          <w:b w:val="0"/>
          <w:bCs w:val="0"/>
          <w:lang w:val="en-US" w:eastAsia="zh-CN" w:bidi="ar-SA"/>
        </w:rPr>
        <w:fldChar w:fldCharType="begin"/>
      </w:r>
      <w:r>
        <w:rPr>
          <w:rFonts w:ascii="Times New Roman" w:hAnsi="Times New Roman" w:eastAsia="宋体" w:cs="Times New Roman"/>
          <w:b w:val="0"/>
          <w:bCs w:val="0"/>
          <w:lang w:val="en-US" w:eastAsia="zh-CN" w:bidi="ar-SA"/>
        </w:rPr>
        <w:instrText xml:space="preserve"> HYPERLINK \l "_Toc3498_WPSOffice_Level1" </w:instrText>
      </w:r>
      <w:r>
        <w:rPr>
          <w:rFonts w:ascii="Times New Roman" w:hAnsi="Times New Roman" w:eastAsia="宋体" w:cs="Times New Roman"/>
          <w:b w:val="0"/>
          <w:bCs w:val="0"/>
          <w:lang w:val="en-US" w:eastAsia="zh-CN" w:bidi="ar-SA"/>
        </w:rPr>
        <w:fldChar w:fldCharType="separate"/>
      </w:r>
      <w:r>
        <w:rPr>
          <w:rFonts w:hint="eastAsia" w:ascii="Times New Roman" w:hAnsi="Times New Roman" w:eastAsia="方正黑体_GBK" w:cs="Times New Roman"/>
          <w:b w:val="0"/>
          <w:bCs w:val="0"/>
          <w:sz w:val="30"/>
          <w:szCs w:val="30"/>
          <w:lang w:val="en-US" w:eastAsia="zh-CN" w:bidi="ar-SA"/>
        </w:rPr>
        <w:t>四、保障措施</w:t>
      </w:r>
      <w:r>
        <w:rPr>
          <w:rFonts w:ascii="Times New Roman" w:hAnsi="Times New Roman" w:eastAsia="宋体" w:cs="Times New Roman"/>
          <w:b w:val="0"/>
          <w:bCs w:val="0"/>
          <w:sz w:val="30"/>
          <w:szCs w:val="30"/>
          <w:lang w:val="en-US" w:eastAsia="zh-CN" w:bidi="ar-SA"/>
        </w:rPr>
        <w:tab/>
      </w:r>
      <w:bookmarkStart w:id="8" w:name="_Toc3498_WPSOffice_Level1Page"/>
      <w:r>
        <w:rPr>
          <w:rFonts w:ascii="Times New Roman" w:hAnsi="Times New Roman" w:eastAsia="宋体" w:cs="Times New Roman"/>
          <w:b w:val="0"/>
          <w:bCs w:val="0"/>
          <w:sz w:val="30"/>
          <w:szCs w:val="30"/>
          <w:lang w:val="en-US" w:eastAsia="zh-CN" w:bidi="ar-SA"/>
        </w:rPr>
        <w:t>4</w:t>
      </w:r>
      <w:bookmarkEnd w:id="8"/>
      <w:r>
        <w:rPr>
          <w:rFonts w:ascii="Times New Roman" w:hAnsi="Times New Roman" w:eastAsia="宋体" w:cs="Times New Roman"/>
          <w:b w:val="0"/>
          <w:bCs w:val="0"/>
          <w:sz w:val="30"/>
          <w:szCs w:val="30"/>
          <w:lang w:val="en-US" w:eastAsia="zh-CN" w:bidi="ar-SA"/>
        </w:rPr>
        <w:fldChar w:fldCharType="end"/>
      </w:r>
      <w:r>
        <w:rPr>
          <w:rFonts w:hint="eastAsia" w:ascii="Times New Roman" w:hAnsi="Times New Roman" w:eastAsia="宋体" w:cs="Times New Roman"/>
          <w:b w:val="0"/>
          <w:bCs w:val="0"/>
          <w:sz w:val="30"/>
          <w:szCs w:val="30"/>
          <w:lang w:val="en-US" w:eastAsia="zh-CN" w:bidi="ar-SA"/>
        </w:rPr>
        <w:t>8</w:t>
      </w:r>
    </w:p>
    <w:p w14:paraId="49EA1763">
      <w:pPr>
        <w:tabs>
          <w:tab w:val="right" w:leader="dot" w:pos="9016"/>
        </w:tabs>
        <w:ind w:left="420" w:leftChars="200"/>
        <w:rPr>
          <w:rFonts w:hint="eastAsia" w:ascii="Times New Roman" w:hAnsi="Times New Roman" w:eastAsia="方正楷体_GBK" w:cs="Times New Roman"/>
          <w:b w:val="0"/>
          <w:bCs w:val="0"/>
          <w:sz w:val="30"/>
          <w:szCs w:val="30"/>
          <w:lang w:val="en-US" w:eastAsia="zh-CN" w:bidi="ar-SA"/>
        </w:rPr>
      </w:pPr>
      <w:r>
        <w:rPr>
          <w:rFonts w:ascii="Times New Roman" w:hAnsi="Times New Roman" w:eastAsia="宋体" w:cs="Times New Roman"/>
          <w:b w:val="0"/>
          <w:bCs w:val="0"/>
          <w:lang w:val="en-US" w:eastAsia="zh-CN" w:bidi="ar-SA"/>
        </w:rPr>
        <w:fldChar w:fldCharType="begin"/>
      </w:r>
      <w:r>
        <w:rPr>
          <w:rFonts w:ascii="Times New Roman" w:hAnsi="Times New Roman" w:eastAsia="宋体" w:cs="Times New Roman"/>
          <w:b w:val="0"/>
          <w:bCs w:val="0"/>
          <w:lang w:val="en-US" w:eastAsia="zh-CN" w:bidi="ar-SA"/>
        </w:rPr>
        <w:instrText xml:space="preserve"> HYPERLINK \l "_Toc17734_WPSOffice_Level2" </w:instrText>
      </w:r>
      <w:r>
        <w:rPr>
          <w:rFonts w:ascii="Times New Roman" w:hAnsi="Times New Roman" w:eastAsia="宋体" w:cs="Times New Roman"/>
          <w:b w:val="0"/>
          <w:bCs w:val="0"/>
          <w:lang w:val="en-US" w:eastAsia="zh-CN" w:bidi="ar-SA"/>
        </w:rPr>
        <w:fldChar w:fldCharType="separate"/>
      </w:r>
      <w:r>
        <w:rPr>
          <w:rFonts w:hint="eastAsia" w:ascii="Times New Roman" w:hAnsi="Times New Roman" w:eastAsia="方正楷体_GBK" w:cs="楷体"/>
          <w:b w:val="0"/>
          <w:bCs w:val="0"/>
          <w:sz w:val="30"/>
          <w:szCs w:val="30"/>
          <w:lang w:val="en-US" w:eastAsia="zh-CN" w:bidi="ar-SA"/>
        </w:rPr>
        <w:t>（一）强化组织领导</w:t>
      </w:r>
      <w:r>
        <w:rPr>
          <w:rFonts w:hint="eastAsia" w:ascii="Times New Roman" w:hAnsi="Times New Roman" w:eastAsia="方正楷体_GBK" w:cs="Times New Roman"/>
          <w:b w:val="0"/>
          <w:bCs w:val="0"/>
          <w:sz w:val="30"/>
          <w:szCs w:val="30"/>
          <w:lang w:val="en-US" w:eastAsia="zh-CN" w:bidi="ar-SA"/>
        </w:rPr>
        <w:tab/>
      </w:r>
      <w:r>
        <w:rPr>
          <w:rFonts w:hint="eastAsia" w:ascii="Times New Roman" w:hAnsi="Times New Roman" w:eastAsia="方正楷体_GBK" w:cs="Times New Roman"/>
          <w:b w:val="0"/>
          <w:bCs w:val="0"/>
          <w:sz w:val="30"/>
          <w:szCs w:val="30"/>
          <w:lang w:val="en-US" w:eastAsia="zh-CN" w:bidi="ar-SA"/>
        </w:rPr>
        <w:t>4</w:t>
      </w:r>
      <w:r>
        <w:rPr>
          <w:rFonts w:hint="eastAsia" w:ascii="Times New Roman" w:hAnsi="Times New Roman" w:eastAsia="方正楷体_GBK" w:cs="Times New Roman"/>
          <w:b w:val="0"/>
          <w:bCs w:val="0"/>
          <w:sz w:val="30"/>
          <w:szCs w:val="30"/>
          <w:lang w:val="en-US" w:eastAsia="zh-CN" w:bidi="ar-SA"/>
        </w:rPr>
        <w:fldChar w:fldCharType="end"/>
      </w:r>
      <w:r>
        <w:rPr>
          <w:rFonts w:hint="eastAsia" w:ascii="Times New Roman" w:hAnsi="Times New Roman" w:eastAsia="方正楷体_GBK" w:cs="Times New Roman"/>
          <w:b w:val="0"/>
          <w:bCs w:val="0"/>
          <w:sz w:val="30"/>
          <w:szCs w:val="30"/>
          <w:lang w:val="en-US" w:eastAsia="zh-CN" w:bidi="ar-SA"/>
        </w:rPr>
        <w:t>8</w:t>
      </w:r>
    </w:p>
    <w:p w14:paraId="13822F93">
      <w:pPr>
        <w:tabs>
          <w:tab w:val="right" w:leader="dot" w:pos="9016"/>
        </w:tabs>
        <w:ind w:left="420" w:leftChars="200"/>
        <w:rPr>
          <w:rFonts w:hint="eastAsia" w:ascii="Times New Roman" w:hAnsi="Times New Roman" w:eastAsia="方正楷体_GBK" w:cs="Times New Roman"/>
          <w:b w:val="0"/>
          <w:bCs w:val="0"/>
          <w:sz w:val="30"/>
          <w:szCs w:val="30"/>
          <w:lang w:val="en-US" w:eastAsia="zh-CN" w:bidi="ar-SA"/>
        </w:rPr>
      </w:pPr>
      <w:r>
        <w:rPr>
          <w:rFonts w:ascii="Times New Roman" w:hAnsi="Times New Roman" w:eastAsia="宋体" w:cs="Times New Roman"/>
          <w:b w:val="0"/>
          <w:bCs w:val="0"/>
          <w:lang w:val="en-US" w:eastAsia="zh-CN" w:bidi="ar-SA"/>
        </w:rPr>
        <w:fldChar w:fldCharType="begin"/>
      </w:r>
      <w:r>
        <w:rPr>
          <w:rFonts w:ascii="Times New Roman" w:hAnsi="Times New Roman" w:eastAsia="宋体" w:cs="Times New Roman"/>
          <w:b w:val="0"/>
          <w:bCs w:val="0"/>
          <w:lang w:val="en-US" w:eastAsia="zh-CN" w:bidi="ar-SA"/>
        </w:rPr>
        <w:instrText xml:space="preserve"> HYPERLINK \l "_Toc30309_WPSOffice_Level2" </w:instrText>
      </w:r>
      <w:r>
        <w:rPr>
          <w:rFonts w:ascii="Times New Roman" w:hAnsi="Times New Roman" w:eastAsia="宋体" w:cs="Times New Roman"/>
          <w:b w:val="0"/>
          <w:bCs w:val="0"/>
          <w:lang w:val="en-US" w:eastAsia="zh-CN" w:bidi="ar-SA"/>
        </w:rPr>
        <w:fldChar w:fldCharType="separate"/>
      </w:r>
      <w:r>
        <w:rPr>
          <w:rFonts w:hint="eastAsia" w:ascii="Times New Roman" w:hAnsi="Times New Roman" w:eastAsia="方正楷体_GBK" w:cs="楷体"/>
          <w:b w:val="0"/>
          <w:bCs w:val="0"/>
          <w:sz w:val="30"/>
          <w:szCs w:val="30"/>
          <w:lang w:val="en-US" w:eastAsia="zh-CN" w:bidi="ar-SA"/>
        </w:rPr>
        <w:t>（二）完善配套保障政策</w:t>
      </w:r>
      <w:r>
        <w:rPr>
          <w:rFonts w:hint="eastAsia" w:ascii="Times New Roman" w:hAnsi="Times New Roman" w:eastAsia="方正楷体_GBK" w:cs="Times New Roman"/>
          <w:b w:val="0"/>
          <w:bCs w:val="0"/>
          <w:sz w:val="30"/>
          <w:szCs w:val="30"/>
          <w:lang w:val="en-US" w:eastAsia="zh-CN" w:bidi="ar-SA"/>
        </w:rPr>
        <w:tab/>
      </w:r>
      <w:r>
        <w:rPr>
          <w:rFonts w:hint="eastAsia" w:ascii="Times New Roman" w:hAnsi="Times New Roman" w:eastAsia="方正楷体_GBK" w:cs="Times New Roman"/>
          <w:b w:val="0"/>
          <w:bCs w:val="0"/>
          <w:sz w:val="30"/>
          <w:szCs w:val="30"/>
          <w:lang w:val="en-US" w:eastAsia="zh-CN" w:bidi="ar-SA"/>
        </w:rPr>
        <w:t>4</w:t>
      </w:r>
      <w:r>
        <w:rPr>
          <w:rFonts w:hint="eastAsia" w:ascii="Times New Roman" w:hAnsi="Times New Roman" w:eastAsia="方正楷体_GBK" w:cs="Times New Roman"/>
          <w:b w:val="0"/>
          <w:bCs w:val="0"/>
          <w:sz w:val="30"/>
          <w:szCs w:val="30"/>
          <w:lang w:val="en-US" w:eastAsia="zh-CN" w:bidi="ar-SA"/>
        </w:rPr>
        <w:fldChar w:fldCharType="end"/>
      </w:r>
      <w:r>
        <w:rPr>
          <w:rFonts w:hint="eastAsia" w:ascii="Times New Roman" w:hAnsi="Times New Roman" w:eastAsia="方正楷体_GBK" w:cs="Times New Roman"/>
          <w:b w:val="0"/>
          <w:bCs w:val="0"/>
          <w:sz w:val="30"/>
          <w:szCs w:val="30"/>
          <w:lang w:val="en-US" w:eastAsia="zh-CN" w:bidi="ar-SA"/>
        </w:rPr>
        <w:t>9</w:t>
      </w:r>
    </w:p>
    <w:p w14:paraId="35DAEB88">
      <w:pPr>
        <w:tabs>
          <w:tab w:val="right" w:leader="dot" w:pos="9016"/>
        </w:tabs>
        <w:ind w:left="420" w:leftChars="200"/>
        <w:rPr>
          <w:rFonts w:hint="eastAsia" w:ascii="Times New Roman" w:hAnsi="Times New Roman" w:eastAsia="方正楷体_GBK" w:cs="Times New Roman"/>
          <w:b w:val="0"/>
          <w:bCs w:val="0"/>
          <w:sz w:val="30"/>
          <w:szCs w:val="30"/>
          <w:lang w:val="en-US" w:eastAsia="zh-CN" w:bidi="ar-SA"/>
        </w:rPr>
      </w:pPr>
      <w:r>
        <w:rPr>
          <w:rFonts w:ascii="Times New Roman" w:hAnsi="Times New Roman" w:eastAsia="宋体" w:cs="Times New Roman"/>
          <w:b w:val="0"/>
          <w:bCs w:val="0"/>
          <w:lang w:val="en-US" w:eastAsia="zh-CN" w:bidi="ar-SA"/>
        </w:rPr>
        <w:fldChar w:fldCharType="begin"/>
      </w:r>
      <w:r>
        <w:rPr>
          <w:rFonts w:ascii="Times New Roman" w:hAnsi="Times New Roman" w:eastAsia="宋体" w:cs="Times New Roman"/>
          <w:b w:val="0"/>
          <w:bCs w:val="0"/>
          <w:lang w:val="en-US" w:eastAsia="zh-CN" w:bidi="ar-SA"/>
        </w:rPr>
        <w:instrText xml:space="preserve"> HYPERLINK \l "_Toc20642_WPSOffice_Level2" </w:instrText>
      </w:r>
      <w:r>
        <w:rPr>
          <w:rFonts w:ascii="Times New Roman" w:hAnsi="Times New Roman" w:eastAsia="宋体" w:cs="Times New Roman"/>
          <w:b w:val="0"/>
          <w:bCs w:val="0"/>
          <w:lang w:val="en-US" w:eastAsia="zh-CN" w:bidi="ar-SA"/>
        </w:rPr>
        <w:fldChar w:fldCharType="separate"/>
      </w:r>
      <w:r>
        <w:rPr>
          <w:rFonts w:hint="eastAsia" w:ascii="Times New Roman" w:hAnsi="Times New Roman" w:eastAsia="方正楷体_GBK" w:cs="楷体"/>
          <w:b w:val="0"/>
          <w:bCs w:val="0"/>
          <w:sz w:val="30"/>
          <w:szCs w:val="30"/>
          <w:lang w:val="en-US" w:eastAsia="zh-CN" w:bidi="ar-SA"/>
        </w:rPr>
        <w:t>（三）营造良好发展环境</w:t>
      </w:r>
      <w:r>
        <w:rPr>
          <w:rFonts w:hint="eastAsia" w:ascii="Times New Roman" w:hAnsi="Times New Roman" w:eastAsia="方正楷体_GBK" w:cs="Times New Roman"/>
          <w:b w:val="0"/>
          <w:bCs w:val="0"/>
          <w:sz w:val="30"/>
          <w:szCs w:val="30"/>
          <w:lang w:val="en-US" w:eastAsia="zh-CN" w:bidi="ar-SA"/>
        </w:rPr>
        <w:tab/>
      </w:r>
      <w:r>
        <w:rPr>
          <w:rFonts w:hint="eastAsia" w:ascii="Times New Roman" w:hAnsi="Times New Roman" w:eastAsia="方正楷体_GBK" w:cs="Times New Roman"/>
          <w:b w:val="0"/>
          <w:bCs w:val="0"/>
          <w:sz w:val="30"/>
          <w:szCs w:val="30"/>
          <w:lang w:val="en-US" w:eastAsia="zh-CN" w:bidi="ar-SA"/>
        </w:rPr>
        <w:t>4</w:t>
      </w:r>
      <w:r>
        <w:rPr>
          <w:rFonts w:hint="eastAsia" w:ascii="Times New Roman" w:hAnsi="Times New Roman" w:eastAsia="方正楷体_GBK" w:cs="Times New Roman"/>
          <w:b w:val="0"/>
          <w:bCs w:val="0"/>
          <w:sz w:val="30"/>
          <w:szCs w:val="30"/>
          <w:lang w:val="en-US" w:eastAsia="zh-CN" w:bidi="ar-SA"/>
        </w:rPr>
        <w:fldChar w:fldCharType="end"/>
      </w:r>
      <w:r>
        <w:rPr>
          <w:rFonts w:hint="eastAsia" w:ascii="Times New Roman" w:hAnsi="Times New Roman" w:eastAsia="方正楷体_GBK" w:cs="Times New Roman"/>
          <w:b w:val="0"/>
          <w:bCs w:val="0"/>
          <w:sz w:val="30"/>
          <w:szCs w:val="30"/>
          <w:lang w:val="en-US" w:eastAsia="zh-CN" w:bidi="ar-SA"/>
        </w:rPr>
        <w:t>9</w:t>
      </w:r>
    </w:p>
    <w:p w14:paraId="6370C13F">
      <w:pPr>
        <w:tabs>
          <w:tab w:val="right" w:leader="dot" w:pos="9016"/>
        </w:tabs>
        <w:ind w:left="420" w:leftChars="200"/>
        <w:rPr>
          <w:rFonts w:hint="default" w:ascii="Times New Roman" w:hAnsi="Times New Roman" w:eastAsia="方正楷体_GBK" w:cs="Times New Roman"/>
          <w:b w:val="0"/>
          <w:bCs w:val="0"/>
          <w:sz w:val="30"/>
          <w:szCs w:val="30"/>
          <w:lang w:val="en-US" w:eastAsia="zh-CN" w:bidi="ar-SA"/>
        </w:rPr>
      </w:pPr>
      <w:r>
        <w:rPr>
          <w:rFonts w:ascii="Times New Roman" w:hAnsi="Times New Roman" w:eastAsia="宋体" w:cs="Times New Roman"/>
          <w:b w:val="0"/>
          <w:bCs w:val="0"/>
          <w:lang w:val="en-US" w:eastAsia="zh-CN" w:bidi="ar-SA"/>
        </w:rPr>
        <w:fldChar w:fldCharType="begin"/>
      </w:r>
      <w:r>
        <w:rPr>
          <w:rFonts w:ascii="Times New Roman" w:hAnsi="Times New Roman" w:eastAsia="宋体" w:cs="Times New Roman"/>
          <w:b w:val="0"/>
          <w:bCs w:val="0"/>
          <w:lang w:val="en-US" w:eastAsia="zh-CN" w:bidi="ar-SA"/>
        </w:rPr>
        <w:instrText xml:space="preserve"> HYPERLINK \l "_Toc1426_WPSOffice_Level2" </w:instrText>
      </w:r>
      <w:r>
        <w:rPr>
          <w:rFonts w:ascii="Times New Roman" w:hAnsi="Times New Roman" w:eastAsia="宋体" w:cs="Times New Roman"/>
          <w:b w:val="0"/>
          <w:bCs w:val="0"/>
          <w:lang w:val="en-US" w:eastAsia="zh-CN" w:bidi="ar-SA"/>
        </w:rPr>
        <w:fldChar w:fldCharType="separate"/>
      </w:r>
      <w:r>
        <w:rPr>
          <w:rFonts w:hint="eastAsia" w:ascii="Times New Roman" w:hAnsi="Times New Roman" w:eastAsia="方正楷体_GBK" w:cs="楷体"/>
          <w:b w:val="0"/>
          <w:bCs w:val="0"/>
          <w:sz w:val="30"/>
          <w:szCs w:val="30"/>
          <w:lang w:val="en-US" w:eastAsia="zh-CN" w:bidi="ar-SA"/>
        </w:rPr>
        <w:t>（四）加强监测评估</w:t>
      </w:r>
      <w:r>
        <w:rPr>
          <w:rFonts w:hint="eastAsia" w:ascii="Times New Roman" w:hAnsi="Times New Roman" w:eastAsia="方正楷体_GBK" w:cs="Times New Roman"/>
          <w:b w:val="0"/>
          <w:bCs w:val="0"/>
          <w:sz w:val="30"/>
          <w:szCs w:val="30"/>
          <w:lang w:val="en-US" w:eastAsia="zh-CN" w:bidi="ar-SA"/>
        </w:rPr>
        <w:tab/>
      </w:r>
      <w:r>
        <w:rPr>
          <w:rFonts w:hint="eastAsia" w:ascii="Times New Roman" w:hAnsi="Times New Roman" w:eastAsia="方正楷体_GBK" w:cs="Times New Roman"/>
          <w:b w:val="0"/>
          <w:bCs w:val="0"/>
          <w:sz w:val="30"/>
          <w:szCs w:val="30"/>
          <w:lang w:val="en-US" w:eastAsia="zh-CN" w:bidi="ar-SA"/>
        </w:rPr>
        <w:fldChar w:fldCharType="end"/>
      </w:r>
      <w:r>
        <w:rPr>
          <w:rFonts w:hint="eastAsia" w:ascii="Times New Roman" w:hAnsi="Times New Roman" w:eastAsia="方正楷体_GBK" w:cs="Times New Roman"/>
          <w:b w:val="0"/>
          <w:bCs w:val="0"/>
          <w:sz w:val="30"/>
          <w:szCs w:val="30"/>
          <w:lang w:val="en-US" w:eastAsia="zh-CN" w:bidi="ar-SA"/>
        </w:rPr>
        <w:t>50</w:t>
      </w:r>
    </w:p>
    <w:p w14:paraId="652F937D">
      <w:pPr>
        <w:tabs>
          <w:tab w:val="right" w:leader="dot" w:pos="9016"/>
        </w:tabs>
        <w:rPr>
          <w:rFonts w:ascii="Times New Roman" w:hAnsi="Times New Roman" w:eastAsia="宋体" w:cs="Times New Roman"/>
          <w:b w:val="0"/>
          <w:bCs w:val="0"/>
          <w:sz w:val="30"/>
          <w:szCs w:val="30"/>
          <w:lang w:val="en-US" w:eastAsia="zh-CN" w:bidi="ar-SA"/>
        </w:rPr>
      </w:pPr>
    </w:p>
    <w:bookmarkEnd w:id="0"/>
    <w:p w14:paraId="02236A1B">
      <w:pPr>
        <w:spacing w:line="560" w:lineRule="exact"/>
        <w:ind w:firstLine="640" w:firstLineChars="200"/>
        <w:rPr>
          <w:rFonts w:ascii="Times New Roman" w:hAnsi="Times New Roman" w:eastAsia="方正仿宋_GBK" w:cs="方正仿宋_GBK"/>
          <w:b w:val="0"/>
          <w:bCs w:val="0"/>
          <w:sz w:val="32"/>
          <w:szCs w:val="32"/>
        </w:rPr>
      </w:pPr>
    </w:p>
    <w:p w14:paraId="4B256EE7">
      <w:pPr>
        <w:widowControl w:val="0"/>
        <w:spacing w:after="120"/>
        <w:jc w:val="both"/>
        <w:rPr>
          <w:rFonts w:ascii="Times New Roman" w:hAnsi="Times New Roman" w:eastAsia="方正仿宋_GBK" w:cs="方正仿宋_GBK"/>
          <w:b w:val="0"/>
          <w:bCs w:val="0"/>
          <w:kern w:val="2"/>
          <w:sz w:val="32"/>
          <w:szCs w:val="32"/>
          <w:lang w:val="en-US" w:eastAsia="zh-CN" w:bidi="ar-SA"/>
        </w:rPr>
      </w:pPr>
    </w:p>
    <w:p w14:paraId="12A0D3D2">
      <w:pPr>
        <w:widowControl w:val="0"/>
        <w:spacing w:after="120"/>
        <w:ind w:left="420" w:leftChars="200"/>
        <w:jc w:val="both"/>
        <w:rPr>
          <w:rFonts w:ascii="Times New Roman" w:hAnsi="Times New Roman" w:eastAsia="方正仿宋_GBK" w:cs="方正仿宋_GBK"/>
          <w:b w:val="0"/>
          <w:bCs w:val="0"/>
          <w:kern w:val="2"/>
          <w:sz w:val="32"/>
          <w:szCs w:val="32"/>
          <w:lang w:val="en-US" w:eastAsia="zh-CN" w:bidi="ar-SA"/>
        </w:rPr>
      </w:pPr>
    </w:p>
    <w:p w14:paraId="78556E23">
      <w:pPr>
        <w:widowControl w:val="0"/>
        <w:spacing w:after="120"/>
        <w:ind w:left="420" w:leftChars="200"/>
        <w:jc w:val="both"/>
        <w:rPr>
          <w:rFonts w:ascii="Times New Roman" w:hAnsi="Times New Roman" w:eastAsia="方正仿宋_GBK" w:cs="方正仿宋_GBK"/>
          <w:b w:val="0"/>
          <w:bCs w:val="0"/>
          <w:kern w:val="2"/>
          <w:sz w:val="32"/>
          <w:szCs w:val="32"/>
          <w:lang w:val="en-US" w:eastAsia="zh-CN" w:bidi="ar-SA"/>
        </w:rPr>
      </w:pPr>
    </w:p>
    <w:p w14:paraId="6FFBFDF4">
      <w:pPr>
        <w:widowControl w:val="0"/>
        <w:spacing w:after="120"/>
        <w:ind w:left="420" w:leftChars="200"/>
        <w:jc w:val="both"/>
        <w:rPr>
          <w:rFonts w:ascii="Times New Roman" w:hAnsi="Times New Roman" w:eastAsia="方正仿宋_GBK" w:cs="方正仿宋_GBK"/>
          <w:b w:val="0"/>
          <w:bCs w:val="0"/>
          <w:kern w:val="2"/>
          <w:sz w:val="32"/>
          <w:szCs w:val="32"/>
          <w:lang w:val="en-US" w:eastAsia="zh-CN" w:bidi="ar-SA"/>
        </w:rPr>
      </w:pPr>
    </w:p>
    <w:p w14:paraId="3A7D2B95">
      <w:pPr>
        <w:spacing w:line="560" w:lineRule="exact"/>
        <w:rPr>
          <w:rFonts w:ascii="Times New Roman" w:hAnsi="Times New Roman" w:eastAsia="方正仿宋_GBK" w:cs="方正仿宋_GBK"/>
          <w:b w:val="0"/>
          <w:bCs w:val="0"/>
          <w:sz w:val="32"/>
          <w:szCs w:val="32"/>
        </w:rPr>
      </w:pPr>
    </w:p>
    <w:p w14:paraId="3C95DE3E">
      <w:pPr>
        <w:widowControl w:val="0"/>
        <w:spacing w:after="120"/>
        <w:jc w:val="both"/>
        <w:rPr>
          <w:rFonts w:ascii="Times New Roman" w:hAnsi="Times New Roman" w:eastAsia="方正仿宋_GBK" w:cs="方正仿宋_GBK"/>
          <w:b w:val="0"/>
          <w:bCs w:val="0"/>
          <w:kern w:val="2"/>
          <w:sz w:val="32"/>
          <w:szCs w:val="32"/>
          <w:lang w:val="en-US" w:eastAsia="zh-CN" w:bidi="ar-SA"/>
        </w:rPr>
      </w:pPr>
    </w:p>
    <w:p w14:paraId="0E972CF0">
      <w:pPr>
        <w:widowControl w:val="0"/>
        <w:spacing w:after="120"/>
        <w:ind w:left="420" w:leftChars="200"/>
        <w:jc w:val="both"/>
        <w:rPr>
          <w:rFonts w:ascii="Times New Roman" w:hAnsi="Times New Roman" w:eastAsia="方正仿宋_GBK" w:cs="方正仿宋_GBK"/>
          <w:b w:val="0"/>
          <w:bCs w:val="0"/>
          <w:kern w:val="2"/>
          <w:sz w:val="32"/>
          <w:szCs w:val="32"/>
          <w:lang w:val="en-US" w:eastAsia="zh-CN" w:bidi="ar-SA"/>
        </w:rPr>
      </w:pPr>
    </w:p>
    <w:p w14:paraId="7556BAFC">
      <w:pPr>
        <w:widowControl w:val="0"/>
        <w:spacing w:after="120"/>
        <w:ind w:left="420" w:leftChars="200"/>
        <w:jc w:val="both"/>
        <w:rPr>
          <w:rFonts w:ascii="Times New Roman" w:hAnsi="Times New Roman" w:eastAsia="方正仿宋_GBK" w:cs="方正仿宋_GBK"/>
          <w:b w:val="0"/>
          <w:bCs w:val="0"/>
          <w:kern w:val="2"/>
          <w:sz w:val="32"/>
          <w:szCs w:val="32"/>
          <w:lang w:val="en-US" w:eastAsia="zh-CN" w:bidi="ar-SA"/>
        </w:rPr>
      </w:pPr>
    </w:p>
    <w:p w14:paraId="6F8CA074">
      <w:pPr>
        <w:widowControl w:val="0"/>
        <w:spacing w:after="120"/>
        <w:ind w:left="0" w:leftChars="0"/>
        <w:jc w:val="both"/>
        <w:rPr>
          <w:rFonts w:ascii="Times New Roman" w:hAnsi="Times New Roman" w:eastAsia="方正仿宋_GBK" w:cs="方正仿宋_GBK"/>
          <w:b w:val="0"/>
          <w:bCs w:val="0"/>
          <w:kern w:val="2"/>
          <w:sz w:val="32"/>
          <w:szCs w:val="32"/>
          <w:lang w:val="en-US" w:eastAsia="zh-CN" w:bidi="ar-SA"/>
        </w:rPr>
      </w:pPr>
    </w:p>
    <w:p w14:paraId="753F9A92">
      <w:pPr>
        <w:widowControl w:val="0"/>
        <w:spacing w:after="120"/>
        <w:ind w:left="0" w:leftChars="0"/>
        <w:jc w:val="both"/>
        <w:rPr>
          <w:rFonts w:ascii="Times New Roman" w:hAnsi="Times New Roman" w:eastAsia="方正仿宋_GBK" w:cs="方正仿宋_GBK"/>
          <w:b w:val="0"/>
          <w:bCs w:val="0"/>
          <w:kern w:val="2"/>
          <w:sz w:val="32"/>
          <w:szCs w:val="32"/>
          <w:lang w:val="en-US" w:eastAsia="zh-CN" w:bidi="ar-SA"/>
        </w:rPr>
      </w:pPr>
    </w:p>
    <w:p w14:paraId="2C8BF99E">
      <w:pPr>
        <w:spacing w:line="578" w:lineRule="exact"/>
        <w:ind w:firstLine="640" w:firstLineChars="200"/>
        <w:rPr>
          <w:rFonts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十四五</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时期是全面深化卫生健康事业改革关键时期，也是优化我县卫生健康事业体系，促进卫生健康事业全面、协调、可持续发展的重要时期。为进一步明确</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十四五</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时期卫生健康事业发展目标、主要任务，落实保障措施，使我县卫生健康事业与国民经济和社会发展同步，根据《云阳县国民经济和社会发展第十四个五年规划和二</w:t>
      </w:r>
      <w:r>
        <w:rPr>
          <w:rFonts w:hint="eastAsia" w:ascii="Times New Roman" w:hAnsi="Times New Roman" w:eastAsia="方正仿宋_GBK" w:cs="Times New Roman"/>
          <w:b w:val="0"/>
          <w:bCs w:val="0"/>
          <w:sz w:val="32"/>
          <w:szCs w:val="32"/>
        </w:rPr>
        <w:t>〇</w:t>
      </w:r>
      <w:r>
        <w:rPr>
          <w:rFonts w:ascii="Times New Roman" w:hAnsi="Times New Roman" w:eastAsia="方正仿宋_GBK" w:cs="Times New Roman"/>
          <w:b w:val="0"/>
          <w:bCs w:val="0"/>
          <w:sz w:val="32"/>
          <w:szCs w:val="32"/>
        </w:rPr>
        <w:t>三五年远景目标纲要》和《重庆市卫生健康发展</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十四五</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规划》，结合我县工作实际，制定本规划。本规划年限为2021年</w:t>
      </w:r>
      <w:r>
        <w:rPr>
          <w:rFonts w:hint="eastAsia" w:ascii="Times New Roman" w:hAnsi="Times New Roman" w:eastAsia="方正仿宋_GBK" w:cs="Times New Roman"/>
          <w:b w:val="0"/>
          <w:bCs w:val="0"/>
          <w:sz w:val="32"/>
          <w:szCs w:val="32"/>
          <w:lang w:eastAsia="zh-CN"/>
        </w:rPr>
        <w:t>—</w:t>
      </w:r>
      <w:r>
        <w:rPr>
          <w:rFonts w:ascii="Times New Roman" w:hAnsi="Times New Roman" w:eastAsia="方正仿宋_GBK" w:cs="Times New Roman"/>
          <w:b w:val="0"/>
          <w:bCs w:val="0"/>
          <w:sz w:val="32"/>
          <w:szCs w:val="32"/>
        </w:rPr>
        <w:t>2025年。</w:t>
      </w:r>
    </w:p>
    <w:p w14:paraId="42928CCE">
      <w:pPr>
        <w:keepNext/>
        <w:keepLines/>
        <w:widowControl w:val="0"/>
        <w:spacing w:before="0" w:after="0" w:line="578" w:lineRule="exact"/>
        <w:ind w:firstLine="800" w:firstLineChars="250"/>
        <w:jc w:val="both"/>
        <w:outlineLvl w:val="1"/>
        <w:rPr>
          <w:rFonts w:ascii="Times New Roman" w:hAnsi="Times New Roman" w:eastAsia="方正黑体_GBK" w:cs="Times New Roman"/>
          <w:b w:val="0"/>
          <w:bCs w:val="0"/>
          <w:kern w:val="44"/>
          <w:sz w:val="32"/>
          <w:szCs w:val="32"/>
          <w:lang w:val="en-US" w:eastAsia="zh-CN" w:bidi="ar-SA"/>
        </w:rPr>
      </w:pPr>
      <w:bookmarkStart w:id="9" w:name="_Toc24834_WPSOffice_Level1"/>
      <w:bookmarkStart w:id="10" w:name="_Toc30533"/>
      <w:r>
        <w:rPr>
          <w:rFonts w:ascii="Times New Roman" w:hAnsi="Times New Roman" w:eastAsia="方正黑体_GBK" w:cs="Times New Roman"/>
          <w:b w:val="0"/>
          <w:bCs w:val="0"/>
          <w:kern w:val="44"/>
          <w:sz w:val="32"/>
          <w:szCs w:val="32"/>
          <w:lang w:val="en-US" w:eastAsia="zh-CN" w:bidi="ar-SA"/>
        </w:rPr>
        <w:t>一 、规划背景</w:t>
      </w:r>
      <w:bookmarkEnd w:id="9"/>
      <w:bookmarkEnd w:id="10"/>
    </w:p>
    <w:p w14:paraId="0C60A205">
      <w:pPr>
        <w:keepNext/>
        <w:keepLines/>
        <w:widowControl w:val="0"/>
        <w:spacing w:before="0" w:after="0" w:line="578" w:lineRule="exact"/>
        <w:ind w:firstLine="640" w:firstLineChars="200"/>
        <w:jc w:val="both"/>
        <w:outlineLvl w:val="1"/>
        <w:rPr>
          <w:rFonts w:ascii="Times New Roman" w:hAnsi="Times New Roman" w:eastAsia="方正楷体_GBK" w:cs="Times New Roman"/>
          <w:b w:val="0"/>
          <w:bCs w:val="0"/>
          <w:kern w:val="2"/>
          <w:sz w:val="32"/>
          <w:szCs w:val="32"/>
          <w:lang w:val="en-US" w:eastAsia="zh-CN" w:bidi="ar-SA"/>
        </w:rPr>
      </w:pPr>
      <w:bookmarkStart w:id="11" w:name="_Toc17431"/>
      <w:bookmarkStart w:id="12" w:name="_Toc2367_WPSOffice_Level2"/>
      <w:r>
        <w:rPr>
          <w:rFonts w:ascii="Times New Roman" w:hAnsi="Times New Roman" w:eastAsia="方正楷体_GBK" w:cs="Times New Roman"/>
          <w:b w:val="0"/>
          <w:bCs w:val="0"/>
          <w:kern w:val="2"/>
          <w:sz w:val="32"/>
          <w:szCs w:val="32"/>
          <w:lang w:val="en-US" w:eastAsia="zh-CN" w:bidi="ar-SA"/>
        </w:rPr>
        <w:t>（一）</w:t>
      </w:r>
      <w:r>
        <w:rPr>
          <w:rFonts w:hint="eastAsia" w:ascii="Times New Roman" w:hAnsi="Times New Roman" w:eastAsia="方正楷体_GBK" w:cs="Times New Roman"/>
          <w:b w:val="0"/>
          <w:bCs w:val="0"/>
          <w:kern w:val="2"/>
          <w:sz w:val="32"/>
          <w:szCs w:val="32"/>
          <w:lang w:val="en-US" w:eastAsia="zh-CN" w:bidi="ar-SA"/>
        </w:rPr>
        <w:t>“</w:t>
      </w:r>
      <w:r>
        <w:rPr>
          <w:rFonts w:ascii="Times New Roman" w:hAnsi="Times New Roman" w:eastAsia="方正楷体_GBK" w:cs="Times New Roman"/>
          <w:b w:val="0"/>
          <w:bCs w:val="0"/>
          <w:kern w:val="2"/>
          <w:sz w:val="32"/>
          <w:szCs w:val="32"/>
          <w:lang w:val="en-US" w:eastAsia="zh-CN" w:bidi="ar-SA"/>
        </w:rPr>
        <w:t>十三五</w:t>
      </w:r>
      <w:r>
        <w:rPr>
          <w:rFonts w:hint="eastAsia" w:ascii="Times New Roman" w:hAnsi="Times New Roman" w:eastAsia="方正楷体_GBK" w:cs="Times New Roman"/>
          <w:b w:val="0"/>
          <w:bCs w:val="0"/>
          <w:kern w:val="2"/>
          <w:sz w:val="32"/>
          <w:szCs w:val="32"/>
          <w:lang w:val="en-US" w:eastAsia="zh-CN" w:bidi="ar-SA"/>
        </w:rPr>
        <w:t>”</w:t>
      </w:r>
      <w:r>
        <w:rPr>
          <w:rFonts w:ascii="Times New Roman" w:hAnsi="Times New Roman" w:eastAsia="方正楷体_GBK" w:cs="Times New Roman"/>
          <w:b w:val="0"/>
          <w:bCs w:val="0"/>
          <w:kern w:val="2"/>
          <w:sz w:val="32"/>
          <w:szCs w:val="32"/>
          <w:lang w:val="en-US" w:eastAsia="zh-CN" w:bidi="ar-SA"/>
        </w:rPr>
        <w:t>时期卫生健康事业发展</w:t>
      </w:r>
      <w:bookmarkEnd w:id="11"/>
      <w:r>
        <w:rPr>
          <w:rFonts w:ascii="Times New Roman" w:hAnsi="Times New Roman" w:eastAsia="方正楷体_GBK" w:cs="Times New Roman"/>
          <w:b w:val="0"/>
          <w:bCs w:val="0"/>
          <w:kern w:val="2"/>
          <w:sz w:val="32"/>
          <w:szCs w:val="32"/>
          <w:lang w:val="en-US" w:eastAsia="zh-CN" w:bidi="ar-SA"/>
        </w:rPr>
        <w:t>成效</w:t>
      </w:r>
      <w:bookmarkEnd w:id="12"/>
    </w:p>
    <w:p w14:paraId="443CAA88">
      <w:pPr>
        <w:spacing w:line="578" w:lineRule="exact"/>
        <w:ind w:firstLine="640" w:firstLineChars="200"/>
        <w:rPr>
          <w:rFonts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十三五</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期间，我县围绕医疗卫生服务能力提升、基本公共卫生服务均等化、人才队伍建设、区域卫生健康信息化建设、卫生监督、人口均衡发展等重点任务扎实推动工作，医疗卫生健康事业取得了重大进展，</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十三五</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卫生健康事业规划的主要目标和任务如期完成，居民主要健康指标总体上达到全市平均水平，为</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十四五</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发展奠定了良好基础。</w:t>
      </w:r>
    </w:p>
    <w:p w14:paraId="3F716F33">
      <w:pPr>
        <w:numPr>
          <w:ilvl w:val="0"/>
          <w:numId w:val="1"/>
        </w:numPr>
        <w:spacing w:line="578" w:lineRule="exact"/>
        <w:ind w:firstLine="640" w:firstLineChars="200"/>
        <w:rPr>
          <w:rFonts w:hint="eastAsia" w:ascii="Times New Roman" w:hAnsi="Times New Roman" w:eastAsia="方正仿宋_GBK" w:cs="方正仿宋_GBK"/>
          <w:b w:val="0"/>
          <w:bCs w:val="0"/>
          <w:sz w:val="32"/>
          <w:szCs w:val="32"/>
        </w:rPr>
      </w:pPr>
      <w:r>
        <w:rPr>
          <w:rFonts w:hint="eastAsia" w:ascii="Times New Roman" w:hAnsi="Times New Roman" w:eastAsia="方正仿宋_GBK" w:cs="方正仿宋_GBK"/>
          <w:b w:val="0"/>
          <w:bCs w:val="0"/>
          <w:sz w:val="32"/>
          <w:szCs w:val="32"/>
        </w:rPr>
        <w:t>居民健康水平稳步提升</w:t>
      </w:r>
    </w:p>
    <w:p w14:paraId="33837AB1">
      <w:pPr>
        <w:spacing w:line="578" w:lineRule="exact"/>
        <w:ind w:firstLine="640" w:firstLineChars="200"/>
        <w:rPr>
          <w:rFonts w:ascii="Times New Roman" w:hAnsi="Times New Roman" w:eastAsia="方正仿宋_GBK" w:cs="Times New Roman"/>
          <w:b w:val="0"/>
          <w:bCs w:val="0"/>
          <w:sz w:val="32"/>
          <w:szCs w:val="32"/>
        </w:rPr>
      </w:pPr>
      <w:r>
        <w:rPr>
          <w:rFonts w:ascii="Times New Roman" w:hAnsi="Times New Roman" w:eastAsia="方正仿宋_GBK" w:cs="Times New Roman"/>
          <w:b w:val="0"/>
          <w:bCs w:val="0"/>
          <w:sz w:val="32"/>
          <w:szCs w:val="32"/>
        </w:rPr>
        <w:t>健康中国云阳行动全面启动，居民健康水平稳步提升。成功承办重庆市卫生健康委、云阳县人民政府联合主办的</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健康中国巴渝行暨鲁渝协作健康扶贫助力脱贫攻坚</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大型宣传服务活动。代表重庆市区（县）参加国家卫生健康委举办的巡礼十三五重庆专场新闻发布会，大幅提升了全县健康促进工作在全国全市的影响力。全县人均期望寿命从2015年的76.2岁提高至2020年的77.36岁，其中男性期望寿命为74.84岁，女性期望寿命为80.12岁。婴儿死亡率由2015年的4.88‰下降到2.67‰，5岁以下儿童死亡率由2015年的7.98‰下降到3.87‰。</w:t>
      </w:r>
      <w:bookmarkStart w:id="72" w:name="_GoBack"/>
      <w:bookmarkEnd w:id="72"/>
      <w:r>
        <w:rPr>
          <w:rFonts w:ascii="Times New Roman" w:hAnsi="Times New Roman" w:eastAsia="方正仿宋_GBK" w:cs="Times New Roman"/>
          <w:b w:val="0"/>
          <w:bCs w:val="0"/>
          <w:sz w:val="32"/>
          <w:szCs w:val="32"/>
        </w:rPr>
        <w:t>截</w:t>
      </w:r>
      <w:r>
        <w:rPr>
          <w:rFonts w:hint="eastAsia" w:ascii="Times New Roman" w:hAnsi="Times New Roman" w:eastAsia="方正仿宋_GBK" w:cs="Times New Roman"/>
          <w:b w:val="0"/>
          <w:bCs w:val="0"/>
          <w:sz w:val="32"/>
          <w:szCs w:val="32"/>
          <w:lang w:val="en-US" w:eastAsia="zh-CN"/>
        </w:rPr>
        <w:t>至</w:t>
      </w:r>
      <w:r>
        <w:rPr>
          <w:rFonts w:ascii="Times New Roman" w:hAnsi="Times New Roman" w:eastAsia="方正仿宋_GBK" w:cs="Times New Roman"/>
          <w:b w:val="0"/>
          <w:bCs w:val="0"/>
          <w:sz w:val="32"/>
          <w:szCs w:val="32"/>
        </w:rPr>
        <w:t>2020年底，全县城乡居民健康素养水平达到22.98%，高于全市平均水平。</w:t>
      </w:r>
    </w:p>
    <w:p w14:paraId="1FEB6164">
      <w:pPr>
        <w:numPr>
          <w:ilvl w:val="0"/>
          <w:numId w:val="1"/>
        </w:numPr>
        <w:spacing w:line="578" w:lineRule="exact"/>
        <w:ind w:firstLine="640" w:firstLineChars="200"/>
        <w:rPr>
          <w:rFonts w:hint="eastAsia" w:ascii="Times New Roman" w:hAnsi="Times New Roman" w:eastAsia="方正仿宋_GBK" w:cs="方正仿宋_GBK"/>
          <w:b w:val="0"/>
          <w:bCs w:val="0"/>
          <w:sz w:val="32"/>
          <w:szCs w:val="32"/>
        </w:rPr>
      </w:pPr>
      <w:r>
        <w:rPr>
          <w:rFonts w:hint="eastAsia" w:ascii="Times New Roman" w:hAnsi="Times New Roman" w:eastAsia="方正仿宋_GBK" w:cs="方正仿宋_GBK"/>
          <w:b w:val="0"/>
          <w:bCs w:val="0"/>
          <w:sz w:val="32"/>
          <w:szCs w:val="32"/>
        </w:rPr>
        <w:t>医疗卫生体制改革有序推进</w:t>
      </w:r>
    </w:p>
    <w:p w14:paraId="3A64BBA9">
      <w:pPr>
        <w:spacing w:line="578" w:lineRule="exact"/>
        <w:ind w:firstLine="640" w:firstLineChars="200"/>
        <w:rPr>
          <w:rFonts w:ascii="Times New Roman" w:hAnsi="Times New Roman" w:eastAsia="方正仿宋_GBK" w:cs="Times New Roman"/>
          <w:b w:val="0"/>
          <w:bCs w:val="0"/>
          <w:sz w:val="32"/>
          <w:szCs w:val="32"/>
        </w:rPr>
      </w:pPr>
      <w:r>
        <w:rPr>
          <w:rFonts w:ascii="Times New Roman" w:hAnsi="Times New Roman" w:eastAsia="方正仿宋_GBK" w:cs="Times New Roman"/>
          <w:b w:val="0"/>
          <w:bCs w:val="0"/>
          <w:sz w:val="32"/>
          <w:szCs w:val="32"/>
        </w:rPr>
        <w:t>推行两项制度、实施两项改革。全面推行公立医疗机构药品采购</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集中组织、挂网采购</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和</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两票制</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制度，实施取消公立医疗机构药品加成改革和医用耗材加成改革。全面实现公立医疗机构药品</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零差率</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销售，公立医疗机构药占比从2015年的38.71%下降到27.98%，全县医疗业务收入中耗材收入占比下降到20%以内。加入国家药品和医疗器械集中带量采购试点，实现了重点品规药品和器械采购价格大幅度下降，切实减轻了群众就医负担。</w:t>
      </w:r>
    </w:p>
    <w:p w14:paraId="2B154E2C">
      <w:pPr>
        <w:spacing w:line="578" w:lineRule="exact"/>
        <w:ind w:firstLine="640" w:firstLineChars="200"/>
        <w:rPr>
          <w:rFonts w:ascii="Times New Roman" w:hAnsi="Times New Roman" w:eastAsia="方正仿宋_GBK" w:cs="Times New Roman"/>
          <w:b w:val="0"/>
          <w:bCs w:val="0"/>
          <w:sz w:val="32"/>
          <w:szCs w:val="32"/>
        </w:rPr>
      </w:pPr>
      <w:r>
        <w:rPr>
          <w:rFonts w:ascii="Times New Roman" w:hAnsi="Times New Roman" w:eastAsia="方正仿宋_GBK" w:cs="Times New Roman"/>
          <w:b w:val="0"/>
          <w:bCs w:val="0"/>
          <w:sz w:val="32"/>
          <w:szCs w:val="32"/>
        </w:rPr>
        <w:t>实施医共体</w:t>
      </w:r>
      <w:r>
        <w:rPr>
          <w:rFonts w:hint="eastAsia" w:ascii="Times New Roman" w:hAnsi="Times New Roman" w:eastAsia="方正仿宋_GBK" w:cs="Times New Roman"/>
          <w:b w:val="0"/>
          <w:bCs w:val="0"/>
          <w:sz w:val="32"/>
          <w:szCs w:val="32"/>
        </w:rPr>
        <w:t>“三通”</w:t>
      </w:r>
      <w:r>
        <w:rPr>
          <w:rFonts w:ascii="Times New Roman" w:hAnsi="Times New Roman" w:eastAsia="方正仿宋_GBK" w:cs="Times New Roman"/>
          <w:b w:val="0"/>
          <w:bCs w:val="0"/>
          <w:sz w:val="32"/>
          <w:szCs w:val="32"/>
        </w:rPr>
        <w:t>试点。以建设县域卫生健康共同体为目标，由县人民医院、县中医院、县妇女儿童医院牵头，组建了综合医疗医共体、中医医共体、妇儿慢病医共体，建立了</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基层医疗卫生发展</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和</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县级技术服务协作</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两个资金池，以智慧医疗为纽带开展了远程诊疗。</w:t>
      </w:r>
    </w:p>
    <w:p w14:paraId="34432ED9">
      <w:pPr>
        <w:spacing w:line="578" w:lineRule="exact"/>
        <w:ind w:firstLine="640" w:firstLineChars="200"/>
        <w:rPr>
          <w:rFonts w:ascii="Times New Roman" w:hAnsi="Times New Roman" w:eastAsia="方正仿宋_GBK" w:cs="Times New Roman"/>
          <w:b w:val="0"/>
          <w:bCs w:val="0"/>
          <w:sz w:val="32"/>
          <w:szCs w:val="32"/>
        </w:rPr>
      </w:pPr>
      <w:r>
        <w:rPr>
          <w:rFonts w:ascii="Times New Roman" w:hAnsi="Times New Roman" w:eastAsia="方正仿宋_GBK" w:cs="Times New Roman"/>
          <w:b w:val="0"/>
          <w:bCs w:val="0"/>
          <w:sz w:val="32"/>
          <w:szCs w:val="32"/>
        </w:rPr>
        <w:t>现代医院管理制度逐步完善。在县级医院开展了医院章程试点，在县中医院开展了薪酬制度改革试点。对公立医院党委会议、院长办公会议的议事决策事项范围分别进行了细化和明确。印发了《云阳县改革完善医疗卫生行业综合监管制度实施方案》，逐步完善了政府监管、机构自治、行业自律、社会监督的多元化综合监管体系。</w:t>
      </w:r>
    </w:p>
    <w:p w14:paraId="6A6ECE32">
      <w:pPr>
        <w:spacing w:line="578" w:lineRule="exact"/>
        <w:ind w:firstLine="640" w:firstLineChars="200"/>
        <w:rPr>
          <w:rFonts w:ascii="Times New Roman" w:hAnsi="Times New Roman" w:eastAsia="方正仿宋_GBK" w:cs="Times New Roman"/>
          <w:b w:val="0"/>
          <w:bCs w:val="0"/>
          <w:sz w:val="32"/>
          <w:szCs w:val="32"/>
        </w:rPr>
      </w:pPr>
      <w:r>
        <w:rPr>
          <w:rFonts w:ascii="Times New Roman" w:hAnsi="Times New Roman" w:eastAsia="方正仿宋_GBK" w:cs="Times New Roman"/>
          <w:b w:val="0"/>
          <w:bCs w:val="0"/>
          <w:sz w:val="32"/>
          <w:szCs w:val="32"/>
        </w:rPr>
        <w:t>鼓励和引导社会资本办医。全县民营医院数量由2015年末的4家增至2020年末的15家，民营医疗机构编制床位达到1062张，占全县床位的19.74%。2020年，全县民营医院业务收入达到13479.31万元。</w:t>
      </w:r>
    </w:p>
    <w:p w14:paraId="3E8472FC">
      <w:pPr>
        <w:numPr>
          <w:ilvl w:val="0"/>
          <w:numId w:val="1"/>
        </w:numPr>
        <w:spacing w:line="578" w:lineRule="exact"/>
        <w:ind w:firstLine="640" w:firstLineChars="200"/>
        <w:rPr>
          <w:rFonts w:hint="eastAsia" w:ascii="Times New Roman" w:hAnsi="Times New Roman" w:eastAsia="方正仿宋_GBK" w:cs="方正仿宋_GBK"/>
          <w:b w:val="0"/>
          <w:bCs w:val="0"/>
          <w:sz w:val="32"/>
          <w:szCs w:val="32"/>
        </w:rPr>
      </w:pPr>
      <w:r>
        <w:rPr>
          <w:rFonts w:hint="eastAsia" w:ascii="Times New Roman" w:hAnsi="Times New Roman" w:eastAsia="方正仿宋_GBK" w:cs="方正仿宋_GBK"/>
          <w:b w:val="0"/>
          <w:bCs w:val="0"/>
          <w:sz w:val="32"/>
          <w:szCs w:val="32"/>
        </w:rPr>
        <w:t>医疗服务能力明显提升</w:t>
      </w:r>
    </w:p>
    <w:p w14:paraId="79FD6142">
      <w:pPr>
        <w:spacing w:line="578" w:lineRule="exact"/>
        <w:ind w:firstLine="640" w:firstLineChars="200"/>
        <w:rPr>
          <w:rFonts w:ascii="Times New Roman" w:hAnsi="Times New Roman" w:eastAsia="方正仿宋_GBK" w:cs="Times New Roman"/>
          <w:b w:val="0"/>
          <w:bCs w:val="0"/>
          <w:sz w:val="32"/>
          <w:szCs w:val="32"/>
        </w:rPr>
      </w:pPr>
      <w:r>
        <w:rPr>
          <w:rFonts w:ascii="Times New Roman" w:hAnsi="Times New Roman" w:eastAsia="方正仿宋_GBK" w:cs="Times New Roman"/>
          <w:b w:val="0"/>
          <w:bCs w:val="0"/>
          <w:sz w:val="32"/>
          <w:szCs w:val="32"/>
        </w:rPr>
        <w:t>医疗服务体系日益完善，等级医院创建成果丰硕。县中医院成功创建三级甲等中医院，县妇幼保健院成功创建二级甲等妇幼保健院，双江人民医院成功创建二级甲等综合医院。县人民医院创建三级综合医院有序推进，第二人民医院启动二级综合医院创建工作。凤鸣镇中心卫生院等13个基层卫生院成功创建一级甲等医院。截</w:t>
      </w:r>
      <w:r>
        <w:rPr>
          <w:rFonts w:hint="eastAsia" w:ascii="Times New Roman" w:hAnsi="Times New Roman" w:eastAsia="方正仿宋_GBK" w:cs="Times New Roman"/>
          <w:b w:val="0"/>
          <w:bCs w:val="0"/>
          <w:sz w:val="32"/>
          <w:szCs w:val="32"/>
          <w:lang w:val="en-US" w:eastAsia="zh-CN"/>
        </w:rPr>
        <w:t>至</w:t>
      </w:r>
      <w:r>
        <w:rPr>
          <w:rFonts w:ascii="Times New Roman" w:hAnsi="Times New Roman" w:eastAsia="方正仿宋_GBK" w:cs="Times New Roman"/>
          <w:b w:val="0"/>
          <w:bCs w:val="0"/>
          <w:sz w:val="32"/>
          <w:szCs w:val="32"/>
        </w:rPr>
        <w:t>2020年，全县医疗卫生机构编制床位5380张，每千常住人口编制床位数达到5.79张，每千常住人口执业（助理）医师数达到2.38人，每万常住人口全科医师数达到1.97人，每千常住人口注册护士数达到2.31人。晋升正高职称35人，引进博士7名，硕士56名，入选国家级人才计划专家1名。</w:t>
      </w:r>
    </w:p>
    <w:p w14:paraId="7E7B45E5">
      <w:pPr>
        <w:spacing w:line="578" w:lineRule="exact"/>
        <w:ind w:firstLine="640" w:firstLineChars="200"/>
        <w:rPr>
          <w:rFonts w:ascii="Times New Roman" w:hAnsi="Times New Roman" w:eastAsia="方正仿宋_GBK" w:cs="Times New Roman"/>
          <w:b w:val="0"/>
          <w:bCs w:val="0"/>
          <w:sz w:val="32"/>
          <w:szCs w:val="32"/>
        </w:rPr>
      </w:pPr>
      <w:r>
        <w:rPr>
          <w:rFonts w:ascii="Times New Roman" w:hAnsi="Times New Roman" w:eastAsia="方正仿宋_GBK" w:cs="Times New Roman"/>
          <w:b w:val="0"/>
          <w:bCs w:val="0"/>
          <w:sz w:val="32"/>
          <w:szCs w:val="32"/>
        </w:rPr>
        <w:t>学科建设成果显著。成功创建国家级特色专科1个、市级重点专科6个、市级特色专科2个，成功申报在建市级重点专科、区域性重点专科11个。县人民医院成功创建国家级卒中中心，县中医院成功创建国家级基层胸痛中心。在呼吸科、癌症治疗、心血管、慢病管理等领域实现了重大突破，建成了渝东北首个基因检测中心，县人民医院冠状动脉血管内超声指导下的支架成型术填补了渝东北空白。</w:t>
      </w:r>
    </w:p>
    <w:p w14:paraId="76E34CFE">
      <w:pPr>
        <w:spacing w:line="578" w:lineRule="exact"/>
        <w:ind w:firstLine="640" w:firstLineChars="200"/>
        <w:rPr>
          <w:rFonts w:ascii="Times New Roman" w:hAnsi="Times New Roman" w:eastAsia="方正仿宋_GBK" w:cs="Times New Roman"/>
          <w:b w:val="0"/>
          <w:bCs w:val="0"/>
          <w:sz w:val="32"/>
          <w:szCs w:val="32"/>
        </w:rPr>
      </w:pPr>
      <w:r>
        <w:rPr>
          <w:rFonts w:ascii="Times New Roman" w:hAnsi="Times New Roman" w:eastAsia="方正仿宋_GBK" w:cs="Times New Roman"/>
          <w:b w:val="0"/>
          <w:bCs w:val="0"/>
          <w:sz w:val="32"/>
          <w:szCs w:val="32"/>
        </w:rPr>
        <w:t>对外医疗合作成效显著。县人民医院挂牌成立</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重庆大学附属肿瘤医院云阳分院</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，合作推进建设区域性肿瘤防治中心，与华西医科大学附属医院建立学科帮扶机制，与山东济宁医学院、四川川北医学院建立了合作关系，引进专家成立了</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王维工作室</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县中医院与成都中医药大学建立合作关系，与山东文登正骨医院建立了人员互派交流机制。县妇女儿童医院与重庆医科大学附属儿童医院建立了技术指导合作关系，引进院士成果，建成了标准慢病管理中心。借助鲁渝扶贫协作契机，全县医疗机构五年间共外派学习473人，外派山东进修42人，引进山东医疗专家对口支援51人。</w:t>
      </w:r>
    </w:p>
    <w:p w14:paraId="32E8F0DF">
      <w:pPr>
        <w:spacing w:line="578" w:lineRule="exact"/>
        <w:ind w:firstLine="640" w:firstLineChars="200"/>
        <w:rPr>
          <w:rFonts w:ascii="Times New Roman" w:hAnsi="Times New Roman" w:eastAsia="方正仿宋_GBK" w:cs="Times New Roman"/>
          <w:b w:val="0"/>
          <w:bCs w:val="0"/>
          <w:sz w:val="32"/>
          <w:szCs w:val="32"/>
        </w:rPr>
      </w:pPr>
      <w:r>
        <w:rPr>
          <w:rFonts w:ascii="Times New Roman" w:hAnsi="Times New Roman" w:eastAsia="方正仿宋_GBK" w:cs="Times New Roman"/>
          <w:b w:val="0"/>
          <w:bCs w:val="0"/>
          <w:sz w:val="32"/>
          <w:szCs w:val="32"/>
        </w:rPr>
        <w:t>医院质量管理进一步加强，服务能力明显提升。全县医疗质控体系基本形成，先后成立了麻醉等11个医疗质量控制中心。每年组织开展3个月的</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三基三严</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大比武，提升了医护人员岗位技能，医疗机构</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内功</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得到了加强。全县诊疗人次大幅增长，2020年出院病人总数22.38万人次，较2015年增长40.58%，2020年总门急诊人次475.46万人次，较2015年增长88.32%。</w:t>
      </w:r>
    </w:p>
    <w:p w14:paraId="3FC3E2D4">
      <w:pPr>
        <w:numPr>
          <w:ilvl w:val="0"/>
          <w:numId w:val="1"/>
        </w:numPr>
        <w:spacing w:line="578" w:lineRule="exact"/>
        <w:ind w:firstLine="640" w:firstLineChars="200"/>
        <w:rPr>
          <w:rFonts w:hint="eastAsia" w:ascii="Times New Roman" w:hAnsi="Times New Roman" w:eastAsia="方正仿宋_GBK" w:cs="方正仿宋_GBK"/>
          <w:b w:val="0"/>
          <w:bCs w:val="0"/>
          <w:sz w:val="32"/>
          <w:szCs w:val="32"/>
        </w:rPr>
      </w:pPr>
      <w:r>
        <w:rPr>
          <w:rFonts w:hint="eastAsia" w:ascii="Times New Roman" w:hAnsi="Times New Roman" w:eastAsia="方正仿宋_GBK" w:cs="方正仿宋_GBK"/>
          <w:b w:val="0"/>
          <w:bCs w:val="0"/>
          <w:sz w:val="32"/>
          <w:szCs w:val="32"/>
        </w:rPr>
        <w:t>公共卫生服务水平持续提高</w:t>
      </w:r>
    </w:p>
    <w:p w14:paraId="087C7ADF">
      <w:pPr>
        <w:spacing w:line="578" w:lineRule="exact"/>
        <w:ind w:firstLine="640" w:firstLineChars="200"/>
        <w:rPr>
          <w:rFonts w:ascii="Times New Roman" w:hAnsi="Times New Roman" w:eastAsia="方正仿宋_GBK" w:cs="Times New Roman"/>
          <w:b w:val="0"/>
          <w:bCs w:val="0"/>
          <w:sz w:val="32"/>
          <w:szCs w:val="32"/>
        </w:rPr>
      </w:pPr>
      <w:r>
        <w:rPr>
          <w:rFonts w:ascii="Times New Roman" w:hAnsi="Times New Roman" w:eastAsia="方正仿宋_GBK" w:cs="Times New Roman"/>
          <w:b w:val="0"/>
          <w:bCs w:val="0"/>
          <w:sz w:val="32"/>
          <w:szCs w:val="32"/>
        </w:rPr>
        <w:t>2020年云阳县基本公共卫生服务项目排名全市第17名，较2015年提升16个名次。基本公共卫生服务人均经费补助标准提高到74元。家庭医生签约服务累计签约服务33万人，电子健康档案建档率达到85.5%。妇幼健康服务能力得到进一步强化，孕前优生健康检查目标人群覆盖率达104.31%。疾病防治水平不断增强，建立了多部门配合的传染病联防联控机制，构建了覆盖全县所有医疗机构的法定传染病及突发公共卫生事件网络直报系统，近五年甲乙类传染病报告发病率波动在179/10万</w:t>
      </w:r>
      <w:r>
        <w:rPr>
          <w:rFonts w:hint="eastAsia" w:ascii="Times New Roman" w:hAnsi="Times New Roman" w:eastAsia="方正仿宋_GBK" w:cs="Times New Roman"/>
          <w:b w:val="0"/>
          <w:bCs w:val="0"/>
          <w:sz w:val="32"/>
          <w:szCs w:val="32"/>
          <w:lang w:eastAsia="zh-CN"/>
        </w:rPr>
        <w:t>—</w:t>
      </w:r>
      <w:r>
        <w:rPr>
          <w:rFonts w:ascii="Times New Roman" w:hAnsi="Times New Roman" w:eastAsia="方正仿宋_GBK" w:cs="Times New Roman"/>
          <w:b w:val="0"/>
          <w:bCs w:val="0"/>
          <w:sz w:val="32"/>
          <w:szCs w:val="32"/>
        </w:rPr>
        <w:t>270/10万之间，肺结核报告发病率控制在60/10万以内，诊断发现并接收规范随访服务的艾滋病感染者和病人比例达到97%，对流感、手足口病等重点传染病实现有效控制。全县所有乡镇均建立了疫苗追溯系统，建成数字化预防接种门诊26个，规范化狂犬病预防处置门诊1个。卫生健康综合监管体系不断完善，卫生应急处置能力明显提高。积极推动爱国卫生运动，继续巩固全国卫生县城创建成果，农村卫生厕所普及率达75%以上。</w:t>
      </w:r>
    </w:p>
    <w:p w14:paraId="1259EFA6">
      <w:pPr>
        <w:spacing w:line="578" w:lineRule="exact"/>
        <w:ind w:firstLine="640" w:firstLineChars="200"/>
        <w:rPr>
          <w:rFonts w:ascii="Times New Roman" w:hAnsi="Times New Roman" w:eastAsia="方正仿宋_GBK" w:cs="Times New Roman"/>
          <w:b w:val="0"/>
          <w:bCs w:val="0"/>
          <w:sz w:val="32"/>
          <w:szCs w:val="32"/>
        </w:rPr>
      </w:pPr>
      <w:r>
        <w:rPr>
          <w:rFonts w:ascii="Times New Roman" w:hAnsi="Times New Roman" w:eastAsia="方正仿宋_GBK" w:cs="Times New Roman"/>
          <w:b w:val="0"/>
          <w:bCs w:val="0"/>
          <w:sz w:val="32"/>
          <w:szCs w:val="32"/>
        </w:rPr>
        <w:t>新冠疫情防控扎实有效。新冠疫情发生后，第一时间开展全员培训、构建组织领导体系、制定多部门联动防控方案，在全市率先设置交通检疫站并实施</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疫点</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封锁，全县无社区病例，无三代病例，无死亡病例，无医务人员感染，仅用33天就实现了确诊、疑似病例双清零。全县共有9人荣获市委市政府表彰，县卫健委、县疾控中心、县人民医院被市委市政府授予疫情防控先进集体称号。</w:t>
      </w:r>
    </w:p>
    <w:p w14:paraId="0D91D1C5">
      <w:pPr>
        <w:numPr>
          <w:ilvl w:val="0"/>
          <w:numId w:val="1"/>
        </w:numPr>
        <w:spacing w:line="578" w:lineRule="exact"/>
        <w:ind w:firstLine="640" w:firstLineChars="200"/>
        <w:rPr>
          <w:rFonts w:hint="eastAsia" w:ascii="Times New Roman" w:hAnsi="Times New Roman" w:eastAsia="方正仿宋_GBK" w:cs="方正仿宋_GBK"/>
          <w:b w:val="0"/>
          <w:bCs w:val="0"/>
          <w:sz w:val="32"/>
          <w:szCs w:val="32"/>
        </w:rPr>
      </w:pPr>
      <w:r>
        <w:rPr>
          <w:rFonts w:hint="eastAsia" w:ascii="Times New Roman" w:hAnsi="Times New Roman" w:eastAsia="方正仿宋_GBK" w:cs="方正仿宋_GBK"/>
          <w:b w:val="0"/>
          <w:bCs w:val="0"/>
          <w:sz w:val="32"/>
          <w:szCs w:val="32"/>
        </w:rPr>
        <w:t>健康扶贫工作成效显著</w:t>
      </w:r>
    </w:p>
    <w:p w14:paraId="5E350C33">
      <w:pPr>
        <w:widowControl w:val="0"/>
        <w:spacing w:line="578" w:lineRule="exact"/>
        <w:ind w:firstLine="640" w:firstLineChars="200"/>
        <w:jc w:val="left"/>
        <w:rPr>
          <w:rFonts w:ascii="Times New Roman" w:hAnsi="Times New Roman" w:eastAsia="方正仿宋_GBK" w:cs="Times New Roman"/>
          <w:b w:val="0"/>
          <w:bCs w:val="0"/>
          <w:kern w:val="2"/>
          <w:sz w:val="32"/>
          <w:szCs w:val="32"/>
          <w:lang w:val="en-US" w:eastAsia="zh-CN" w:bidi="ar-SA"/>
        </w:rPr>
      </w:pPr>
      <w:r>
        <w:rPr>
          <w:rFonts w:ascii="Times New Roman" w:hAnsi="Times New Roman" w:eastAsia="方正仿宋_GBK" w:cs="Times New Roman"/>
          <w:b w:val="0"/>
          <w:bCs w:val="0"/>
          <w:kern w:val="2"/>
          <w:sz w:val="32"/>
          <w:szCs w:val="32"/>
          <w:lang w:val="en-US" w:eastAsia="zh-CN" w:bidi="ar-SA"/>
        </w:rPr>
        <w:t>紧紧围绕</w:t>
      </w:r>
      <w:r>
        <w:rPr>
          <w:rFonts w:hint="eastAsia" w:ascii="Times New Roman" w:hAnsi="Times New Roman" w:eastAsia="方正仿宋_GBK" w:cs="Times New Roman"/>
          <w:b w:val="0"/>
          <w:bCs w:val="0"/>
          <w:kern w:val="2"/>
          <w:sz w:val="32"/>
          <w:szCs w:val="32"/>
          <w:lang w:val="en-US" w:eastAsia="zh-CN" w:bidi="ar-SA"/>
        </w:rPr>
        <w:t>“</w:t>
      </w:r>
      <w:r>
        <w:rPr>
          <w:rFonts w:ascii="Times New Roman" w:hAnsi="Times New Roman" w:eastAsia="方正仿宋_GBK" w:cs="Times New Roman"/>
          <w:b w:val="0"/>
          <w:bCs w:val="0"/>
          <w:kern w:val="2"/>
          <w:sz w:val="32"/>
          <w:szCs w:val="32"/>
          <w:lang w:val="en-US" w:eastAsia="zh-CN" w:bidi="ar-SA"/>
        </w:rPr>
        <w:t>基本医疗有保障</w:t>
      </w:r>
      <w:r>
        <w:rPr>
          <w:rFonts w:hint="eastAsia" w:ascii="Times New Roman" w:hAnsi="Times New Roman" w:eastAsia="方正仿宋_GBK" w:cs="Times New Roman"/>
          <w:b w:val="0"/>
          <w:bCs w:val="0"/>
          <w:kern w:val="2"/>
          <w:sz w:val="32"/>
          <w:szCs w:val="32"/>
          <w:lang w:val="en-US" w:eastAsia="zh-CN" w:bidi="ar-SA"/>
        </w:rPr>
        <w:t>”</w:t>
      </w:r>
      <w:r>
        <w:rPr>
          <w:rFonts w:ascii="Times New Roman" w:hAnsi="Times New Roman" w:eastAsia="方正仿宋_GBK" w:cs="Times New Roman"/>
          <w:b w:val="0"/>
          <w:bCs w:val="0"/>
          <w:kern w:val="2"/>
          <w:sz w:val="32"/>
          <w:szCs w:val="32"/>
          <w:lang w:val="en-US" w:eastAsia="zh-CN" w:bidi="ar-SA"/>
        </w:rPr>
        <w:t>目标，聚焦贫困人口</w:t>
      </w:r>
      <w:r>
        <w:rPr>
          <w:rFonts w:hint="eastAsia" w:ascii="Times New Roman" w:hAnsi="Times New Roman" w:eastAsia="方正仿宋_GBK" w:cs="Times New Roman"/>
          <w:b w:val="0"/>
          <w:bCs w:val="0"/>
          <w:kern w:val="2"/>
          <w:sz w:val="32"/>
          <w:szCs w:val="32"/>
          <w:lang w:val="en-US" w:eastAsia="zh-CN" w:bidi="ar-SA"/>
        </w:rPr>
        <w:t>“</w:t>
      </w:r>
      <w:r>
        <w:rPr>
          <w:rFonts w:ascii="Times New Roman" w:hAnsi="Times New Roman" w:eastAsia="方正仿宋_GBK" w:cs="Times New Roman"/>
          <w:b w:val="0"/>
          <w:bCs w:val="0"/>
          <w:kern w:val="2"/>
          <w:sz w:val="32"/>
          <w:szCs w:val="32"/>
          <w:lang w:val="en-US" w:eastAsia="zh-CN" w:bidi="ar-SA"/>
        </w:rPr>
        <w:t>有地方看病、看得好病、看得起病</w:t>
      </w:r>
      <w:r>
        <w:rPr>
          <w:rFonts w:hint="eastAsia" w:ascii="Times New Roman" w:hAnsi="Times New Roman" w:eastAsia="方正仿宋_GBK" w:cs="Times New Roman"/>
          <w:b w:val="0"/>
          <w:bCs w:val="0"/>
          <w:kern w:val="2"/>
          <w:sz w:val="32"/>
          <w:szCs w:val="32"/>
          <w:lang w:val="en-US" w:eastAsia="zh-CN" w:bidi="ar-SA"/>
        </w:rPr>
        <w:t>”</w:t>
      </w:r>
      <w:r>
        <w:rPr>
          <w:rFonts w:ascii="Times New Roman" w:hAnsi="Times New Roman" w:eastAsia="方正仿宋_GBK" w:cs="Times New Roman"/>
          <w:b w:val="0"/>
          <w:bCs w:val="0"/>
          <w:kern w:val="2"/>
          <w:sz w:val="32"/>
          <w:szCs w:val="32"/>
          <w:lang w:val="en-US" w:eastAsia="zh-CN" w:bidi="ar-SA"/>
        </w:rPr>
        <w:t>，全力推进医疗机构</w:t>
      </w:r>
      <w:r>
        <w:rPr>
          <w:rFonts w:hint="eastAsia" w:ascii="Times New Roman" w:hAnsi="Times New Roman" w:eastAsia="方正仿宋_GBK" w:cs="Times New Roman"/>
          <w:b w:val="0"/>
          <w:bCs w:val="0"/>
          <w:kern w:val="2"/>
          <w:sz w:val="32"/>
          <w:szCs w:val="32"/>
          <w:lang w:val="en-US" w:eastAsia="zh-CN" w:bidi="ar-SA"/>
        </w:rPr>
        <w:t>“</w:t>
      </w:r>
      <w:r>
        <w:rPr>
          <w:rFonts w:ascii="Times New Roman" w:hAnsi="Times New Roman" w:eastAsia="方正仿宋_GBK" w:cs="Times New Roman"/>
          <w:b w:val="0"/>
          <w:bCs w:val="0"/>
          <w:kern w:val="2"/>
          <w:sz w:val="32"/>
          <w:szCs w:val="32"/>
          <w:lang w:val="en-US" w:eastAsia="zh-CN" w:bidi="ar-SA"/>
        </w:rPr>
        <w:t>三建好</w:t>
      </w:r>
      <w:r>
        <w:rPr>
          <w:rFonts w:hint="eastAsia" w:ascii="Times New Roman" w:hAnsi="Times New Roman" w:eastAsia="方正仿宋_GBK" w:cs="Times New Roman"/>
          <w:b w:val="0"/>
          <w:bCs w:val="0"/>
          <w:kern w:val="2"/>
          <w:sz w:val="32"/>
          <w:szCs w:val="32"/>
          <w:lang w:val="en-US" w:eastAsia="zh-CN" w:bidi="ar-SA"/>
        </w:rPr>
        <w:t>”</w:t>
      </w:r>
      <w:r>
        <w:rPr>
          <w:rFonts w:ascii="Times New Roman" w:hAnsi="Times New Roman" w:eastAsia="方正仿宋_GBK" w:cs="Times New Roman"/>
          <w:b w:val="0"/>
          <w:bCs w:val="0"/>
          <w:kern w:val="2"/>
          <w:sz w:val="32"/>
          <w:szCs w:val="32"/>
          <w:lang w:val="en-US" w:eastAsia="zh-CN" w:bidi="ar-SA"/>
        </w:rPr>
        <w:t>、医护人员</w:t>
      </w:r>
      <w:r>
        <w:rPr>
          <w:rFonts w:hint="eastAsia" w:ascii="Times New Roman" w:hAnsi="Times New Roman" w:eastAsia="方正仿宋_GBK" w:cs="Times New Roman"/>
          <w:b w:val="0"/>
          <w:bCs w:val="0"/>
          <w:kern w:val="2"/>
          <w:sz w:val="32"/>
          <w:szCs w:val="32"/>
          <w:lang w:val="en-US" w:eastAsia="zh-CN" w:bidi="ar-SA"/>
        </w:rPr>
        <w:t>“</w:t>
      </w:r>
      <w:r>
        <w:rPr>
          <w:rFonts w:ascii="Times New Roman" w:hAnsi="Times New Roman" w:eastAsia="方正仿宋_GBK" w:cs="Times New Roman"/>
          <w:b w:val="0"/>
          <w:bCs w:val="0"/>
          <w:kern w:val="2"/>
          <w:sz w:val="32"/>
          <w:szCs w:val="32"/>
          <w:lang w:val="en-US" w:eastAsia="zh-CN" w:bidi="ar-SA"/>
        </w:rPr>
        <w:t>三合格</w:t>
      </w:r>
      <w:r>
        <w:rPr>
          <w:rFonts w:hint="eastAsia" w:ascii="Times New Roman" w:hAnsi="Times New Roman" w:eastAsia="方正仿宋_GBK" w:cs="Times New Roman"/>
          <w:b w:val="0"/>
          <w:bCs w:val="0"/>
          <w:kern w:val="2"/>
          <w:sz w:val="32"/>
          <w:szCs w:val="32"/>
          <w:lang w:val="en-US" w:eastAsia="zh-CN" w:bidi="ar-SA"/>
        </w:rPr>
        <w:t>”</w:t>
      </w:r>
      <w:r>
        <w:rPr>
          <w:rFonts w:ascii="Times New Roman" w:hAnsi="Times New Roman" w:eastAsia="方正仿宋_GBK" w:cs="Times New Roman"/>
          <w:b w:val="0"/>
          <w:bCs w:val="0"/>
          <w:kern w:val="2"/>
          <w:sz w:val="32"/>
          <w:szCs w:val="32"/>
          <w:lang w:val="en-US" w:eastAsia="zh-CN" w:bidi="ar-SA"/>
        </w:rPr>
        <w:t>、服务能力</w:t>
      </w:r>
      <w:r>
        <w:rPr>
          <w:rFonts w:hint="eastAsia" w:ascii="Times New Roman" w:hAnsi="Times New Roman" w:eastAsia="方正仿宋_GBK" w:cs="Times New Roman"/>
          <w:b w:val="0"/>
          <w:bCs w:val="0"/>
          <w:kern w:val="2"/>
          <w:sz w:val="32"/>
          <w:szCs w:val="32"/>
          <w:lang w:val="en-US" w:eastAsia="zh-CN" w:bidi="ar-SA"/>
        </w:rPr>
        <w:t>“</w:t>
      </w:r>
      <w:r>
        <w:rPr>
          <w:rFonts w:ascii="Times New Roman" w:hAnsi="Times New Roman" w:eastAsia="方正仿宋_GBK" w:cs="Times New Roman"/>
          <w:b w:val="0"/>
          <w:bCs w:val="0"/>
          <w:kern w:val="2"/>
          <w:sz w:val="32"/>
          <w:szCs w:val="32"/>
          <w:lang w:val="en-US" w:eastAsia="zh-CN" w:bidi="ar-SA"/>
        </w:rPr>
        <w:t>三达标</w:t>
      </w:r>
      <w:r>
        <w:rPr>
          <w:rFonts w:hint="eastAsia" w:ascii="Times New Roman" w:hAnsi="Times New Roman" w:eastAsia="方正仿宋_GBK" w:cs="Times New Roman"/>
          <w:b w:val="0"/>
          <w:bCs w:val="0"/>
          <w:kern w:val="2"/>
          <w:sz w:val="32"/>
          <w:szCs w:val="32"/>
          <w:lang w:val="en-US" w:eastAsia="zh-CN" w:bidi="ar-SA"/>
        </w:rPr>
        <w:t>”</w:t>
      </w:r>
      <w:r>
        <w:rPr>
          <w:rFonts w:ascii="Times New Roman" w:hAnsi="Times New Roman" w:eastAsia="方正仿宋_GBK" w:cs="Times New Roman"/>
          <w:b w:val="0"/>
          <w:bCs w:val="0"/>
          <w:kern w:val="2"/>
          <w:sz w:val="32"/>
          <w:szCs w:val="32"/>
          <w:lang w:val="en-US" w:eastAsia="zh-CN" w:bidi="ar-SA"/>
        </w:rPr>
        <w:t>。基本医疗保障全面覆盖，大病患者全面救治，家庭医生签约服务全面落实，疾病预防关口全面前移。云阳县4.3万因病致（返）贫建档立卡贫困人口全部脱贫，并顺利通过了国家脱贫攻坚成效普查，建卡贫困患者县内住院个人自付费用下降到9.44%，大病集中救治一批、慢病签约服务一批、重病兜底保障一批等</w:t>
      </w:r>
      <w:r>
        <w:rPr>
          <w:rFonts w:hint="eastAsia" w:ascii="Times New Roman" w:hAnsi="Times New Roman" w:eastAsia="方正仿宋_GBK" w:cs="Times New Roman"/>
          <w:b w:val="0"/>
          <w:bCs w:val="0"/>
          <w:kern w:val="2"/>
          <w:sz w:val="32"/>
          <w:szCs w:val="32"/>
          <w:lang w:val="en-US" w:eastAsia="zh-CN" w:bidi="ar-SA"/>
        </w:rPr>
        <w:t>“</w:t>
      </w:r>
      <w:r>
        <w:rPr>
          <w:rFonts w:ascii="Times New Roman" w:hAnsi="Times New Roman" w:eastAsia="方正仿宋_GBK" w:cs="Times New Roman"/>
          <w:b w:val="0"/>
          <w:bCs w:val="0"/>
          <w:kern w:val="2"/>
          <w:sz w:val="32"/>
          <w:szCs w:val="32"/>
          <w:lang w:val="en-US" w:eastAsia="zh-CN" w:bidi="ar-SA"/>
        </w:rPr>
        <w:t>三个一批</w:t>
      </w:r>
      <w:r>
        <w:rPr>
          <w:rFonts w:hint="eastAsia" w:ascii="Times New Roman" w:hAnsi="Times New Roman" w:eastAsia="方正仿宋_GBK" w:cs="Times New Roman"/>
          <w:b w:val="0"/>
          <w:bCs w:val="0"/>
          <w:kern w:val="2"/>
          <w:sz w:val="32"/>
          <w:szCs w:val="32"/>
          <w:lang w:val="en-US" w:eastAsia="zh-CN" w:bidi="ar-SA"/>
        </w:rPr>
        <w:t>”</w:t>
      </w:r>
      <w:r>
        <w:rPr>
          <w:rFonts w:ascii="Times New Roman" w:hAnsi="Times New Roman" w:eastAsia="方正仿宋_GBK" w:cs="Times New Roman"/>
          <w:b w:val="0"/>
          <w:bCs w:val="0"/>
          <w:kern w:val="2"/>
          <w:sz w:val="32"/>
          <w:szCs w:val="32"/>
          <w:lang w:val="en-US" w:eastAsia="zh-CN" w:bidi="ar-SA"/>
        </w:rPr>
        <w:t>全面实施，贫困患者县内就诊率达到97.77%，</w:t>
      </w:r>
      <w:r>
        <w:rPr>
          <w:rFonts w:hint="eastAsia" w:ascii="Times New Roman" w:hAnsi="Times New Roman" w:eastAsia="方正仿宋_GBK" w:cs="Times New Roman"/>
          <w:b w:val="0"/>
          <w:bCs w:val="0"/>
          <w:kern w:val="2"/>
          <w:sz w:val="32"/>
          <w:szCs w:val="32"/>
          <w:lang w:val="en-US" w:eastAsia="zh-CN" w:bidi="ar-SA"/>
        </w:rPr>
        <w:t>“</w:t>
      </w:r>
      <w:r>
        <w:rPr>
          <w:rFonts w:ascii="Times New Roman" w:hAnsi="Times New Roman" w:eastAsia="方正仿宋_GBK" w:cs="Times New Roman"/>
          <w:b w:val="0"/>
          <w:bCs w:val="0"/>
          <w:kern w:val="2"/>
          <w:sz w:val="32"/>
          <w:szCs w:val="32"/>
          <w:lang w:val="en-US" w:eastAsia="zh-CN" w:bidi="ar-SA"/>
        </w:rPr>
        <w:t>先诊疗后付费</w:t>
      </w:r>
      <w:r>
        <w:rPr>
          <w:rFonts w:hint="eastAsia" w:ascii="Times New Roman" w:hAnsi="Times New Roman" w:eastAsia="方正仿宋_GBK" w:cs="Times New Roman"/>
          <w:b w:val="0"/>
          <w:bCs w:val="0"/>
          <w:kern w:val="2"/>
          <w:sz w:val="32"/>
          <w:szCs w:val="32"/>
          <w:lang w:val="en-US" w:eastAsia="zh-CN" w:bidi="ar-SA"/>
        </w:rPr>
        <w:t>”</w:t>
      </w:r>
      <w:r>
        <w:rPr>
          <w:rFonts w:ascii="Times New Roman" w:hAnsi="Times New Roman" w:eastAsia="方正仿宋_GBK" w:cs="Times New Roman"/>
          <w:b w:val="0"/>
          <w:bCs w:val="0"/>
          <w:kern w:val="2"/>
          <w:sz w:val="32"/>
          <w:szCs w:val="32"/>
          <w:lang w:val="en-US" w:eastAsia="zh-CN" w:bidi="ar-SA"/>
        </w:rPr>
        <w:t>、</w:t>
      </w:r>
      <w:r>
        <w:rPr>
          <w:rFonts w:hint="eastAsia" w:ascii="Times New Roman" w:hAnsi="Times New Roman" w:eastAsia="方正仿宋_GBK" w:cs="Times New Roman"/>
          <w:b w:val="0"/>
          <w:bCs w:val="0"/>
          <w:kern w:val="2"/>
          <w:sz w:val="32"/>
          <w:szCs w:val="32"/>
          <w:lang w:val="en-US" w:eastAsia="zh-CN" w:bidi="ar-SA"/>
        </w:rPr>
        <w:t>“</w:t>
      </w:r>
      <w:r>
        <w:rPr>
          <w:rFonts w:ascii="Times New Roman" w:hAnsi="Times New Roman" w:eastAsia="方正仿宋_GBK" w:cs="Times New Roman"/>
          <w:b w:val="0"/>
          <w:bCs w:val="0"/>
          <w:kern w:val="2"/>
          <w:sz w:val="32"/>
          <w:szCs w:val="32"/>
          <w:lang w:val="en-US" w:eastAsia="zh-CN" w:bidi="ar-SA"/>
        </w:rPr>
        <w:t>一站式结算</w:t>
      </w:r>
      <w:r>
        <w:rPr>
          <w:rFonts w:hint="eastAsia" w:ascii="Times New Roman" w:hAnsi="Times New Roman" w:eastAsia="方正仿宋_GBK" w:cs="Times New Roman"/>
          <w:b w:val="0"/>
          <w:bCs w:val="0"/>
          <w:kern w:val="2"/>
          <w:sz w:val="32"/>
          <w:szCs w:val="32"/>
          <w:lang w:val="en-US" w:eastAsia="zh-CN" w:bidi="ar-SA"/>
        </w:rPr>
        <w:t>”</w:t>
      </w:r>
      <w:r>
        <w:rPr>
          <w:rFonts w:ascii="Times New Roman" w:hAnsi="Times New Roman" w:eastAsia="方正仿宋_GBK" w:cs="Times New Roman"/>
          <w:b w:val="0"/>
          <w:bCs w:val="0"/>
          <w:kern w:val="2"/>
          <w:sz w:val="32"/>
          <w:szCs w:val="32"/>
          <w:lang w:val="en-US" w:eastAsia="zh-CN" w:bidi="ar-SA"/>
        </w:rPr>
        <w:t>政策得到了全面落实。贫困患者县外就医累计代办结算2320人次，报销医疗费用1120万元。在</w:t>
      </w:r>
      <w:r>
        <w:rPr>
          <w:rFonts w:hint="eastAsia" w:ascii="Times New Roman" w:hAnsi="Times New Roman" w:eastAsia="方正仿宋_GBK" w:cs="Times New Roman"/>
          <w:b w:val="0"/>
          <w:bCs w:val="0"/>
          <w:kern w:val="2"/>
          <w:sz w:val="32"/>
          <w:szCs w:val="32"/>
          <w:lang w:val="en-US" w:eastAsia="zh-CN" w:bidi="ar-SA"/>
        </w:rPr>
        <w:t>“</w:t>
      </w:r>
      <w:r>
        <w:rPr>
          <w:rFonts w:ascii="Times New Roman" w:hAnsi="Times New Roman" w:eastAsia="方正仿宋_GBK" w:cs="Times New Roman"/>
          <w:b w:val="0"/>
          <w:bCs w:val="0"/>
          <w:kern w:val="2"/>
          <w:sz w:val="32"/>
          <w:szCs w:val="32"/>
          <w:lang w:val="en-US" w:eastAsia="zh-CN" w:bidi="ar-SA"/>
        </w:rPr>
        <w:t>国家健康扶贫工程先进县建设</w:t>
      </w:r>
      <w:r>
        <w:rPr>
          <w:rFonts w:hint="eastAsia" w:ascii="Times New Roman" w:hAnsi="Times New Roman" w:eastAsia="方正仿宋_GBK" w:cs="Times New Roman"/>
          <w:b w:val="0"/>
          <w:bCs w:val="0"/>
          <w:kern w:val="2"/>
          <w:sz w:val="32"/>
          <w:szCs w:val="32"/>
          <w:lang w:val="en-US" w:eastAsia="zh-CN" w:bidi="ar-SA"/>
        </w:rPr>
        <w:t>”</w:t>
      </w:r>
      <w:r>
        <w:rPr>
          <w:rFonts w:ascii="Times New Roman" w:hAnsi="Times New Roman" w:eastAsia="方正仿宋_GBK" w:cs="Times New Roman"/>
          <w:b w:val="0"/>
          <w:bCs w:val="0"/>
          <w:kern w:val="2"/>
          <w:sz w:val="32"/>
          <w:szCs w:val="32"/>
          <w:lang w:val="en-US" w:eastAsia="zh-CN" w:bidi="ar-SA"/>
        </w:rPr>
        <w:t>中受到国家卫生健康委和国务院扶贫办的通报表扬。创新</w:t>
      </w:r>
      <w:r>
        <w:rPr>
          <w:rFonts w:hint="eastAsia" w:ascii="Times New Roman" w:hAnsi="Times New Roman" w:eastAsia="方正仿宋_GBK" w:cs="Times New Roman"/>
          <w:b w:val="0"/>
          <w:bCs w:val="0"/>
          <w:kern w:val="2"/>
          <w:sz w:val="32"/>
          <w:szCs w:val="32"/>
          <w:lang w:val="en-US" w:eastAsia="zh-CN" w:bidi="ar-SA"/>
        </w:rPr>
        <w:t>“</w:t>
      </w:r>
      <w:r>
        <w:rPr>
          <w:rFonts w:ascii="Times New Roman" w:hAnsi="Times New Roman" w:eastAsia="方正仿宋_GBK" w:cs="Times New Roman"/>
          <w:b w:val="0"/>
          <w:bCs w:val="0"/>
          <w:kern w:val="2"/>
          <w:sz w:val="32"/>
          <w:szCs w:val="32"/>
          <w:lang w:val="en-US" w:eastAsia="zh-CN" w:bidi="ar-SA"/>
        </w:rPr>
        <w:t>推进建卡贫困患者大病临时医疗救助</w:t>
      </w:r>
      <w:r>
        <w:rPr>
          <w:rFonts w:hint="eastAsia" w:ascii="Times New Roman" w:hAnsi="Times New Roman" w:eastAsia="方正仿宋_GBK" w:cs="Times New Roman"/>
          <w:b w:val="0"/>
          <w:bCs w:val="0"/>
          <w:kern w:val="2"/>
          <w:sz w:val="32"/>
          <w:szCs w:val="32"/>
          <w:lang w:val="en-US" w:eastAsia="zh-CN" w:bidi="ar-SA"/>
        </w:rPr>
        <w:t>”</w:t>
      </w:r>
      <w:r>
        <w:rPr>
          <w:rFonts w:ascii="Times New Roman" w:hAnsi="Times New Roman" w:eastAsia="方正仿宋_GBK" w:cs="Times New Roman"/>
          <w:b w:val="0"/>
          <w:bCs w:val="0"/>
          <w:kern w:val="2"/>
          <w:sz w:val="32"/>
          <w:szCs w:val="32"/>
          <w:lang w:val="en-US" w:eastAsia="zh-CN" w:bidi="ar-SA"/>
        </w:rPr>
        <w:t>经验成功入选原国家卫生计生委汇编的省市健康扶贫工作进展情况和典型案例集。</w:t>
      </w:r>
    </w:p>
    <w:p w14:paraId="24395ED0">
      <w:pPr>
        <w:numPr>
          <w:ilvl w:val="0"/>
          <w:numId w:val="1"/>
        </w:numPr>
        <w:spacing w:line="578" w:lineRule="exact"/>
        <w:ind w:firstLine="640" w:firstLineChars="200"/>
        <w:rPr>
          <w:rFonts w:hint="eastAsia" w:ascii="Times New Roman" w:hAnsi="Times New Roman" w:eastAsia="方正仿宋_GBK" w:cs="方正仿宋_GBK"/>
          <w:b w:val="0"/>
          <w:bCs w:val="0"/>
          <w:sz w:val="32"/>
          <w:szCs w:val="32"/>
        </w:rPr>
      </w:pPr>
      <w:r>
        <w:rPr>
          <w:rFonts w:hint="eastAsia" w:ascii="Times New Roman" w:hAnsi="Times New Roman" w:eastAsia="方正仿宋_GBK" w:cs="方正仿宋_GBK"/>
          <w:b w:val="0"/>
          <w:bCs w:val="0"/>
          <w:sz w:val="32"/>
          <w:szCs w:val="32"/>
        </w:rPr>
        <w:t>老龄健康工作取得重大进展</w:t>
      </w:r>
    </w:p>
    <w:p w14:paraId="126B9C78">
      <w:pPr>
        <w:spacing w:line="578" w:lineRule="exact"/>
        <w:ind w:firstLine="640" w:firstLineChars="200"/>
        <w:rPr>
          <w:rFonts w:ascii="Times New Roman" w:hAnsi="Times New Roman" w:eastAsia="方正仿宋_GBK" w:cs="Times New Roman"/>
          <w:b w:val="0"/>
          <w:bCs w:val="0"/>
          <w:sz w:val="32"/>
          <w:szCs w:val="32"/>
        </w:rPr>
      </w:pPr>
      <w:r>
        <w:rPr>
          <w:rFonts w:ascii="Times New Roman" w:hAnsi="Times New Roman" w:eastAsia="方正仿宋_GBK" w:cs="Times New Roman"/>
          <w:b w:val="0"/>
          <w:bCs w:val="0"/>
          <w:sz w:val="32"/>
          <w:szCs w:val="32"/>
        </w:rPr>
        <w:t>2020年底，全县设置医养结合机构4家，政府办养老机构护理型床位占比达到32.8%，设老年病科的二级以上综合医院比例达到100%，医疗机构与养老机构签约服务率达95%，老年人医养结合服务率达44.98%，失能老年人健康服务率达86.94%，城乡居民养老保险参保率巩固在95%以上，建立城乡社区基层老年协会162个。</w:t>
      </w:r>
    </w:p>
    <w:p w14:paraId="0E66C00B">
      <w:pPr>
        <w:numPr>
          <w:ilvl w:val="0"/>
          <w:numId w:val="1"/>
        </w:numPr>
        <w:spacing w:line="578" w:lineRule="exact"/>
        <w:ind w:firstLine="640" w:firstLineChars="200"/>
        <w:rPr>
          <w:rFonts w:hint="eastAsia" w:ascii="Times New Roman" w:hAnsi="Times New Roman" w:eastAsia="方正仿宋_GBK" w:cs="方正仿宋_GBK"/>
          <w:b w:val="0"/>
          <w:bCs w:val="0"/>
          <w:sz w:val="32"/>
          <w:szCs w:val="32"/>
        </w:rPr>
      </w:pPr>
      <w:r>
        <w:rPr>
          <w:rFonts w:hint="eastAsia" w:ascii="Times New Roman" w:hAnsi="Times New Roman" w:eastAsia="方正仿宋_GBK" w:cs="方正仿宋_GBK"/>
          <w:b w:val="0"/>
          <w:bCs w:val="0"/>
          <w:sz w:val="32"/>
          <w:szCs w:val="32"/>
        </w:rPr>
        <w:t>计划生育工作稳步推进</w:t>
      </w:r>
    </w:p>
    <w:p w14:paraId="4D0614C7">
      <w:pPr>
        <w:spacing w:line="578" w:lineRule="exact"/>
        <w:ind w:firstLine="640" w:firstLineChars="200"/>
        <w:rPr>
          <w:rFonts w:ascii="Times New Roman" w:hAnsi="Times New Roman" w:eastAsia="方正仿宋_GBK" w:cs="Times New Roman"/>
          <w:b w:val="0"/>
          <w:bCs w:val="0"/>
          <w:sz w:val="32"/>
          <w:szCs w:val="32"/>
        </w:rPr>
      </w:pPr>
      <w:r>
        <w:rPr>
          <w:rFonts w:ascii="Times New Roman" w:hAnsi="Times New Roman" w:eastAsia="方正仿宋_GBK" w:cs="Times New Roman"/>
          <w:b w:val="0"/>
          <w:bCs w:val="0"/>
          <w:sz w:val="32"/>
          <w:szCs w:val="32"/>
        </w:rPr>
        <w:t>稳妥实施全面两孩政策，推进公共场所和用人单位母婴设施建设，全县配置母婴室9个，应配置母婴设施的公共场所配置率达到100%。促进3岁以下婴幼儿照护服务，新增各类托位478个，指导托育机构备案3家。落实生育登记服务制度，生育登记服务目标人群覆盖率100%，全县累计出生7.10万人，二孩占比42.06%，出生人口性别比105.86，符合政策生育率95.24%。农村部分计划生育家庭奖励扶助与计划生育家庭特别扶助制度政策落实率100%。</w:t>
      </w:r>
    </w:p>
    <w:p w14:paraId="72E08DFD">
      <w:pPr>
        <w:numPr>
          <w:ilvl w:val="0"/>
          <w:numId w:val="1"/>
        </w:numPr>
        <w:spacing w:line="578" w:lineRule="exact"/>
        <w:ind w:firstLine="640" w:firstLineChars="200"/>
        <w:rPr>
          <w:rFonts w:ascii="Times New Roman" w:hAnsi="Times New Roman" w:eastAsia="楷体" w:cs="Times New Roman"/>
          <w:b w:val="0"/>
          <w:bCs w:val="0"/>
          <w:sz w:val="32"/>
          <w:szCs w:val="32"/>
        </w:rPr>
      </w:pPr>
      <w:r>
        <w:rPr>
          <w:rFonts w:hint="eastAsia" w:ascii="Times New Roman" w:hAnsi="Times New Roman" w:eastAsia="方正仿宋_GBK" w:cs="方正仿宋_GBK"/>
          <w:b w:val="0"/>
          <w:bCs w:val="0"/>
          <w:sz w:val="32"/>
          <w:szCs w:val="32"/>
        </w:rPr>
        <w:t>中医药事业健康快速发展</w:t>
      </w:r>
    </w:p>
    <w:p w14:paraId="4C6379E2">
      <w:pPr>
        <w:spacing w:line="578" w:lineRule="exact"/>
        <w:ind w:firstLine="640" w:firstLineChars="200"/>
        <w:rPr>
          <w:rFonts w:ascii="Times New Roman" w:hAnsi="Times New Roman" w:eastAsia="方正仿宋_GBK" w:cs="Times New Roman"/>
          <w:b w:val="0"/>
          <w:bCs w:val="0"/>
          <w:sz w:val="32"/>
          <w:szCs w:val="32"/>
        </w:rPr>
      </w:pPr>
      <w:r>
        <w:rPr>
          <w:rFonts w:ascii="Times New Roman" w:hAnsi="Times New Roman" w:eastAsia="方正仿宋_GBK" w:cs="Times New Roman"/>
          <w:b w:val="0"/>
          <w:bCs w:val="0"/>
          <w:sz w:val="32"/>
          <w:szCs w:val="32"/>
        </w:rPr>
        <w:t>顺利通过国家基层中医药工作先进县复审，县中医院迁扩建项目投入使用。依托县中医院建成全县</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治未病中心</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完成了15个基层医疗机构甲类中医药综合服务区建设和3个基层中医药示范单位创建。成立了中医医共体，形成了县乡村三级中医药服务体系。各基层卫生院全部成立了治未病科开展中医药健康服务，全县65岁以上老年人接受中医体质辨识人数占比43.3%，0-3岁儿童接受中医调养服务人数占比43%，全县中医药服务量占医疗服务总量的31%。</w:t>
      </w:r>
    </w:p>
    <w:p w14:paraId="62618B59">
      <w:pPr>
        <w:numPr>
          <w:ilvl w:val="0"/>
          <w:numId w:val="1"/>
        </w:numPr>
        <w:spacing w:line="578" w:lineRule="exact"/>
        <w:ind w:firstLine="640" w:firstLineChars="200"/>
        <w:rPr>
          <w:rFonts w:hint="eastAsia" w:ascii="Times New Roman" w:hAnsi="Times New Roman" w:eastAsia="方正仿宋_GBK" w:cs="方正仿宋_GBK"/>
          <w:b w:val="0"/>
          <w:bCs w:val="0"/>
          <w:sz w:val="32"/>
          <w:szCs w:val="32"/>
          <w:lang w:val="zh-CN"/>
        </w:rPr>
      </w:pPr>
      <w:r>
        <w:rPr>
          <w:rFonts w:hint="eastAsia" w:ascii="Times New Roman" w:hAnsi="Times New Roman" w:eastAsia="方正仿宋_GBK" w:cs="方正仿宋_GBK"/>
          <w:b w:val="0"/>
          <w:bCs w:val="0"/>
          <w:sz w:val="32"/>
          <w:szCs w:val="32"/>
        </w:rPr>
        <w:t>卫生健康</w:t>
      </w:r>
      <w:r>
        <w:rPr>
          <w:rFonts w:hint="eastAsia" w:ascii="Times New Roman" w:hAnsi="Times New Roman" w:eastAsia="方正仿宋_GBK" w:cs="方正仿宋_GBK"/>
          <w:b w:val="0"/>
          <w:bCs w:val="0"/>
          <w:sz w:val="32"/>
          <w:szCs w:val="32"/>
          <w:lang w:val="zh-CN"/>
        </w:rPr>
        <w:t>信息化建设取得新进展</w:t>
      </w:r>
    </w:p>
    <w:p w14:paraId="0FE3ADA7">
      <w:pPr>
        <w:spacing w:line="578" w:lineRule="exact"/>
        <w:ind w:firstLine="640" w:firstLineChars="200"/>
        <w:rPr>
          <w:rFonts w:ascii="Times New Roman" w:hAnsi="Times New Roman" w:eastAsia="方正仿宋_GBK" w:cs="Times New Roman"/>
          <w:b w:val="0"/>
          <w:bCs w:val="0"/>
          <w:sz w:val="32"/>
          <w:szCs w:val="32"/>
          <w:lang w:val="zh-CN"/>
        </w:rPr>
      </w:pPr>
      <w:r>
        <w:rPr>
          <w:rFonts w:ascii="Times New Roman" w:hAnsi="Times New Roman" w:eastAsia="方正仿宋_GBK" w:cs="Times New Roman"/>
          <w:b w:val="0"/>
          <w:bCs w:val="0"/>
          <w:sz w:val="32"/>
          <w:szCs w:val="32"/>
          <w:lang w:val="zh-CN"/>
        </w:rPr>
        <w:t>按照国家B级数据中心标准建成卫生健康数据中心并成功迁移。改造全民健康信息平台，实现了与市级中医平台、县级医院、基层卫生院数据对接及业务数据动态监测展示。升级区域医疗健康信息系统，在基本医疗、电子病历、公共卫生系统全覆盖基础上，启动放射、超声、心电设备联网联机，实现一体化应用。拓展远程医疗服务渠道，依托县人民医院建成云阳县远程诊疗会诊中心，实现乡镇卫生院远程医疗全覆盖，实现与山东省立医院远程对接，完成东西扶贫协作远程医疗项目建设。发展</w:t>
      </w:r>
      <w:r>
        <w:rPr>
          <w:rFonts w:hint="eastAsia" w:ascii="Times New Roman" w:hAnsi="Times New Roman" w:eastAsia="方正仿宋_GBK" w:cs="Times New Roman"/>
          <w:b w:val="0"/>
          <w:bCs w:val="0"/>
          <w:sz w:val="32"/>
          <w:szCs w:val="32"/>
          <w:lang w:val="zh-CN"/>
        </w:rPr>
        <w:t>“</w:t>
      </w:r>
      <w:r>
        <w:rPr>
          <w:rFonts w:ascii="Times New Roman" w:hAnsi="Times New Roman" w:eastAsia="方正仿宋_GBK" w:cs="Times New Roman"/>
          <w:b w:val="0"/>
          <w:bCs w:val="0"/>
          <w:sz w:val="32"/>
          <w:szCs w:val="32"/>
          <w:lang w:val="zh-CN"/>
        </w:rPr>
        <w:t>互联网+</w:t>
      </w:r>
      <w:r>
        <w:rPr>
          <w:rFonts w:hint="eastAsia" w:ascii="Times New Roman" w:hAnsi="Times New Roman" w:eastAsia="方正仿宋_GBK" w:cs="Times New Roman"/>
          <w:b w:val="0"/>
          <w:bCs w:val="0"/>
          <w:sz w:val="32"/>
          <w:szCs w:val="32"/>
          <w:lang w:val="zh-CN"/>
        </w:rPr>
        <w:t>”</w:t>
      </w:r>
      <w:r>
        <w:rPr>
          <w:rFonts w:ascii="Times New Roman" w:hAnsi="Times New Roman" w:eastAsia="方正仿宋_GBK" w:cs="Times New Roman"/>
          <w:b w:val="0"/>
          <w:bCs w:val="0"/>
          <w:sz w:val="32"/>
          <w:szCs w:val="32"/>
          <w:lang w:val="zh-CN"/>
        </w:rPr>
        <w:t>医疗服务，县级公立医院分别推出银医自助机、自助打印机、排队叫号系统及微信、支付宝线上支付服务，开通诊间支付，实现患者</w:t>
      </w:r>
      <w:r>
        <w:rPr>
          <w:rFonts w:hint="eastAsia" w:ascii="Times New Roman" w:hAnsi="Times New Roman" w:eastAsia="方正仿宋_GBK" w:cs="Times New Roman"/>
          <w:b w:val="0"/>
          <w:bCs w:val="0"/>
          <w:sz w:val="32"/>
          <w:szCs w:val="32"/>
          <w:lang w:val="zh-CN"/>
        </w:rPr>
        <w:t>“</w:t>
      </w:r>
      <w:r>
        <w:rPr>
          <w:rFonts w:ascii="Times New Roman" w:hAnsi="Times New Roman" w:eastAsia="方正仿宋_GBK" w:cs="Times New Roman"/>
          <w:b w:val="0"/>
          <w:bCs w:val="0"/>
          <w:sz w:val="32"/>
          <w:szCs w:val="32"/>
          <w:lang w:val="zh-CN"/>
        </w:rPr>
        <w:t>边诊疗，边结算</w:t>
      </w:r>
      <w:r>
        <w:rPr>
          <w:rFonts w:hint="eastAsia" w:ascii="Times New Roman" w:hAnsi="Times New Roman" w:eastAsia="方正仿宋_GBK" w:cs="Times New Roman"/>
          <w:b w:val="0"/>
          <w:bCs w:val="0"/>
          <w:sz w:val="32"/>
          <w:szCs w:val="32"/>
          <w:lang w:val="zh-CN"/>
        </w:rPr>
        <w:t>”</w:t>
      </w:r>
      <w:r>
        <w:rPr>
          <w:rFonts w:ascii="Times New Roman" w:hAnsi="Times New Roman" w:eastAsia="方正仿宋_GBK" w:cs="Times New Roman"/>
          <w:b w:val="0"/>
          <w:bCs w:val="0"/>
          <w:sz w:val="32"/>
          <w:szCs w:val="32"/>
          <w:lang w:val="zh-CN"/>
        </w:rPr>
        <w:t>。</w:t>
      </w:r>
      <w:bookmarkStart w:id="13" w:name="_Toc2781"/>
      <w:bookmarkStart w:id="14" w:name="_Toc23613"/>
      <w:bookmarkStart w:id="15" w:name="_Toc68265835"/>
    </w:p>
    <w:p w14:paraId="6C6E9E60">
      <w:pPr>
        <w:keepNext/>
        <w:keepLines/>
        <w:widowControl w:val="0"/>
        <w:spacing w:before="0" w:after="0" w:line="578" w:lineRule="exact"/>
        <w:ind w:firstLine="640" w:firstLineChars="200"/>
        <w:jc w:val="both"/>
        <w:outlineLvl w:val="1"/>
        <w:rPr>
          <w:rFonts w:ascii="Times New Roman" w:hAnsi="Times New Roman" w:eastAsia="方正楷体_GBK" w:cs="Times New Roman"/>
          <w:b w:val="0"/>
          <w:bCs w:val="0"/>
          <w:kern w:val="2"/>
          <w:sz w:val="32"/>
          <w:szCs w:val="32"/>
          <w:lang w:val="en-US" w:eastAsia="zh-CN" w:bidi="ar-SA"/>
        </w:rPr>
      </w:pPr>
      <w:bookmarkStart w:id="16" w:name="_Toc17792"/>
      <w:bookmarkStart w:id="17" w:name="_Toc23315_WPSOffice_Level2"/>
      <w:r>
        <w:rPr>
          <w:rFonts w:ascii="Times New Roman" w:hAnsi="Times New Roman" w:eastAsia="方正楷体_GBK" w:cs="Times New Roman"/>
          <w:b w:val="0"/>
          <w:bCs w:val="0"/>
          <w:kern w:val="2"/>
          <w:sz w:val="32"/>
          <w:szCs w:val="32"/>
          <w:lang w:val="en-US" w:eastAsia="zh-CN" w:bidi="ar-SA"/>
        </w:rPr>
        <w:t>（二）</w:t>
      </w:r>
      <w:r>
        <w:rPr>
          <w:rFonts w:hint="eastAsia" w:ascii="Times New Roman" w:hAnsi="Times New Roman" w:eastAsia="方正楷体_GBK" w:cs="Times New Roman"/>
          <w:b w:val="0"/>
          <w:bCs w:val="0"/>
          <w:kern w:val="2"/>
          <w:sz w:val="32"/>
          <w:szCs w:val="32"/>
          <w:lang w:val="en-US" w:eastAsia="zh-CN" w:bidi="ar-SA"/>
        </w:rPr>
        <w:t>“</w:t>
      </w:r>
      <w:r>
        <w:rPr>
          <w:rFonts w:ascii="Times New Roman" w:hAnsi="Times New Roman" w:eastAsia="方正楷体_GBK" w:cs="Times New Roman"/>
          <w:b w:val="0"/>
          <w:bCs w:val="0"/>
          <w:kern w:val="2"/>
          <w:sz w:val="32"/>
          <w:szCs w:val="32"/>
          <w:lang w:val="en-US" w:eastAsia="zh-CN" w:bidi="ar-SA"/>
        </w:rPr>
        <w:t>十四五</w:t>
      </w:r>
      <w:r>
        <w:rPr>
          <w:rFonts w:hint="eastAsia" w:ascii="Times New Roman" w:hAnsi="Times New Roman" w:eastAsia="方正楷体_GBK" w:cs="Times New Roman"/>
          <w:b w:val="0"/>
          <w:bCs w:val="0"/>
          <w:kern w:val="2"/>
          <w:sz w:val="32"/>
          <w:szCs w:val="32"/>
          <w:lang w:val="en-US" w:eastAsia="zh-CN" w:bidi="ar-SA"/>
        </w:rPr>
        <w:t>”</w:t>
      </w:r>
      <w:r>
        <w:rPr>
          <w:rFonts w:ascii="Times New Roman" w:hAnsi="Times New Roman" w:eastAsia="方正楷体_GBK" w:cs="Times New Roman"/>
          <w:b w:val="0"/>
          <w:bCs w:val="0"/>
          <w:kern w:val="2"/>
          <w:sz w:val="32"/>
          <w:szCs w:val="32"/>
          <w:lang w:val="en-US" w:eastAsia="zh-CN" w:bidi="ar-SA"/>
        </w:rPr>
        <w:t>时期面临的</w:t>
      </w:r>
      <w:bookmarkEnd w:id="13"/>
      <w:bookmarkEnd w:id="14"/>
      <w:bookmarkEnd w:id="15"/>
      <w:r>
        <w:rPr>
          <w:rFonts w:ascii="Times New Roman" w:hAnsi="Times New Roman" w:eastAsia="方正楷体_GBK" w:cs="Times New Roman"/>
          <w:b w:val="0"/>
          <w:bCs w:val="0"/>
          <w:kern w:val="2"/>
          <w:sz w:val="32"/>
          <w:szCs w:val="32"/>
          <w:lang w:val="en-US" w:eastAsia="zh-CN" w:bidi="ar-SA"/>
        </w:rPr>
        <w:t>机遇和挑战</w:t>
      </w:r>
      <w:bookmarkEnd w:id="16"/>
      <w:bookmarkEnd w:id="17"/>
    </w:p>
    <w:p w14:paraId="7FB4F38D">
      <w:pPr>
        <w:spacing w:line="578" w:lineRule="exact"/>
        <w:ind w:firstLine="640" w:firstLineChars="200"/>
        <w:rPr>
          <w:rFonts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十四五</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时期是推进成渝双城经济圈建设、渝东北三峡库区城镇群建设、</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万开云</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同城化发展的关键时期，是云阳卫生健康事业深化体制机制改革，实现高质量发展的重要战略机遇期，面临一系列的机遇和挑战。</w:t>
      </w:r>
    </w:p>
    <w:p w14:paraId="3554F57B">
      <w:pPr>
        <w:numPr>
          <w:ilvl w:val="0"/>
          <w:numId w:val="0"/>
        </w:numPr>
        <w:spacing w:line="578" w:lineRule="exact"/>
        <w:ind w:firstLine="640" w:firstLineChars="200"/>
        <w:rPr>
          <w:rFonts w:ascii="Times New Roman" w:hAnsi="Times New Roman" w:eastAsia="方正仿宋_GBK" w:cs="Times New Roman"/>
          <w:b w:val="0"/>
          <w:bCs w:val="0"/>
          <w:sz w:val="32"/>
          <w:szCs w:val="32"/>
        </w:rPr>
      </w:pPr>
      <w:r>
        <w:rPr>
          <w:rFonts w:hint="eastAsia" w:ascii="Times New Roman" w:hAnsi="Times New Roman" w:eastAsia="方正仿宋_GBK" w:cs="方正仿宋_GBK"/>
          <w:b w:val="0"/>
          <w:bCs w:val="0"/>
          <w:sz w:val="32"/>
          <w:szCs w:val="32"/>
          <w:lang w:val="en-US" w:eastAsia="zh-CN"/>
        </w:rPr>
        <w:t xml:space="preserve">1. </w:t>
      </w:r>
      <w:r>
        <w:rPr>
          <w:rFonts w:hint="eastAsia" w:ascii="Times New Roman" w:hAnsi="Times New Roman" w:eastAsia="方正仿宋_GBK" w:cs="方正仿宋_GBK"/>
          <w:b w:val="0"/>
          <w:bCs w:val="0"/>
          <w:sz w:val="32"/>
          <w:szCs w:val="32"/>
        </w:rPr>
        <w:t>面临的机遇</w:t>
      </w:r>
    </w:p>
    <w:p w14:paraId="71BFB569">
      <w:pPr>
        <w:spacing w:line="578" w:lineRule="exact"/>
        <w:ind w:firstLine="640" w:firstLineChars="200"/>
        <w:rPr>
          <w:rFonts w:ascii="Times New Roman" w:hAnsi="Times New Roman" w:eastAsia="方正仿宋_GBK" w:cs="Times New Roman"/>
          <w:b w:val="0"/>
          <w:bCs w:val="0"/>
          <w:sz w:val="32"/>
          <w:szCs w:val="32"/>
        </w:rPr>
      </w:pPr>
      <w:r>
        <w:rPr>
          <w:rFonts w:ascii="Times New Roman" w:hAnsi="Times New Roman" w:eastAsia="方正仿宋_GBK" w:cs="Times New Roman"/>
          <w:b w:val="0"/>
          <w:bCs w:val="0"/>
          <w:sz w:val="32"/>
          <w:szCs w:val="32"/>
        </w:rPr>
        <w:t>长江经济带发展、成渝双城经济圈建设等重大战略带来新机遇。</w:t>
      </w:r>
      <w:r>
        <w:rPr>
          <w:rFonts w:ascii="Times New Roman" w:hAnsi="Times New Roman" w:eastAsia="方正仿宋_GBK" w:cs="Times New Roman"/>
          <w:b w:val="0"/>
          <w:bCs w:val="0"/>
          <w:spacing w:val="4"/>
          <w:sz w:val="32"/>
          <w:szCs w:val="32"/>
        </w:rPr>
        <w:t>云阳作为成渝地区双城经济圈重要节点，西部大开发、</w:t>
      </w:r>
      <w:r>
        <w:rPr>
          <w:rFonts w:hint="eastAsia" w:ascii="Times New Roman" w:hAnsi="Times New Roman" w:eastAsia="方正仿宋_GBK" w:cs="Times New Roman"/>
          <w:b w:val="0"/>
          <w:bCs w:val="0"/>
          <w:spacing w:val="4"/>
          <w:sz w:val="32"/>
          <w:szCs w:val="32"/>
          <w:lang w:eastAsia="zh-CN"/>
        </w:rPr>
        <w:t>“一带一路”</w:t>
      </w:r>
      <w:r>
        <w:rPr>
          <w:rFonts w:ascii="Times New Roman" w:hAnsi="Times New Roman" w:eastAsia="方正仿宋_GBK" w:cs="Times New Roman"/>
          <w:b w:val="0"/>
          <w:bCs w:val="0"/>
          <w:spacing w:val="4"/>
          <w:sz w:val="32"/>
          <w:szCs w:val="32"/>
        </w:rPr>
        <w:t>和长江经济带的连接区域，正处于政策机遇叠加期、对外开放发展机遇期、高质量发展黄金期、凝心聚力关键期。</w:t>
      </w:r>
      <w:r>
        <w:rPr>
          <w:rFonts w:ascii="Times New Roman" w:hAnsi="Times New Roman" w:eastAsia="方正仿宋_GBK" w:cs="Times New Roman"/>
          <w:b w:val="0"/>
          <w:bCs w:val="0"/>
          <w:sz w:val="32"/>
          <w:szCs w:val="32"/>
        </w:rPr>
        <w:t>云阳地位凸显、战略空间拓展、战略潜能释放，为卫生健康事业高质量发展带来了全新的机遇、创造了更为有利的条件。</w:t>
      </w:r>
    </w:p>
    <w:p w14:paraId="77F1BA13">
      <w:pPr>
        <w:spacing w:line="578" w:lineRule="exact"/>
        <w:ind w:firstLine="640" w:firstLineChars="200"/>
        <w:rPr>
          <w:rFonts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一区两群</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协调发展机制和万开云同城化发展给卫生健康服务供给提出新命题。随着</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一区两群</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经济社会协调发展、</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万开云</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同城化的深入推进，随着全县</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双100双1000</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五地一支撑</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发展战略的加快实施。必须加快形成优质高效、均衡发展、协作互补的卫生健康事业发展新格局，进一步促进城乡卫生资源合理配置和卫生资源区域间协调配置，提升卫生健康服务供给质量，促进全县卫生健康事业协调可持续发展。</w:t>
      </w:r>
    </w:p>
    <w:p w14:paraId="49A2AB77">
      <w:pPr>
        <w:spacing w:line="578" w:lineRule="exact"/>
        <w:ind w:firstLine="640" w:firstLineChars="200"/>
        <w:rPr>
          <w:rFonts w:ascii="Times New Roman" w:hAnsi="Times New Roman" w:eastAsia="方正仿宋_GBK" w:cs="Times New Roman"/>
          <w:b w:val="0"/>
          <w:bCs w:val="0"/>
          <w:sz w:val="32"/>
          <w:szCs w:val="32"/>
        </w:rPr>
      </w:pPr>
      <w:r>
        <w:rPr>
          <w:rFonts w:ascii="Times New Roman" w:hAnsi="Times New Roman" w:eastAsia="方正仿宋_GBK" w:cs="Times New Roman"/>
          <w:b w:val="0"/>
          <w:bCs w:val="0"/>
          <w:sz w:val="32"/>
          <w:szCs w:val="32"/>
        </w:rPr>
        <w:t>新科技、新业态的飞速发展带来新动力。基因工程、分子诊断等重大技术快速应用转化，互联网医疗、人工智能等手段为卫生健康事业发展带来了新动力。</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互联网+医疗健康</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服务新方式新业态不断涌现，为方便群众看病就医、增强经济发展新动能发挥了重要作用。随着大数据、人工智能推动医疗行业发展，临床诊疗更精准，开展科研更高效，政府对行业的监管更便捷。</w:t>
      </w:r>
    </w:p>
    <w:p w14:paraId="0729EDB8">
      <w:pPr>
        <w:numPr>
          <w:ilvl w:val="0"/>
          <w:numId w:val="2"/>
        </w:numPr>
        <w:spacing w:line="578" w:lineRule="exact"/>
        <w:ind w:firstLine="640" w:firstLineChars="200"/>
        <w:rPr>
          <w:rFonts w:ascii="Times New Roman" w:hAnsi="Times New Roman" w:eastAsia="方正仿宋_GBK" w:cs="Times New Roman"/>
          <w:b w:val="0"/>
          <w:bCs w:val="0"/>
          <w:sz w:val="32"/>
          <w:szCs w:val="32"/>
        </w:rPr>
      </w:pPr>
      <w:r>
        <w:rPr>
          <w:rFonts w:ascii="Times New Roman" w:hAnsi="Times New Roman" w:eastAsia="方正仿宋_GBK" w:cs="Times New Roman"/>
          <w:b w:val="0"/>
          <w:bCs w:val="0"/>
          <w:sz w:val="32"/>
          <w:szCs w:val="32"/>
        </w:rPr>
        <w:t>面临的挑战和困难</w:t>
      </w:r>
    </w:p>
    <w:p w14:paraId="52B0118E">
      <w:pPr>
        <w:spacing w:line="578" w:lineRule="exact"/>
        <w:ind w:firstLine="640" w:firstLineChars="200"/>
        <w:rPr>
          <w:rFonts w:ascii="Times New Roman" w:hAnsi="Times New Roman" w:eastAsia="方正仿宋_GBK" w:cs="Times New Roman"/>
          <w:b w:val="0"/>
          <w:bCs w:val="0"/>
          <w:sz w:val="32"/>
          <w:szCs w:val="32"/>
        </w:rPr>
      </w:pPr>
      <w:r>
        <w:rPr>
          <w:rFonts w:hint="eastAsia" w:ascii="方正仿宋_GBK" w:hAnsi="方正仿宋_GBK" w:eastAsia="方正仿宋_GBK" w:cs="方正仿宋_GBK"/>
          <w:b w:val="0"/>
          <w:bCs w:val="0"/>
          <w:sz w:val="32"/>
          <w:szCs w:val="32"/>
        </w:rPr>
        <w:t>一是公共卫生服务能力亟需加强。</w:t>
      </w:r>
      <w:r>
        <w:rPr>
          <w:rFonts w:ascii="Times New Roman" w:hAnsi="Times New Roman" w:eastAsia="方正仿宋_GBK" w:cs="Times New Roman"/>
          <w:b w:val="0"/>
          <w:bCs w:val="0"/>
          <w:sz w:val="32"/>
          <w:szCs w:val="32"/>
        </w:rPr>
        <w:t>公共卫生领域面临着多重疾病威胁并存、多种健康影响因素交织的复杂局面，全县整体公共卫生工作水平有待进一步提高。传染病防控体系及防控技术能力急需加强，卫生应急队伍专业结构、队伍数量和响应速度还不足，应急救援队伍的储备和培训演练欠缺，临床人员疫情防治、处置培训还需加强。健康促进工作阵地还不健全，健康科普手段较为单一。精神卫生机构基础设施建设滞后，严重精神患者肇事肇祸仍有发生。</w:t>
      </w:r>
      <w:r>
        <w:rPr>
          <w:rFonts w:hint="eastAsia" w:ascii="方正仿宋_GBK" w:hAnsi="方正仿宋_GBK" w:eastAsia="方正仿宋_GBK" w:cs="方正仿宋_GBK"/>
          <w:b w:val="0"/>
          <w:bCs w:val="0"/>
          <w:sz w:val="32"/>
          <w:szCs w:val="32"/>
        </w:rPr>
        <w:t>二是卫生人才不足。全县卫生健康人才队伍总量不足，缺少拔尖技术人才和高水平学科带头人，基层医疗机构存在人才断档、后继乏人的状况。三是县级医院不大不强。难以有效解决“大病不出县”问题，医疗服务能力和服务总量与邻近区县差距较大，大病患者向外流失严重，县外次均费用明显高于县内。四是人口发展和医养结合工作需向纵深发展。全</w:t>
      </w:r>
      <w:r>
        <w:rPr>
          <w:rFonts w:ascii="Times New Roman" w:hAnsi="Times New Roman" w:eastAsia="方正仿宋_GBK" w:cs="Times New Roman"/>
          <w:b w:val="0"/>
          <w:bCs w:val="0"/>
          <w:sz w:val="32"/>
          <w:szCs w:val="32"/>
        </w:rPr>
        <w:t>县人口呈现</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出生人口减少，净迁出增长，死亡人口增加，老龄人口增速加快</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的趋势。基于我县人口现状，需加快推进人口发展战略步伐，但还存在部门联动配合性不强、老年健康服务体系有待完善、医养结合服务质量有待提升、托育服务供给不平衡不充分等问题。</w:t>
      </w:r>
      <w:r>
        <w:rPr>
          <w:rFonts w:hint="eastAsia" w:ascii="Times New Roman" w:hAnsi="Times New Roman" w:eastAsia="方正楷体_GBK" w:cs="方正楷体_GBK"/>
          <w:b w:val="0"/>
          <w:bCs w:val="0"/>
          <w:sz w:val="32"/>
          <w:szCs w:val="32"/>
        </w:rPr>
        <w:t>五是信息化融合应用水平不高。“</w:t>
      </w:r>
      <w:r>
        <w:rPr>
          <w:rFonts w:ascii="Times New Roman" w:hAnsi="Times New Roman" w:eastAsia="方正仿宋_GBK" w:cs="Times New Roman"/>
          <w:b w:val="0"/>
          <w:bCs w:val="0"/>
          <w:sz w:val="32"/>
          <w:szCs w:val="32"/>
        </w:rPr>
        <w:t>烟囱</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系统多，信息互联互通难度大，信息化建设与业务管理没有深度融合，数据分析应用水平不高，网络与信息安全防范意识、防护能力不强。信息化建设应用还没有成为改进工作水平、提高工作效率、提升管理效能的重要手段。</w:t>
      </w:r>
    </w:p>
    <w:p w14:paraId="4103D204">
      <w:pPr>
        <w:keepNext/>
        <w:keepLines/>
        <w:widowControl w:val="0"/>
        <w:spacing w:before="0" w:after="0" w:line="578" w:lineRule="exact"/>
        <w:ind w:firstLine="800" w:firstLineChars="250"/>
        <w:jc w:val="both"/>
        <w:outlineLvl w:val="1"/>
        <w:rPr>
          <w:rFonts w:ascii="Times New Roman" w:hAnsi="Times New Roman" w:eastAsia="方正黑体_GBK" w:cs="Times New Roman"/>
          <w:b w:val="0"/>
          <w:bCs w:val="0"/>
          <w:kern w:val="44"/>
          <w:sz w:val="32"/>
          <w:szCs w:val="32"/>
          <w:lang w:val="en-US" w:eastAsia="zh-CN" w:bidi="ar-SA"/>
        </w:rPr>
      </w:pPr>
      <w:bookmarkStart w:id="18" w:name="_Toc29209"/>
      <w:bookmarkStart w:id="19" w:name="_Toc2367_WPSOffice_Level1"/>
      <w:r>
        <w:rPr>
          <w:rFonts w:ascii="Times New Roman" w:hAnsi="Times New Roman" w:eastAsia="方正黑体_GBK" w:cs="Times New Roman"/>
          <w:b w:val="0"/>
          <w:bCs w:val="0"/>
          <w:kern w:val="44"/>
          <w:sz w:val="32"/>
          <w:szCs w:val="32"/>
          <w:lang w:val="en-US" w:eastAsia="zh-CN" w:bidi="ar-SA"/>
        </w:rPr>
        <w:t>二、指导思想、基本原则及发展目标</w:t>
      </w:r>
      <w:bookmarkEnd w:id="18"/>
      <w:bookmarkEnd w:id="19"/>
    </w:p>
    <w:p w14:paraId="3829E197">
      <w:pPr>
        <w:keepNext/>
        <w:keepLines/>
        <w:widowControl w:val="0"/>
        <w:spacing w:before="0" w:after="0" w:line="578" w:lineRule="exact"/>
        <w:ind w:firstLine="640" w:firstLineChars="200"/>
        <w:jc w:val="both"/>
        <w:outlineLvl w:val="1"/>
        <w:rPr>
          <w:rFonts w:ascii="Times New Roman" w:hAnsi="Times New Roman" w:eastAsia="方正楷体_GBK" w:cs="方正楷体_GBK"/>
          <w:b w:val="0"/>
          <w:bCs w:val="0"/>
          <w:kern w:val="2"/>
          <w:sz w:val="32"/>
          <w:szCs w:val="32"/>
          <w:lang w:val="en-US" w:eastAsia="zh-CN" w:bidi="ar-SA"/>
        </w:rPr>
      </w:pPr>
      <w:bookmarkStart w:id="20" w:name="_Toc24712"/>
      <w:bookmarkStart w:id="21" w:name="_Toc3498_WPSOffice_Level2"/>
      <w:r>
        <w:rPr>
          <w:rFonts w:hint="eastAsia" w:ascii="Times New Roman" w:hAnsi="Times New Roman" w:eastAsia="方正楷体_GBK" w:cs="方正楷体_GBK"/>
          <w:b w:val="0"/>
          <w:bCs w:val="0"/>
          <w:kern w:val="2"/>
          <w:sz w:val="32"/>
          <w:szCs w:val="32"/>
          <w:lang w:val="en-US" w:eastAsia="zh-CN" w:bidi="ar-SA"/>
        </w:rPr>
        <w:t>（一）指导思想</w:t>
      </w:r>
      <w:bookmarkEnd w:id="20"/>
      <w:bookmarkEnd w:id="21"/>
    </w:p>
    <w:p w14:paraId="3D8E81EF">
      <w:pPr>
        <w:spacing w:line="578" w:lineRule="exact"/>
        <w:ind w:firstLine="656" w:firstLineChars="200"/>
        <w:rPr>
          <w:rFonts w:ascii="Times New Roman" w:hAnsi="Times New Roman" w:eastAsia="方正仿宋_GBK" w:cs="Times New Roman"/>
          <w:b w:val="0"/>
          <w:bCs w:val="0"/>
          <w:sz w:val="32"/>
          <w:szCs w:val="32"/>
        </w:rPr>
      </w:pPr>
      <w:r>
        <w:rPr>
          <w:rFonts w:ascii="Times New Roman" w:hAnsi="Times New Roman" w:eastAsia="方正仿宋_GBK" w:cs="Times New Roman"/>
          <w:b w:val="0"/>
          <w:bCs w:val="0"/>
          <w:spacing w:val="4"/>
          <w:sz w:val="32"/>
          <w:szCs w:val="32"/>
        </w:rPr>
        <w:t>坚持以马克思列宁主义、毛泽东思想、邓小平理论、</w:t>
      </w:r>
      <w:r>
        <w:rPr>
          <w:rFonts w:hint="eastAsia" w:ascii="Times New Roman" w:hAnsi="Times New Roman" w:eastAsia="方正仿宋_GBK" w:cs="Times New Roman"/>
          <w:b w:val="0"/>
          <w:bCs w:val="0"/>
          <w:spacing w:val="4"/>
          <w:sz w:val="32"/>
          <w:szCs w:val="32"/>
        </w:rPr>
        <w:t>“</w:t>
      </w:r>
      <w:r>
        <w:rPr>
          <w:rFonts w:ascii="Times New Roman" w:hAnsi="Times New Roman" w:eastAsia="方正仿宋_GBK" w:cs="Times New Roman"/>
          <w:b w:val="0"/>
          <w:bCs w:val="0"/>
          <w:spacing w:val="4"/>
          <w:sz w:val="32"/>
          <w:szCs w:val="32"/>
        </w:rPr>
        <w:t>三个代表</w:t>
      </w:r>
      <w:r>
        <w:rPr>
          <w:rFonts w:hint="eastAsia" w:ascii="Times New Roman" w:hAnsi="Times New Roman" w:eastAsia="方正仿宋_GBK" w:cs="Times New Roman"/>
          <w:b w:val="0"/>
          <w:bCs w:val="0"/>
          <w:spacing w:val="4"/>
          <w:sz w:val="32"/>
          <w:szCs w:val="32"/>
        </w:rPr>
        <w:t>”</w:t>
      </w:r>
      <w:r>
        <w:rPr>
          <w:rFonts w:ascii="Times New Roman" w:hAnsi="Times New Roman" w:eastAsia="方正仿宋_GBK" w:cs="Times New Roman"/>
          <w:b w:val="0"/>
          <w:bCs w:val="0"/>
          <w:spacing w:val="4"/>
          <w:sz w:val="32"/>
          <w:szCs w:val="32"/>
        </w:rPr>
        <w:t>重要思想、科学发展观、习近平新时代中国特色社会主义思想为指导</w:t>
      </w:r>
      <w:r>
        <w:rPr>
          <w:rFonts w:ascii="Times New Roman" w:hAnsi="Times New Roman" w:eastAsia="方正仿宋_GBK" w:cs="Times New Roman"/>
          <w:b w:val="0"/>
          <w:bCs w:val="0"/>
          <w:sz w:val="32"/>
          <w:szCs w:val="32"/>
        </w:rPr>
        <w:t>，深入贯彻党的十九大和十九届历次全会精神，</w:t>
      </w:r>
      <w:r>
        <w:rPr>
          <w:rFonts w:ascii="Times New Roman" w:hAnsi="Times New Roman" w:eastAsia="方正仿宋_GBK" w:cs="Times New Roman"/>
          <w:b w:val="0"/>
          <w:bCs w:val="0"/>
          <w:spacing w:val="4"/>
          <w:sz w:val="32"/>
          <w:szCs w:val="32"/>
        </w:rPr>
        <w:t>全面贯彻党的基本理论、基本路线、基本方略，统筹推进</w:t>
      </w:r>
      <w:r>
        <w:rPr>
          <w:rFonts w:hint="eastAsia" w:ascii="Times New Roman" w:hAnsi="Times New Roman" w:eastAsia="方正仿宋_GBK" w:cs="Times New Roman"/>
          <w:b w:val="0"/>
          <w:bCs w:val="0"/>
          <w:spacing w:val="4"/>
          <w:sz w:val="32"/>
          <w:szCs w:val="32"/>
        </w:rPr>
        <w:t>“</w:t>
      </w:r>
      <w:r>
        <w:rPr>
          <w:rFonts w:ascii="Times New Roman" w:hAnsi="Times New Roman" w:eastAsia="方正仿宋_GBK" w:cs="Times New Roman"/>
          <w:b w:val="0"/>
          <w:bCs w:val="0"/>
          <w:spacing w:val="4"/>
          <w:sz w:val="32"/>
          <w:szCs w:val="32"/>
        </w:rPr>
        <w:t>五位一体</w:t>
      </w:r>
      <w:r>
        <w:rPr>
          <w:rFonts w:hint="eastAsia" w:ascii="Times New Roman" w:hAnsi="Times New Roman" w:eastAsia="方正仿宋_GBK" w:cs="Times New Roman"/>
          <w:b w:val="0"/>
          <w:bCs w:val="0"/>
          <w:spacing w:val="4"/>
          <w:sz w:val="32"/>
          <w:szCs w:val="32"/>
        </w:rPr>
        <w:t>”</w:t>
      </w:r>
      <w:r>
        <w:rPr>
          <w:rFonts w:ascii="Times New Roman" w:hAnsi="Times New Roman" w:eastAsia="方正仿宋_GBK" w:cs="Times New Roman"/>
          <w:b w:val="0"/>
          <w:bCs w:val="0"/>
          <w:spacing w:val="4"/>
          <w:sz w:val="32"/>
          <w:szCs w:val="32"/>
        </w:rPr>
        <w:t>总体布局，协调推进</w:t>
      </w:r>
      <w:r>
        <w:rPr>
          <w:rFonts w:hint="eastAsia" w:ascii="Times New Roman" w:hAnsi="Times New Roman" w:eastAsia="方正仿宋_GBK" w:cs="Times New Roman"/>
          <w:b w:val="0"/>
          <w:bCs w:val="0"/>
          <w:spacing w:val="4"/>
          <w:sz w:val="32"/>
          <w:szCs w:val="32"/>
        </w:rPr>
        <w:t>“</w:t>
      </w:r>
      <w:r>
        <w:rPr>
          <w:rFonts w:ascii="Times New Roman" w:hAnsi="Times New Roman" w:eastAsia="方正仿宋_GBK" w:cs="Times New Roman"/>
          <w:b w:val="0"/>
          <w:bCs w:val="0"/>
          <w:spacing w:val="4"/>
          <w:sz w:val="32"/>
          <w:szCs w:val="32"/>
        </w:rPr>
        <w:t>四个全面</w:t>
      </w:r>
      <w:r>
        <w:rPr>
          <w:rFonts w:hint="eastAsia" w:ascii="Times New Roman" w:hAnsi="Times New Roman" w:eastAsia="方正仿宋_GBK" w:cs="Times New Roman"/>
          <w:b w:val="0"/>
          <w:bCs w:val="0"/>
          <w:spacing w:val="4"/>
          <w:sz w:val="32"/>
          <w:szCs w:val="32"/>
        </w:rPr>
        <w:t>”</w:t>
      </w:r>
      <w:r>
        <w:rPr>
          <w:rFonts w:ascii="Times New Roman" w:hAnsi="Times New Roman" w:eastAsia="方正仿宋_GBK" w:cs="Times New Roman"/>
          <w:b w:val="0"/>
          <w:bCs w:val="0"/>
          <w:spacing w:val="4"/>
          <w:sz w:val="32"/>
          <w:szCs w:val="32"/>
        </w:rPr>
        <w:t>战略布局</w:t>
      </w:r>
      <w:r>
        <w:rPr>
          <w:rFonts w:ascii="Times New Roman" w:hAnsi="Times New Roman" w:eastAsia="方正仿宋_GBK" w:cs="Times New Roman"/>
          <w:b w:val="0"/>
          <w:bCs w:val="0"/>
          <w:sz w:val="32"/>
          <w:szCs w:val="32"/>
        </w:rPr>
        <w:t>，全面落实习近平总书记对重庆提出的营造良好政治生态，</w:t>
      </w:r>
      <w:r>
        <w:rPr>
          <w:rFonts w:ascii="Times New Roman" w:hAnsi="Times New Roman" w:eastAsia="方正仿宋_GBK" w:cs="Times New Roman"/>
          <w:b w:val="0"/>
          <w:bCs w:val="0"/>
          <w:spacing w:val="4"/>
          <w:sz w:val="32"/>
          <w:szCs w:val="32"/>
        </w:rPr>
        <w:t>坚持</w:t>
      </w:r>
      <w:r>
        <w:rPr>
          <w:rFonts w:hint="eastAsia" w:ascii="Times New Roman" w:hAnsi="Times New Roman" w:eastAsia="方正仿宋_GBK" w:cs="Times New Roman"/>
          <w:b w:val="0"/>
          <w:bCs w:val="0"/>
          <w:spacing w:val="4"/>
          <w:sz w:val="32"/>
          <w:szCs w:val="32"/>
        </w:rPr>
        <w:t>“</w:t>
      </w:r>
      <w:r>
        <w:rPr>
          <w:rFonts w:ascii="Times New Roman" w:hAnsi="Times New Roman" w:eastAsia="方正仿宋_GBK" w:cs="Times New Roman"/>
          <w:b w:val="0"/>
          <w:bCs w:val="0"/>
          <w:spacing w:val="4"/>
          <w:sz w:val="32"/>
          <w:szCs w:val="32"/>
        </w:rPr>
        <w:t>两点</w:t>
      </w:r>
      <w:r>
        <w:rPr>
          <w:rFonts w:hint="eastAsia" w:ascii="Times New Roman" w:hAnsi="Times New Roman" w:eastAsia="方正仿宋_GBK" w:cs="Times New Roman"/>
          <w:b w:val="0"/>
          <w:bCs w:val="0"/>
          <w:spacing w:val="4"/>
          <w:sz w:val="32"/>
          <w:szCs w:val="32"/>
        </w:rPr>
        <w:t>”</w:t>
      </w:r>
      <w:r>
        <w:rPr>
          <w:rFonts w:ascii="Times New Roman" w:hAnsi="Times New Roman" w:eastAsia="方正仿宋_GBK" w:cs="Times New Roman"/>
          <w:b w:val="0"/>
          <w:bCs w:val="0"/>
          <w:spacing w:val="4"/>
          <w:sz w:val="32"/>
          <w:szCs w:val="32"/>
        </w:rPr>
        <w:t>定位、</w:t>
      </w:r>
      <w:r>
        <w:rPr>
          <w:rFonts w:hint="eastAsia" w:ascii="Times New Roman" w:hAnsi="Times New Roman" w:eastAsia="方正仿宋_GBK" w:cs="Times New Roman"/>
          <w:b w:val="0"/>
          <w:bCs w:val="0"/>
          <w:spacing w:val="4"/>
          <w:sz w:val="32"/>
          <w:szCs w:val="32"/>
        </w:rPr>
        <w:t>“</w:t>
      </w:r>
      <w:r>
        <w:rPr>
          <w:rFonts w:ascii="Times New Roman" w:hAnsi="Times New Roman" w:eastAsia="方正仿宋_GBK" w:cs="Times New Roman"/>
          <w:b w:val="0"/>
          <w:bCs w:val="0"/>
          <w:spacing w:val="4"/>
          <w:sz w:val="32"/>
          <w:szCs w:val="32"/>
        </w:rPr>
        <w:t>两地</w:t>
      </w:r>
      <w:r>
        <w:rPr>
          <w:rFonts w:hint="eastAsia" w:ascii="Times New Roman" w:hAnsi="Times New Roman" w:eastAsia="方正仿宋_GBK" w:cs="Times New Roman"/>
          <w:b w:val="0"/>
          <w:bCs w:val="0"/>
          <w:spacing w:val="4"/>
          <w:sz w:val="32"/>
          <w:szCs w:val="32"/>
        </w:rPr>
        <w:t>”“</w:t>
      </w:r>
      <w:r>
        <w:rPr>
          <w:rFonts w:ascii="Times New Roman" w:hAnsi="Times New Roman" w:eastAsia="方正仿宋_GBK" w:cs="Times New Roman"/>
          <w:b w:val="0"/>
          <w:bCs w:val="0"/>
          <w:spacing w:val="4"/>
          <w:sz w:val="32"/>
          <w:szCs w:val="32"/>
        </w:rPr>
        <w:t>两高</w:t>
      </w:r>
      <w:r>
        <w:rPr>
          <w:rFonts w:hint="eastAsia" w:ascii="Times New Roman" w:hAnsi="Times New Roman" w:eastAsia="方正仿宋_GBK" w:cs="Times New Roman"/>
          <w:b w:val="0"/>
          <w:bCs w:val="0"/>
          <w:spacing w:val="4"/>
          <w:sz w:val="32"/>
          <w:szCs w:val="32"/>
        </w:rPr>
        <w:t>”</w:t>
      </w:r>
      <w:r>
        <w:rPr>
          <w:rFonts w:ascii="Times New Roman" w:hAnsi="Times New Roman" w:eastAsia="方正仿宋_GBK" w:cs="Times New Roman"/>
          <w:b w:val="0"/>
          <w:bCs w:val="0"/>
          <w:spacing w:val="4"/>
          <w:sz w:val="32"/>
          <w:szCs w:val="32"/>
        </w:rPr>
        <w:t>目标，发挥</w:t>
      </w:r>
      <w:r>
        <w:rPr>
          <w:rFonts w:hint="eastAsia" w:ascii="Times New Roman" w:hAnsi="Times New Roman" w:eastAsia="方正仿宋_GBK" w:cs="Times New Roman"/>
          <w:b w:val="0"/>
          <w:bCs w:val="0"/>
          <w:spacing w:val="4"/>
          <w:sz w:val="32"/>
          <w:szCs w:val="32"/>
        </w:rPr>
        <w:t>“</w:t>
      </w:r>
      <w:r>
        <w:rPr>
          <w:rFonts w:ascii="Times New Roman" w:hAnsi="Times New Roman" w:eastAsia="方正仿宋_GBK" w:cs="Times New Roman"/>
          <w:b w:val="0"/>
          <w:bCs w:val="0"/>
          <w:spacing w:val="4"/>
          <w:sz w:val="32"/>
          <w:szCs w:val="32"/>
        </w:rPr>
        <w:t>三个作用</w:t>
      </w:r>
      <w:r>
        <w:rPr>
          <w:rFonts w:hint="eastAsia" w:ascii="Times New Roman" w:hAnsi="Times New Roman" w:eastAsia="方正仿宋_GBK" w:cs="Times New Roman"/>
          <w:b w:val="0"/>
          <w:bCs w:val="0"/>
          <w:spacing w:val="4"/>
          <w:sz w:val="32"/>
          <w:szCs w:val="32"/>
        </w:rPr>
        <w:t>”</w:t>
      </w:r>
      <w:r>
        <w:rPr>
          <w:rFonts w:ascii="Times New Roman" w:hAnsi="Times New Roman" w:eastAsia="方正仿宋_GBK" w:cs="Times New Roman"/>
          <w:b w:val="0"/>
          <w:bCs w:val="0"/>
          <w:spacing w:val="4"/>
          <w:sz w:val="32"/>
          <w:szCs w:val="32"/>
        </w:rPr>
        <w:t>和推动成渝地区双城经济圈建设等重要指示要求</w:t>
      </w:r>
      <w:r>
        <w:rPr>
          <w:rFonts w:ascii="Times New Roman" w:hAnsi="Times New Roman" w:eastAsia="方正仿宋_GBK" w:cs="Times New Roman"/>
          <w:b w:val="0"/>
          <w:bCs w:val="0"/>
          <w:sz w:val="32"/>
          <w:szCs w:val="32"/>
        </w:rPr>
        <w:t>，准确把握新发展阶段，完整、准确、全面贯彻新发展理念，积极融入新发展格局</w:t>
      </w:r>
      <w:r>
        <w:rPr>
          <w:rFonts w:ascii="Times New Roman" w:hAnsi="Times New Roman" w:eastAsia="方正仿宋_GBK" w:cs="Times New Roman"/>
          <w:b w:val="0"/>
          <w:bCs w:val="0"/>
          <w:spacing w:val="4"/>
          <w:sz w:val="32"/>
          <w:szCs w:val="32"/>
        </w:rPr>
        <w:t>，切实担当新发展使命，</w:t>
      </w:r>
      <w:r>
        <w:rPr>
          <w:rFonts w:ascii="Times New Roman" w:hAnsi="Times New Roman" w:eastAsia="方正仿宋_GBK" w:cs="Times New Roman"/>
          <w:b w:val="0"/>
          <w:bCs w:val="0"/>
          <w:sz w:val="32"/>
          <w:szCs w:val="32"/>
        </w:rPr>
        <w:t>从全局谋划一域、以一域服务全局，</w:t>
      </w:r>
      <w:r>
        <w:rPr>
          <w:rFonts w:ascii="Times New Roman" w:hAnsi="Times New Roman" w:eastAsia="方正仿宋_GBK" w:cs="Times New Roman"/>
          <w:b w:val="0"/>
          <w:bCs w:val="0"/>
          <w:spacing w:val="4"/>
          <w:sz w:val="32"/>
          <w:szCs w:val="32"/>
        </w:rPr>
        <w:t>全面推动</w:t>
      </w:r>
      <w:r>
        <w:rPr>
          <w:rFonts w:hint="eastAsia" w:ascii="Times New Roman" w:hAnsi="Times New Roman" w:eastAsia="方正仿宋_GBK" w:cs="Times New Roman"/>
          <w:b w:val="0"/>
          <w:bCs w:val="0"/>
          <w:spacing w:val="4"/>
          <w:sz w:val="32"/>
          <w:szCs w:val="32"/>
        </w:rPr>
        <w:t>“</w:t>
      </w:r>
      <w:r>
        <w:rPr>
          <w:rFonts w:ascii="Times New Roman" w:hAnsi="Times New Roman" w:eastAsia="方正仿宋_GBK" w:cs="Times New Roman"/>
          <w:b w:val="0"/>
          <w:bCs w:val="0"/>
          <w:spacing w:val="4"/>
          <w:sz w:val="32"/>
          <w:szCs w:val="32"/>
        </w:rPr>
        <w:t>一区两群</w:t>
      </w:r>
      <w:r>
        <w:rPr>
          <w:rFonts w:hint="eastAsia" w:ascii="Times New Roman" w:hAnsi="Times New Roman" w:eastAsia="方正仿宋_GBK" w:cs="Times New Roman"/>
          <w:b w:val="0"/>
          <w:bCs w:val="0"/>
          <w:spacing w:val="4"/>
          <w:sz w:val="32"/>
          <w:szCs w:val="32"/>
        </w:rPr>
        <w:t>”</w:t>
      </w:r>
      <w:r>
        <w:rPr>
          <w:rFonts w:ascii="Times New Roman" w:hAnsi="Times New Roman" w:eastAsia="方正仿宋_GBK" w:cs="Times New Roman"/>
          <w:b w:val="0"/>
          <w:bCs w:val="0"/>
          <w:spacing w:val="4"/>
          <w:sz w:val="32"/>
          <w:szCs w:val="32"/>
        </w:rPr>
        <w:t>协调发展和万开云同城化</w:t>
      </w:r>
      <w:r>
        <w:rPr>
          <w:rFonts w:ascii="Times New Roman" w:hAnsi="Times New Roman" w:eastAsia="方正仿宋_GBK" w:cs="Times New Roman"/>
          <w:b w:val="0"/>
          <w:bCs w:val="0"/>
          <w:sz w:val="32"/>
          <w:szCs w:val="32"/>
        </w:rPr>
        <w:t>，</w:t>
      </w:r>
      <w:r>
        <w:rPr>
          <w:rFonts w:ascii="Times New Roman" w:hAnsi="Times New Roman" w:eastAsia="方正仿宋_GBK" w:cs="Times New Roman"/>
          <w:b w:val="0"/>
          <w:bCs w:val="0"/>
          <w:spacing w:val="4"/>
          <w:sz w:val="32"/>
          <w:szCs w:val="32"/>
        </w:rPr>
        <w:t>发挥云阳在成渝地区双城经济圈中的</w:t>
      </w:r>
      <w:r>
        <w:rPr>
          <w:rFonts w:hint="eastAsia" w:ascii="Times New Roman" w:hAnsi="Times New Roman" w:eastAsia="方正仿宋_GBK" w:cs="Times New Roman"/>
          <w:b w:val="0"/>
          <w:bCs w:val="0"/>
          <w:spacing w:val="4"/>
          <w:sz w:val="32"/>
          <w:szCs w:val="32"/>
        </w:rPr>
        <w:t>“</w:t>
      </w:r>
      <w:r>
        <w:rPr>
          <w:rFonts w:ascii="Times New Roman" w:hAnsi="Times New Roman" w:eastAsia="方正仿宋_GBK" w:cs="Times New Roman"/>
          <w:b w:val="0"/>
          <w:bCs w:val="0"/>
          <w:spacing w:val="4"/>
          <w:sz w:val="32"/>
          <w:szCs w:val="32"/>
        </w:rPr>
        <w:t>节点作用</w:t>
      </w:r>
      <w:r>
        <w:rPr>
          <w:rFonts w:hint="eastAsia" w:ascii="Times New Roman" w:hAnsi="Times New Roman" w:eastAsia="方正仿宋_GBK" w:cs="Times New Roman"/>
          <w:b w:val="0"/>
          <w:bCs w:val="0"/>
          <w:spacing w:val="4"/>
          <w:sz w:val="32"/>
          <w:szCs w:val="32"/>
        </w:rPr>
        <w:t>”</w:t>
      </w:r>
      <w:r>
        <w:rPr>
          <w:rFonts w:ascii="Times New Roman" w:hAnsi="Times New Roman" w:eastAsia="方正仿宋_GBK" w:cs="Times New Roman"/>
          <w:b w:val="0"/>
          <w:bCs w:val="0"/>
          <w:spacing w:val="4"/>
          <w:sz w:val="32"/>
          <w:szCs w:val="32"/>
        </w:rPr>
        <w:t>，坚持</w:t>
      </w:r>
      <w:r>
        <w:rPr>
          <w:rFonts w:hint="eastAsia" w:ascii="Times New Roman" w:hAnsi="Times New Roman" w:eastAsia="方正仿宋_GBK" w:cs="Times New Roman"/>
          <w:b w:val="0"/>
          <w:bCs w:val="0"/>
          <w:spacing w:val="4"/>
          <w:sz w:val="32"/>
          <w:szCs w:val="32"/>
        </w:rPr>
        <w:t>“</w:t>
      </w:r>
      <w:r>
        <w:rPr>
          <w:rFonts w:ascii="Times New Roman" w:hAnsi="Times New Roman" w:eastAsia="方正仿宋_GBK" w:cs="Times New Roman"/>
          <w:b w:val="0"/>
          <w:bCs w:val="0"/>
          <w:spacing w:val="4"/>
          <w:sz w:val="32"/>
          <w:szCs w:val="32"/>
        </w:rPr>
        <w:t>四化路径</w:t>
      </w:r>
      <w:r>
        <w:rPr>
          <w:rFonts w:hint="eastAsia" w:ascii="Times New Roman" w:hAnsi="Times New Roman" w:eastAsia="方正仿宋_GBK" w:cs="Times New Roman"/>
          <w:b w:val="0"/>
          <w:bCs w:val="0"/>
          <w:spacing w:val="4"/>
          <w:sz w:val="32"/>
          <w:szCs w:val="32"/>
        </w:rPr>
        <w:t>”</w:t>
      </w:r>
      <w:r>
        <w:rPr>
          <w:rFonts w:ascii="Times New Roman" w:hAnsi="Times New Roman" w:eastAsia="方正仿宋_GBK" w:cs="Times New Roman"/>
          <w:b w:val="0"/>
          <w:bCs w:val="0"/>
          <w:spacing w:val="4"/>
          <w:sz w:val="32"/>
          <w:szCs w:val="32"/>
        </w:rPr>
        <w:t>，实施</w:t>
      </w:r>
      <w:r>
        <w:rPr>
          <w:rFonts w:hint="eastAsia" w:ascii="Times New Roman" w:hAnsi="Times New Roman" w:eastAsia="方正仿宋_GBK" w:cs="Times New Roman"/>
          <w:b w:val="0"/>
          <w:bCs w:val="0"/>
          <w:spacing w:val="4"/>
          <w:sz w:val="32"/>
          <w:szCs w:val="32"/>
        </w:rPr>
        <w:t>“</w:t>
      </w:r>
      <w:r>
        <w:rPr>
          <w:rFonts w:ascii="Times New Roman" w:hAnsi="Times New Roman" w:eastAsia="方正仿宋_GBK" w:cs="Times New Roman"/>
          <w:b w:val="0"/>
          <w:bCs w:val="0"/>
          <w:spacing w:val="4"/>
          <w:sz w:val="32"/>
          <w:szCs w:val="32"/>
        </w:rPr>
        <w:t>双100双1000</w:t>
      </w:r>
      <w:r>
        <w:rPr>
          <w:rFonts w:hint="eastAsia" w:ascii="Times New Roman" w:hAnsi="Times New Roman" w:eastAsia="方正仿宋_GBK" w:cs="Times New Roman"/>
          <w:b w:val="0"/>
          <w:bCs w:val="0"/>
          <w:spacing w:val="4"/>
          <w:sz w:val="32"/>
          <w:szCs w:val="32"/>
        </w:rPr>
        <w:t>”</w:t>
      </w:r>
      <w:r>
        <w:rPr>
          <w:rFonts w:ascii="Times New Roman" w:hAnsi="Times New Roman" w:eastAsia="方正仿宋_GBK" w:cs="Times New Roman"/>
          <w:b w:val="0"/>
          <w:bCs w:val="0"/>
          <w:spacing w:val="4"/>
          <w:sz w:val="32"/>
          <w:szCs w:val="32"/>
        </w:rPr>
        <w:t>战略，实现</w:t>
      </w:r>
      <w:r>
        <w:rPr>
          <w:rFonts w:hint="eastAsia" w:ascii="Times New Roman" w:hAnsi="Times New Roman" w:eastAsia="方正仿宋_GBK" w:cs="Times New Roman"/>
          <w:b w:val="0"/>
          <w:bCs w:val="0"/>
          <w:spacing w:val="4"/>
          <w:sz w:val="32"/>
          <w:szCs w:val="32"/>
        </w:rPr>
        <w:t>“</w:t>
      </w:r>
      <w:r>
        <w:rPr>
          <w:rFonts w:ascii="Times New Roman" w:hAnsi="Times New Roman" w:eastAsia="方正仿宋_GBK" w:cs="Times New Roman"/>
          <w:b w:val="0"/>
          <w:bCs w:val="0"/>
          <w:spacing w:val="4"/>
          <w:sz w:val="32"/>
          <w:szCs w:val="32"/>
        </w:rPr>
        <w:t>五地一支撑</w:t>
      </w:r>
      <w:r>
        <w:rPr>
          <w:rFonts w:hint="eastAsia" w:ascii="Times New Roman" w:hAnsi="Times New Roman" w:eastAsia="方正仿宋_GBK" w:cs="Times New Roman"/>
          <w:b w:val="0"/>
          <w:bCs w:val="0"/>
          <w:spacing w:val="4"/>
          <w:sz w:val="32"/>
          <w:szCs w:val="32"/>
        </w:rPr>
        <w:t>”</w:t>
      </w:r>
      <w:r>
        <w:rPr>
          <w:rFonts w:ascii="Times New Roman" w:hAnsi="Times New Roman" w:eastAsia="方正仿宋_GBK" w:cs="Times New Roman"/>
          <w:b w:val="0"/>
          <w:bCs w:val="0"/>
          <w:spacing w:val="4"/>
          <w:sz w:val="32"/>
          <w:szCs w:val="32"/>
        </w:rPr>
        <w:t>目标。</w:t>
      </w:r>
      <w:r>
        <w:rPr>
          <w:rFonts w:ascii="Times New Roman" w:hAnsi="Times New Roman" w:eastAsia="方正仿宋_GBK" w:cs="Times New Roman"/>
          <w:b w:val="0"/>
          <w:bCs w:val="0"/>
          <w:sz w:val="32"/>
          <w:szCs w:val="32"/>
        </w:rPr>
        <w:t>坚持以人民健康为中心，优化卫生健康资源配置，创新体制机制，提升服务能力，确保</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十四五</w:t>
      </w:r>
      <w:r>
        <w:rPr>
          <w:rFonts w:hint="eastAsia" w:ascii="Times New Roman" w:hAnsi="Times New Roman" w:eastAsia="方正仿宋_GBK" w:cs="Times New Roman"/>
          <w:b w:val="0"/>
          <w:bCs w:val="0"/>
          <w:spacing w:val="4"/>
          <w:sz w:val="32"/>
          <w:szCs w:val="32"/>
        </w:rPr>
        <w:t>”</w:t>
      </w:r>
      <w:r>
        <w:rPr>
          <w:rFonts w:ascii="Times New Roman" w:hAnsi="Times New Roman" w:eastAsia="方正仿宋_GBK" w:cs="Times New Roman"/>
          <w:b w:val="0"/>
          <w:bCs w:val="0"/>
          <w:sz w:val="32"/>
          <w:szCs w:val="32"/>
        </w:rPr>
        <w:t>期间构建起与经济社会发展相适应的卫生健康服务体系，深入实施健康中国战略重庆实践云阳行动，以全方位全周期维护和保障人民健康为主体，以改革创新为动力，推进全县卫生健康事业高质量发展，为全县社会主义现代化建设奠定良好的健康基础。</w:t>
      </w:r>
    </w:p>
    <w:p w14:paraId="47CFAA8B">
      <w:pPr>
        <w:keepNext/>
        <w:keepLines/>
        <w:widowControl w:val="0"/>
        <w:spacing w:before="0" w:after="0" w:line="578" w:lineRule="exact"/>
        <w:ind w:firstLine="640" w:firstLineChars="200"/>
        <w:jc w:val="both"/>
        <w:outlineLvl w:val="1"/>
        <w:rPr>
          <w:rFonts w:ascii="Times New Roman" w:hAnsi="Times New Roman" w:eastAsia="方正楷体_GBK" w:cs="方正楷体_GBK"/>
          <w:b w:val="0"/>
          <w:bCs w:val="0"/>
          <w:kern w:val="2"/>
          <w:sz w:val="32"/>
          <w:szCs w:val="32"/>
          <w:lang w:val="en-US" w:eastAsia="zh-CN" w:bidi="ar-SA"/>
        </w:rPr>
      </w:pPr>
      <w:bookmarkStart w:id="22" w:name="_Toc5793_WPSOffice_Level2"/>
      <w:bookmarkStart w:id="23" w:name="_Toc25723"/>
      <w:r>
        <w:rPr>
          <w:rFonts w:hint="eastAsia" w:ascii="Times New Roman" w:hAnsi="Times New Roman" w:eastAsia="方正楷体_GBK" w:cs="方正楷体_GBK"/>
          <w:b w:val="0"/>
          <w:bCs w:val="0"/>
          <w:kern w:val="2"/>
          <w:sz w:val="32"/>
          <w:szCs w:val="32"/>
          <w:lang w:val="en-US" w:eastAsia="zh-CN" w:bidi="ar-SA"/>
        </w:rPr>
        <w:t>（二）基本原则</w:t>
      </w:r>
      <w:bookmarkEnd w:id="22"/>
      <w:bookmarkEnd w:id="23"/>
    </w:p>
    <w:p w14:paraId="11FEE3AD">
      <w:pPr>
        <w:spacing w:line="578" w:lineRule="exact"/>
        <w:ind w:firstLine="640" w:firstLineChars="200"/>
        <w:rPr>
          <w:rFonts w:ascii="Times New Roman" w:hAnsi="Times New Roman" w:eastAsia="方正仿宋_GBK" w:cs="Times New Roman"/>
          <w:b w:val="0"/>
          <w:bCs w:val="0"/>
          <w:sz w:val="32"/>
          <w:szCs w:val="32"/>
        </w:rPr>
      </w:pPr>
      <w:r>
        <w:rPr>
          <w:rFonts w:ascii="Times New Roman" w:hAnsi="Times New Roman" w:eastAsia="方正仿宋_GBK" w:cs="Times New Roman"/>
          <w:b w:val="0"/>
          <w:bCs w:val="0"/>
          <w:sz w:val="32"/>
          <w:szCs w:val="32"/>
        </w:rPr>
        <w:t>坚持党的领导，统筹发展。坚持和完善党领导卫生健康优先发展的体制机制，更好发挥党总揽全局、协调各方的作用，把党的领导落实到卫生健康改革发展的各领域各方面各环节，强化提高人民健康水平的制度保障，服务全县经济社会发展大局。</w:t>
      </w:r>
    </w:p>
    <w:p w14:paraId="3BCA38B7">
      <w:pPr>
        <w:spacing w:line="578" w:lineRule="exact"/>
        <w:ind w:firstLine="640" w:firstLineChars="200"/>
        <w:rPr>
          <w:rFonts w:ascii="Times New Roman" w:hAnsi="Times New Roman" w:eastAsia="方正仿宋_GBK" w:cs="Times New Roman"/>
          <w:b w:val="0"/>
          <w:bCs w:val="0"/>
          <w:sz w:val="32"/>
          <w:szCs w:val="32"/>
        </w:rPr>
      </w:pPr>
      <w:r>
        <w:rPr>
          <w:rFonts w:ascii="Times New Roman" w:hAnsi="Times New Roman" w:eastAsia="方正仿宋_GBK" w:cs="Times New Roman"/>
          <w:b w:val="0"/>
          <w:bCs w:val="0"/>
          <w:sz w:val="32"/>
          <w:szCs w:val="32"/>
        </w:rPr>
        <w:t>坚持健康优先，共享发展。紧紧围绕健康中国云阳行动，积极推动医疗机构由治病为中心向健康为中心的转变，将健康发展的理念融入所有政策，加快构建保障人民健康优先发展的制度体系，推动形成有利于健康的生活方式、生产方式、经济社会发展模式和治理方式，实现健康与经济社会协调发展。坚持人民主体地位，创新社会动员机制，建立政府、社会、个人共同行动的体制机制，形成共建共治共享格局。</w:t>
      </w:r>
    </w:p>
    <w:p w14:paraId="16FD71E8">
      <w:pPr>
        <w:spacing w:line="578" w:lineRule="exact"/>
        <w:ind w:firstLine="640" w:firstLineChars="200"/>
        <w:rPr>
          <w:rFonts w:ascii="Times New Roman" w:hAnsi="Times New Roman" w:eastAsia="方正仿宋_GBK" w:cs="Times New Roman"/>
          <w:b w:val="0"/>
          <w:bCs w:val="0"/>
          <w:sz w:val="32"/>
          <w:szCs w:val="32"/>
        </w:rPr>
      </w:pPr>
      <w:r>
        <w:rPr>
          <w:rFonts w:ascii="Times New Roman" w:hAnsi="Times New Roman" w:eastAsia="方正仿宋_GBK" w:cs="Times New Roman"/>
          <w:b w:val="0"/>
          <w:bCs w:val="0"/>
          <w:sz w:val="32"/>
          <w:szCs w:val="32"/>
        </w:rPr>
        <w:t>坚持深化改革，创新发展。加快卫生健康系统集成改革，破除重点领域关键环节体制机制障碍，维护基本医疗卫生事业公益性。全面推进卫生健康理论创新、制度创新、体系创新、模式创新、管理创新，提高面向人民生命健康的科技创新能力，提高精细化管理水平，实现质量变革、效率变革、动力变革。</w:t>
      </w:r>
    </w:p>
    <w:p w14:paraId="3AEFBCBA">
      <w:pPr>
        <w:spacing w:line="578" w:lineRule="exact"/>
        <w:ind w:firstLine="640" w:firstLineChars="200"/>
        <w:rPr>
          <w:rFonts w:ascii="Times New Roman" w:hAnsi="Times New Roman" w:eastAsia="方正仿宋_GBK" w:cs="Times New Roman"/>
          <w:b w:val="0"/>
          <w:bCs w:val="0"/>
          <w:sz w:val="32"/>
          <w:szCs w:val="32"/>
        </w:rPr>
      </w:pPr>
      <w:r>
        <w:rPr>
          <w:rFonts w:ascii="Times New Roman" w:hAnsi="Times New Roman" w:eastAsia="方正仿宋_GBK" w:cs="Times New Roman"/>
          <w:b w:val="0"/>
          <w:bCs w:val="0"/>
          <w:sz w:val="32"/>
          <w:szCs w:val="32"/>
        </w:rPr>
        <w:t>坚持统筹兼顾，系统发展。着力抓重点、堵漏洞、补短板、强弱项，坚持立足当前与谋划长远相结合，深入分析全县卫生健康事业发展现状，针对具体情况因地制宜，科学制定卫生健康事业发展的目标任务。结合云阳卫生健康功能和发展定位，统筹考虑城乡、区域、产业、公私间的协调发展；统筹兼顾做好近中远期的目标衔接，注重以解决长远问题的办法来应对当前挑战。深入对接、紧密合作，共同推进、共谋发展，完善协作机制，强化政策协同。</w:t>
      </w:r>
    </w:p>
    <w:p w14:paraId="06F8256B">
      <w:pPr>
        <w:spacing w:line="578" w:lineRule="exact"/>
        <w:ind w:firstLine="640" w:firstLineChars="200"/>
        <w:rPr>
          <w:rFonts w:ascii="Times New Roman" w:hAnsi="Times New Roman" w:eastAsia="方正仿宋_GBK" w:cs="Times New Roman"/>
          <w:b w:val="0"/>
          <w:bCs w:val="0"/>
          <w:sz w:val="32"/>
          <w:szCs w:val="32"/>
        </w:rPr>
      </w:pPr>
      <w:r>
        <w:rPr>
          <w:rFonts w:ascii="Times New Roman" w:hAnsi="Times New Roman" w:eastAsia="方正仿宋_GBK" w:cs="Times New Roman"/>
          <w:b w:val="0"/>
          <w:bCs w:val="0"/>
          <w:sz w:val="32"/>
          <w:szCs w:val="32"/>
        </w:rPr>
        <w:t>坚持优质均衡，内涵发展。坚持高质量发展，推动优质高效医疗卫生服务体系建设，推动防治结合公共卫生服务体系建设，提高医疗卫生服务质量与水平，提升公立医院高质量发展新效能，激活公立医院高质量发展新动力，把促进均衡发展作为重中之重，加快优质医疗卫生资源扩容，提升基本医疗卫生服务均等化和同质化水平，缩小城乡、区域、人群之间资源配置、服务水平和健康结果差异，促进健康公平。</w:t>
      </w:r>
    </w:p>
    <w:p w14:paraId="71DA6D1D">
      <w:pPr>
        <w:keepNext/>
        <w:keepLines/>
        <w:widowControl w:val="0"/>
        <w:spacing w:before="0" w:after="0" w:line="578" w:lineRule="exact"/>
        <w:ind w:firstLine="640" w:firstLineChars="200"/>
        <w:jc w:val="both"/>
        <w:outlineLvl w:val="1"/>
        <w:rPr>
          <w:rFonts w:ascii="Times New Roman" w:hAnsi="Times New Roman" w:eastAsia="方正楷体_GBK" w:cs="方正楷体_GBK"/>
          <w:b w:val="0"/>
          <w:bCs w:val="0"/>
          <w:kern w:val="2"/>
          <w:sz w:val="32"/>
          <w:szCs w:val="32"/>
          <w:lang w:val="en-US" w:eastAsia="zh-CN" w:bidi="ar-SA"/>
        </w:rPr>
      </w:pPr>
      <w:bookmarkStart w:id="24" w:name="_Toc9998"/>
      <w:bookmarkStart w:id="25" w:name="_Toc3770_WPSOffice_Level2"/>
      <w:r>
        <w:rPr>
          <w:rFonts w:hint="eastAsia" w:ascii="Times New Roman" w:hAnsi="Times New Roman" w:eastAsia="方正楷体_GBK" w:cs="方正楷体_GBK"/>
          <w:b w:val="0"/>
          <w:bCs w:val="0"/>
          <w:kern w:val="2"/>
          <w:sz w:val="32"/>
          <w:szCs w:val="32"/>
          <w:lang w:val="en-US" w:eastAsia="zh-CN" w:bidi="ar-SA"/>
        </w:rPr>
        <w:t>（三）发展目标</w:t>
      </w:r>
      <w:bookmarkEnd w:id="24"/>
      <w:bookmarkEnd w:id="25"/>
    </w:p>
    <w:p w14:paraId="6C91EF76">
      <w:pPr>
        <w:spacing w:line="578" w:lineRule="exact"/>
        <w:ind w:firstLine="640" w:firstLineChars="200"/>
        <w:rPr>
          <w:rFonts w:ascii="Times New Roman" w:hAnsi="Times New Roman" w:eastAsia="方正仿宋_GBK" w:cs="Times New Roman"/>
          <w:b w:val="0"/>
          <w:bCs w:val="0"/>
          <w:color w:val="FF0000"/>
          <w:sz w:val="32"/>
          <w:szCs w:val="32"/>
          <w:u w:val="single"/>
        </w:rPr>
      </w:pPr>
      <w:r>
        <w:rPr>
          <w:rFonts w:ascii="Times New Roman" w:hAnsi="Times New Roman" w:eastAsia="方正仿宋_GBK" w:cs="Times New Roman"/>
          <w:b w:val="0"/>
          <w:bCs w:val="0"/>
          <w:sz w:val="32"/>
          <w:szCs w:val="32"/>
        </w:rPr>
        <w:t>围绕</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一心两极三片</w:t>
      </w:r>
      <w:r>
        <w:rPr>
          <w:rFonts w:hint="eastAsia" w:ascii="Times New Roman" w:hAnsi="Times New Roman" w:eastAsia="方正仿宋_GBK" w:cs="Times New Roman"/>
          <w:b w:val="0"/>
          <w:bCs w:val="0"/>
          <w:spacing w:val="4"/>
          <w:sz w:val="32"/>
          <w:szCs w:val="32"/>
        </w:rPr>
        <w:t>”</w:t>
      </w:r>
      <w:r>
        <w:rPr>
          <w:rFonts w:ascii="Times New Roman" w:hAnsi="Times New Roman" w:eastAsia="方正仿宋_GBK" w:cs="Times New Roman"/>
          <w:b w:val="0"/>
          <w:bCs w:val="0"/>
          <w:sz w:val="32"/>
          <w:szCs w:val="32"/>
        </w:rPr>
        <w:t>的空间规划构建医疗卫生总体布局，深入实施学科发展战略，持续推进医疗资源结构扩容布局调整，完成县人民医院三级甲等综合医院创建，提升县中医院全国</w:t>
      </w:r>
      <w:r>
        <w:rPr>
          <w:rFonts w:hint="eastAsia" w:ascii="Times New Roman" w:hAnsi="Times New Roman" w:eastAsia="方正仿宋_GBK" w:cs="Times New Roman"/>
          <w:b w:val="0"/>
          <w:bCs w:val="0"/>
          <w:spacing w:val="4"/>
          <w:sz w:val="32"/>
          <w:szCs w:val="32"/>
        </w:rPr>
        <w:t>“</w:t>
      </w:r>
      <w:r>
        <w:rPr>
          <w:rFonts w:ascii="Times New Roman" w:hAnsi="Times New Roman" w:eastAsia="方正仿宋_GBK" w:cs="Times New Roman"/>
          <w:b w:val="0"/>
          <w:bCs w:val="0"/>
          <w:sz w:val="32"/>
          <w:szCs w:val="32"/>
        </w:rPr>
        <w:t>三甲</w:t>
      </w:r>
      <w:r>
        <w:rPr>
          <w:rFonts w:hint="eastAsia" w:ascii="Times New Roman" w:hAnsi="Times New Roman" w:eastAsia="方正仿宋_GBK" w:cs="Times New Roman"/>
          <w:b w:val="0"/>
          <w:bCs w:val="0"/>
          <w:spacing w:val="4"/>
          <w:sz w:val="32"/>
          <w:szCs w:val="32"/>
        </w:rPr>
        <w:t>”</w:t>
      </w:r>
      <w:r>
        <w:rPr>
          <w:rFonts w:ascii="Times New Roman" w:hAnsi="Times New Roman" w:eastAsia="方正仿宋_GBK" w:cs="Times New Roman"/>
          <w:b w:val="0"/>
          <w:bCs w:val="0"/>
          <w:sz w:val="32"/>
          <w:szCs w:val="32"/>
        </w:rPr>
        <w:t>医院绩效评价排名，推进县妇女儿童医院三级医院创建，重点构建</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层次分明</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的基层医疗卫生新格局，深入推进医共体建设试点，创新构建医防融合新机制，不断推进投入保障、管理体制、运行机制改革创新，打造基层医疗卫生健康服务样板，推动卫生健康事业实现高质量发展。到2025年，建立起覆盖城乡、功能完善、辐射渝东北的卫生健康服务体系，基本形成以县级医院为引领，基层医疗卫生服务示范中心为带动，片区乡镇卫生院协同发展的布局体系，实现医疗服务体系标准化、基本公共卫生服务均等化、医疗服务规范化、运行机制融合化、管理手段信息化，全县公共卫生服务排名、优势学科建设、慢病管理、医养结合达到全市领先水平，医防融合成为全市标杆，主要健康指标优于全市平均水平，基本建成渝东北医疗卫生高地，成为三峡城市卫生健康核心区的重要支点。</w:t>
      </w:r>
    </w:p>
    <w:p w14:paraId="10F8579B">
      <w:pPr>
        <w:spacing w:line="578" w:lineRule="exact"/>
        <w:ind w:firstLine="640" w:firstLineChars="200"/>
        <w:rPr>
          <w:rFonts w:ascii="Times New Roman" w:hAnsi="Times New Roman" w:eastAsia="方正仿宋_GBK" w:cs="Times New Roman"/>
          <w:b w:val="0"/>
          <w:bCs w:val="0"/>
          <w:sz w:val="32"/>
          <w:szCs w:val="32"/>
        </w:rPr>
      </w:pPr>
      <w:r>
        <w:rPr>
          <w:rFonts w:ascii="Times New Roman" w:hAnsi="Times New Roman" w:eastAsia="方正仿宋_GBK" w:cs="Times New Roman"/>
          <w:b w:val="0"/>
          <w:bCs w:val="0"/>
          <w:sz w:val="32"/>
          <w:szCs w:val="32"/>
        </w:rPr>
        <w:t>——让健康水平更高。居民身体素质明显增强，人均预期寿命逐步提高，重大慢性病发病率有效遏制，居民健康素养水平稳步提升，城乡居民基本养成健康生活方式，全民健身活动广泛开展，健康自我管理意识明显增强。</w:t>
      </w:r>
    </w:p>
    <w:p w14:paraId="68E071D1">
      <w:pPr>
        <w:spacing w:line="578" w:lineRule="exact"/>
        <w:ind w:firstLine="640" w:firstLineChars="200"/>
        <w:rPr>
          <w:rFonts w:ascii="Times New Roman" w:hAnsi="Times New Roman" w:eastAsia="方正仿宋_GBK" w:cs="Times New Roman"/>
          <w:b w:val="0"/>
          <w:bCs w:val="0"/>
          <w:sz w:val="32"/>
          <w:szCs w:val="32"/>
        </w:rPr>
      </w:pPr>
      <w:r>
        <w:rPr>
          <w:rFonts w:ascii="Times New Roman" w:hAnsi="Times New Roman" w:eastAsia="方正仿宋_GBK" w:cs="Times New Roman"/>
          <w:b w:val="0"/>
          <w:bCs w:val="0"/>
          <w:sz w:val="32"/>
          <w:szCs w:val="32"/>
        </w:rPr>
        <w:t>——让资源配置更优。做强县级医疗机构，重点提升医疗服务能力，实现</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大病不出县</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；做优基层卫生院，重点加强基层医疗卫生服务示范中心建设，实现</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常见病不出乡</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；做实村卫生室，重点实施星级评定，实现</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小病不出村</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。充分发挥节点带动效应，医疗资源配置更加高效，系统发展更具活力。</w:t>
      </w:r>
    </w:p>
    <w:p w14:paraId="70CCCCBE">
      <w:pPr>
        <w:spacing w:line="578" w:lineRule="exact"/>
        <w:ind w:firstLine="640" w:firstLineChars="200"/>
        <w:rPr>
          <w:rFonts w:ascii="Times New Roman" w:hAnsi="Times New Roman" w:eastAsia="方正仿宋_GBK" w:cs="Times New Roman"/>
          <w:b w:val="0"/>
          <w:bCs w:val="0"/>
          <w:sz w:val="32"/>
          <w:szCs w:val="32"/>
        </w:rPr>
      </w:pPr>
      <w:r>
        <w:rPr>
          <w:rFonts w:ascii="Times New Roman" w:hAnsi="Times New Roman" w:eastAsia="方正仿宋_GBK" w:cs="Times New Roman"/>
          <w:b w:val="0"/>
          <w:bCs w:val="0"/>
          <w:sz w:val="32"/>
          <w:szCs w:val="32"/>
        </w:rPr>
        <w:t>——让服务能力更强。以创建活动为载体，提高医疗卫生服务品质。完成县人民医院</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三甲</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创建，巩固提升县中医院</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三甲</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成果，推进县妇女儿童医院</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三级</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创建，县级公立医院全部达到</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智慧医院</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美丽医院</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标准。公立医院区域重点疾病诊疗能力不断提高，医疗服务能力、专科水平、整体竞争力以及对万州、开州、巫溪、奉节等周边地区医疗辐射能力不断提高。</w:t>
      </w:r>
    </w:p>
    <w:p w14:paraId="5C073C76">
      <w:pPr>
        <w:widowControl w:val="0"/>
        <w:spacing w:after="120" w:line="578" w:lineRule="exact"/>
        <w:ind w:firstLine="640" w:firstLineChars="200"/>
        <w:jc w:val="both"/>
        <w:rPr>
          <w:rFonts w:ascii="Times New Roman" w:hAnsi="Times New Roman" w:eastAsia="方正仿宋_GBK" w:cs="Times New Roman"/>
          <w:b w:val="0"/>
          <w:bCs w:val="0"/>
          <w:kern w:val="2"/>
          <w:sz w:val="32"/>
          <w:szCs w:val="32"/>
          <w:lang w:val="en-US" w:eastAsia="zh-CN" w:bidi="ar-SA"/>
        </w:rPr>
      </w:pPr>
      <w:r>
        <w:rPr>
          <w:rFonts w:ascii="Times New Roman" w:hAnsi="Times New Roman" w:eastAsia="方正仿宋_GBK" w:cs="Times New Roman"/>
          <w:b w:val="0"/>
          <w:bCs w:val="0"/>
          <w:kern w:val="2"/>
          <w:sz w:val="32"/>
          <w:szCs w:val="32"/>
          <w:lang w:val="en-US" w:eastAsia="zh-CN" w:bidi="ar-SA"/>
        </w:rPr>
        <w:t>——让学科优势更显。立足万开云同城化发展，综合分析三地重点学科优势，扬长避短，错位发展。巩固发展心内、急诊急救、中医、中药等优势学科，重点发展肿瘤、骨科、妇科、儿科、慢病管理等潜力学科，打造布局合理、特色突出、优势明显的临床学科群。</w:t>
      </w:r>
    </w:p>
    <w:p w14:paraId="497072E5">
      <w:pPr>
        <w:spacing w:line="578" w:lineRule="exact"/>
        <w:ind w:firstLine="640" w:firstLineChars="200"/>
        <w:rPr>
          <w:rFonts w:ascii="Times New Roman" w:hAnsi="Times New Roman" w:cs="Times New Roman"/>
          <w:b w:val="0"/>
          <w:bCs w:val="0"/>
        </w:rPr>
      </w:pPr>
      <w:r>
        <w:rPr>
          <w:rFonts w:ascii="Times New Roman" w:hAnsi="Times New Roman" w:eastAsia="方正仿宋_GBK" w:cs="Times New Roman"/>
          <w:b w:val="0"/>
          <w:bCs w:val="0"/>
          <w:sz w:val="32"/>
          <w:szCs w:val="32"/>
        </w:rPr>
        <w:t>——让医改成效更实。按照县乡整合、医防融合、中西结合要求，建立</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医通、人通、财通</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的紧密型医共体。县域公共卫生与医疗救治能力进一步提升，医防协同更加高效，建成统一高效、科学精准、联防联控、群防群控、多元参与的平疫结合重大疫情防控救治体系。分级诊疗、同质诊疗更广泛惠及群众，县域就诊率达93%以上。</w:t>
      </w:r>
    </w:p>
    <w:p w14:paraId="60C0590E">
      <w:pPr>
        <w:spacing w:line="578" w:lineRule="exact"/>
        <w:ind w:firstLine="640" w:firstLineChars="200"/>
        <w:rPr>
          <w:rFonts w:ascii="Times New Roman" w:hAnsi="Times New Roman" w:eastAsia="方正仿宋_GBK" w:cs="Times New Roman"/>
          <w:b w:val="0"/>
          <w:bCs w:val="0"/>
          <w:sz w:val="32"/>
          <w:szCs w:val="32"/>
        </w:rPr>
      </w:pPr>
      <w:r>
        <w:rPr>
          <w:rFonts w:ascii="Times New Roman" w:hAnsi="Times New Roman" w:eastAsia="方正仿宋_GBK" w:cs="Times New Roman"/>
          <w:b w:val="0"/>
          <w:bCs w:val="0"/>
          <w:sz w:val="32"/>
          <w:szCs w:val="32"/>
        </w:rPr>
        <w:t>——让运行机制更畅。实施财政补偿机制、绩效考核制度、人事分配制度、风险分担机制等医疗卫生综合改革政策，落实村卫生室多渠道补助和乡村医生养老政策，基本建立维护公益性、调动积极性、保障可持续的医疗卫生运行新机制。</w:t>
      </w:r>
    </w:p>
    <w:p w14:paraId="3741E8DE">
      <w:pPr>
        <w:spacing w:line="578" w:lineRule="exact"/>
        <w:ind w:firstLine="640" w:firstLineChars="200"/>
        <w:rPr>
          <w:rFonts w:ascii="Times New Roman" w:hAnsi="Times New Roman" w:eastAsia="方正仿宋_GBK" w:cs="Times New Roman"/>
          <w:b w:val="0"/>
          <w:bCs w:val="0"/>
          <w:sz w:val="32"/>
          <w:szCs w:val="32"/>
        </w:rPr>
      </w:pPr>
      <w:r>
        <w:rPr>
          <w:rFonts w:ascii="Times New Roman" w:hAnsi="Times New Roman" w:eastAsia="方正仿宋_GBK" w:cs="Times New Roman"/>
          <w:b w:val="0"/>
          <w:bCs w:val="0"/>
          <w:sz w:val="32"/>
          <w:szCs w:val="32"/>
        </w:rPr>
        <w:t>——让群众获得感更足。以</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美丽医院</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智慧医院</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健康促进医院</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建设为抓手，全面改善群众医疗服务就医感受，继续巩固破除</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以药养医、以耗补医</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成果，切实减轻群众就医负担，坚持以患者为中心，优化改善便民服务设施，增添</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一老一小</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和残疾人关怀设施，推进老年友善医疗机构创建，提升群众就医满意度。</w:t>
      </w:r>
    </w:p>
    <w:p w14:paraId="346CC76C">
      <w:pPr>
        <w:widowControl w:val="0"/>
        <w:spacing w:after="0" w:line="578" w:lineRule="exact"/>
        <w:ind w:firstLine="640" w:firstLineChars="200"/>
        <w:jc w:val="both"/>
        <w:rPr>
          <w:rFonts w:ascii="Times New Roman" w:hAnsi="Times New Roman" w:eastAsia="宋体" w:cs="Times New Roman"/>
          <w:b w:val="0"/>
          <w:bCs w:val="0"/>
          <w:kern w:val="2"/>
          <w:sz w:val="21"/>
          <w:szCs w:val="22"/>
          <w:lang w:val="en-US" w:eastAsia="zh-CN" w:bidi="ar-SA"/>
        </w:rPr>
      </w:pPr>
      <w:r>
        <w:rPr>
          <w:rFonts w:ascii="Times New Roman" w:hAnsi="Times New Roman" w:eastAsia="方正仿宋_GBK" w:cs="Times New Roman"/>
          <w:b w:val="0"/>
          <w:bCs w:val="0"/>
          <w:kern w:val="2"/>
          <w:sz w:val="32"/>
          <w:szCs w:val="32"/>
          <w:lang w:val="en-US" w:eastAsia="zh-CN" w:bidi="ar-SA"/>
        </w:rPr>
        <w:t>展望2035年，全县卫生健康服务体系基本实现现代化，公共卫生体系和整合型医疗卫生服务体系全面建立，中医药实现振兴发展，万开云卫生健康同城化合作更加紧密，居民健康素养水平大幅提升，居民主要健康影响因素得到有效控制，人均健康预期寿命得到较大提高，居民主要健康指标水平居于渝东北、三峡库区前列。</w:t>
      </w:r>
    </w:p>
    <w:p w14:paraId="6D1C374B">
      <w:pPr>
        <w:spacing w:line="560" w:lineRule="exact"/>
        <w:jc w:val="center"/>
        <w:rPr>
          <w:rFonts w:hint="eastAsia" w:ascii="方正黑体_GBK" w:hAnsi="方正黑体_GBK" w:eastAsia="方正黑体_GBK" w:cs="方正黑体_GBK"/>
          <w:b w:val="0"/>
          <w:bCs w:val="0"/>
          <w:sz w:val="28"/>
          <w:szCs w:val="28"/>
        </w:rPr>
      </w:pPr>
      <w:bookmarkStart w:id="26" w:name="_Toc20020_WPSOffice_Level2"/>
      <w:bookmarkStart w:id="27" w:name="_Toc26419_WPSOffice_Level2"/>
      <w:bookmarkStart w:id="28" w:name="_Toc19941_WPSOffice_Level2"/>
      <w:r>
        <w:rPr>
          <w:rFonts w:hint="eastAsia" w:ascii="方正黑体_GBK" w:hAnsi="方正黑体_GBK" w:eastAsia="方正黑体_GBK" w:cs="方正黑体_GBK"/>
          <w:b w:val="0"/>
          <w:bCs w:val="0"/>
          <w:sz w:val="28"/>
          <w:szCs w:val="28"/>
        </w:rPr>
        <w:t>表1  云阳县卫生健康发展“十四五”指标</w:t>
      </w:r>
      <w:bookmarkEnd w:id="26"/>
      <w:bookmarkEnd w:id="27"/>
      <w:bookmarkEnd w:id="28"/>
    </w:p>
    <w:tbl>
      <w:tblPr>
        <w:tblStyle w:val="9"/>
        <w:tblW w:w="84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90"/>
        <w:gridCol w:w="533"/>
        <w:gridCol w:w="2203"/>
        <w:gridCol w:w="1619"/>
        <w:gridCol w:w="1044"/>
        <w:gridCol w:w="996"/>
        <w:gridCol w:w="1153"/>
      </w:tblGrid>
      <w:tr w14:paraId="18781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90" w:type="dxa"/>
            <w:noWrap w:val="0"/>
            <w:vAlign w:val="center"/>
          </w:tcPr>
          <w:p w14:paraId="13AEC7DA">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类别</w:t>
            </w:r>
          </w:p>
        </w:tc>
        <w:tc>
          <w:tcPr>
            <w:tcW w:w="533" w:type="dxa"/>
            <w:noWrap w:val="0"/>
            <w:vAlign w:val="center"/>
          </w:tcPr>
          <w:p w14:paraId="59C8850A">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序号</w:t>
            </w:r>
          </w:p>
        </w:tc>
        <w:tc>
          <w:tcPr>
            <w:tcW w:w="3822" w:type="dxa"/>
            <w:gridSpan w:val="2"/>
            <w:noWrap w:val="0"/>
            <w:vAlign w:val="center"/>
          </w:tcPr>
          <w:p w14:paraId="0B8677D4">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主要指标</w:t>
            </w:r>
          </w:p>
        </w:tc>
        <w:tc>
          <w:tcPr>
            <w:tcW w:w="1044" w:type="dxa"/>
            <w:noWrap w:val="0"/>
            <w:vAlign w:val="center"/>
          </w:tcPr>
          <w:p w14:paraId="51B4E26E">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2020年</w:t>
            </w:r>
          </w:p>
          <w:p w14:paraId="5622221F">
            <w:pPr>
              <w:spacing w:line="400" w:lineRule="exact"/>
              <w:jc w:val="center"/>
              <w:rPr>
                <w:rFonts w:ascii="Times New Roman" w:hAnsi="Times New Roman" w:eastAsia="方正仿宋_GBK" w:cs="Times New Roman"/>
                <w:b w:val="0"/>
                <w:bCs w:val="0"/>
                <w:highlight w:val="yellow"/>
              </w:rPr>
            </w:pPr>
            <w:r>
              <w:rPr>
                <w:rFonts w:ascii="Times New Roman" w:hAnsi="Times New Roman" w:eastAsia="方正仿宋_GBK" w:cs="Times New Roman"/>
                <w:b w:val="0"/>
                <w:bCs w:val="0"/>
              </w:rPr>
              <w:t>（实际值）</w:t>
            </w:r>
          </w:p>
        </w:tc>
        <w:tc>
          <w:tcPr>
            <w:tcW w:w="996" w:type="dxa"/>
            <w:noWrap w:val="0"/>
            <w:vAlign w:val="center"/>
          </w:tcPr>
          <w:p w14:paraId="38F9486A">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2025年</w:t>
            </w:r>
          </w:p>
          <w:p w14:paraId="65D1277A">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（目标值）</w:t>
            </w:r>
          </w:p>
        </w:tc>
        <w:tc>
          <w:tcPr>
            <w:tcW w:w="1153" w:type="dxa"/>
            <w:noWrap w:val="0"/>
            <w:vAlign w:val="center"/>
          </w:tcPr>
          <w:p w14:paraId="50D9B10F">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指标属性</w:t>
            </w:r>
          </w:p>
        </w:tc>
      </w:tr>
      <w:tr w14:paraId="707ED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90" w:type="dxa"/>
            <w:vMerge w:val="restart"/>
            <w:noWrap w:val="0"/>
            <w:vAlign w:val="center"/>
          </w:tcPr>
          <w:p w14:paraId="730815A2">
            <w:pPr>
              <w:spacing w:line="400" w:lineRule="exact"/>
              <w:rPr>
                <w:rFonts w:ascii="Times New Roman" w:hAnsi="Times New Roman" w:eastAsia="方正仿宋_GBK" w:cs="Times New Roman"/>
                <w:b w:val="0"/>
                <w:bCs w:val="0"/>
              </w:rPr>
            </w:pPr>
            <w:r>
              <w:rPr>
                <w:rFonts w:ascii="Times New Roman" w:hAnsi="Times New Roman" w:eastAsia="方正仿宋_GBK" w:cs="Times New Roman"/>
                <w:b w:val="0"/>
                <w:bCs w:val="0"/>
              </w:rPr>
              <w:t>健康水平</w:t>
            </w:r>
          </w:p>
        </w:tc>
        <w:tc>
          <w:tcPr>
            <w:tcW w:w="533" w:type="dxa"/>
            <w:noWrap w:val="0"/>
            <w:vAlign w:val="center"/>
          </w:tcPr>
          <w:p w14:paraId="34F71277">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1</w:t>
            </w:r>
          </w:p>
        </w:tc>
        <w:tc>
          <w:tcPr>
            <w:tcW w:w="3822" w:type="dxa"/>
            <w:gridSpan w:val="2"/>
            <w:noWrap w:val="0"/>
            <w:vAlign w:val="center"/>
          </w:tcPr>
          <w:p w14:paraId="5B333ECF">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人均预期寿命（岁）</w:t>
            </w:r>
          </w:p>
        </w:tc>
        <w:tc>
          <w:tcPr>
            <w:tcW w:w="1044" w:type="dxa"/>
            <w:noWrap w:val="0"/>
            <w:vAlign w:val="center"/>
          </w:tcPr>
          <w:p w14:paraId="19551DCB">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77.36</w:t>
            </w:r>
          </w:p>
        </w:tc>
        <w:tc>
          <w:tcPr>
            <w:tcW w:w="996" w:type="dxa"/>
            <w:noWrap w:val="0"/>
            <w:vAlign w:val="center"/>
          </w:tcPr>
          <w:p w14:paraId="5A340956">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79.3</w:t>
            </w:r>
          </w:p>
        </w:tc>
        <w:tc>
          <w:tcPr>
            <w:tcW w:w="1153" w:type="dxa"/>
            <w:noWrap w:val="0"/>
            <w:vAlign w:val="center"/>
          </w:tcPr>
          <w:p w14:paraId="1A9BBFE0">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预期性</w:t>
            </w:r>
          </w:p>
        </w:tc>
      </w:tr>
      <w:tr w14:paraId="07436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890" w:type="dxa"/>
            <w:vMerge w:val="continue"/>
            <w:noWrap w:val="0"/>
            <w:vAlign w:val="center"/>
          </w:tcPr>
          <w:p w14:paraId="0A776802">
            <w:pPr>
              <w:spacing w:line="400" w:lineRule="exact"/>
              <w:jc w:val="center"/>
              <w:rPr>
                <w:rFonts w:ascii="Times New Roman" w:hAnsi="Times New Roman" w:eastAsia="方正仿宋_GBK" w:cs="Times New Roman"/>
                <w:b w:val="0"/>
                <w:bCs w:val="0"/>
              </w:rPr>
            </w:pPr>
          </w:p>
        </w:tc>
        <w:tc>
          <w:tcPr>
            <w:tcW w:w="533" w:type="dxa"/>
            <w:noWrap w:val="0"/>
            <w:vAlign w:val="center"/>
          </w:tcPr>
          <w:p w14:paraId="341F8572">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2</w:t>
            </w:r>
          </w:p>
        </w:tc>
        <w:tc>
          <w:tcPr>
            <w:tcW w:w="3822" w:type="dxa"/>
            <w:gridSpan w:val="2"/>
            <w:noWrap w:val="0"/>
            <w:vAlign w:val="center"/>
          </w:tcPr>
          <w:p w14:paraId="252119FB">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健康预期寿命（岁）</w:t>
            </w:r>
          </w:p>
        </w:tc>
        <w:tc>
          <w:tcPr>
            <w:tcW w:w="1044" w:type="dxa"/>
            <w:noWrap w:val="0"/>
            <w:vAlign w:val="center"/>
          </w:tcPr>
          <w:p w14:paraId="7DF1FAD0">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w:t>
            </w:r>
          </w:p>
        </w:tc>
        <w:tc>
          <w:tcPr>
            <w:tcW w:w="996" w:type="dxa"/>
            <w:noWrap w:val="0"/>
            <w:vAlign w:val="center"/>
          </w:tcPr>
          <w:p w14:paraId="5BD1F5B8">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sz w:val="18"/>
                <w:szCs w:val="18"/>
              </w:rPr>
              <w:t>同比例提高</w:t>
            </w:r>
          </w:p>
        </w:tc>
        <w:tc>
          <w:tcPr>
            <w:tcW w:w="1153" w:type="dxa"/>
            <w:noWrap w:val="0"/>
            <w:vAlign w:val="center"/>
          </w:tcPr>
          <w:p w14:paraId="16746475">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预期性</w:t>
            </w:r>
          </w:p>
        </w:tc>
      </w:tr>
      <w:tr w14:paraId="0E7D4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90" w:type="dxa"/>
            <w:vMerge w:val="continue"/>
            <w:noWrap w:val="0"/>
            <w:vAlign w:val="center"/>
          </w:tcPr>
          <w:p w14:paraId="30AF4863">
            <w:pPr>
              <w:spacing w:line="400" w:lineRule="exact"/>
              <w:jc w:val="center"/>
              <w:rPr>
                <w:rFonts w:ascii="Times New Roman" w:hAnsi="Times New Roman" w:eastAsia="方正仿宋_GBK" w:cs="Times New Roman"/>
                <w:b w:val="0"/>
                <w:bCs w:val="0"/>
              </w:rPr>
            </w:pPr>
          </w:p>
        </w:tc>
        <w:tc>
          <w:tcPr>
            <w:tcW w:w="533" w:type="dxa"/>
            <w:noWrap w:val="0"/>
            <w:vAlign w:val="center"/>
          </w:tcPr>
          <w:p w14:paraId="19F2EFA9">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3</w:t>
            </w:r>
          </w:p>
        </w:tc>
        <w:tc>
          <w:tcPr>
            <w:tcW w:w="3822" w:type="dxa"/>
            <w:gridSpan w:val="2"/>
            <w:noWrap w:val="0"/>
            <w:vAlign w:val="center"/>
          </w:tcPr>
          <w:p w14:paraId="42FF4500">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孕产妇死亡率（/10万）</w:t>
            </w:r>
          </w:p>
        </w:tc>
        <w:tc>
          <w:tcPr>
            <w:tcW w:w="1044" w:type="dxa"/>
            <w:noWrap w:val="0"/>
            <w:vAlign w:val="center"/>
          </w:tcPr>
          <w:p w14:paraId="1489BE3D">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26.71</w:t>
            </w:r>
          </w:p>
        </w:tc>
        <w:tc>
          <w:tcPr>
            <w:tcW w:w="996" w:type="dxa"/>
            <w:noWrap w:val="0"/>
            <w:vAlign w:val="center"/>
          </w:tcPr>
          <w:p w14:paraId="6E42BC3D">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≤10</w:t>
            </w:r>
          </w:p>
        </w:tc>
        <w:tc>
          <w:tcPr>
            <w:tcW w:w="1153" w:type="dxa"/>
            <w:noWrap w:val="0"/>
            <w:vAlign w:val="center"/>
          </w:tcPr>
          <w:p w14:paraId="55A092BC">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预期性</w:t>
            </w:r>
          </w:p>
        </w:tc>
      </w:tr>
      <w:tr w14:paraId="49225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90" w:type="dxa"/>
            <w:vMerge w:val="continue"/>
            <w:noWrap w:val="0"/>
            <w:vAlign w:val="center"/>
          </w:tcPr>
          <w:p w14:paraId="64191195">
            <w:pPr>
              <w:spacing w:line="400" w:lineRule="exact"/>
              <w:jc w:val="center"/>
              <w:rPr>
                <w:rFonts w:ascii="Times New Roman" w:hAnsi="Times New Roman" w:eastAsia="方正仿宋_GBK" w:cs="Times New Roman"/>
                <w:b w:val="0"/>
                <w:bCs w:val="0"/>
              </w:rPr>
            </w:pPr>
          </w:p>
        </w:tc>
        <w:tc>
          <w:tcPr>
            <w:tcW w:w="533" w:type="dxa"/>
            <w:noWrap w:val="0"/>
            <w:vAlign w:val="center"/>
          </w:tcPr>
          <w:p w14:paraId="7CF5DE46">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4</w:t>
            </w:r>
          </w:p>
        </w:tc>
        <w:tc>
          <w:tcPr>
            <w:tcW w:w="3822" w:type="dxa"/>
            <w:gridSpan w:val="2"/>
            <w:noWrap w:val="0"/>
            <w:vAlign w:val="center"/>
          </w:tcPr>
          <w:p w14:paraId="36052A8E">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婴儿死亡率（‰）</w:t>
            </w:r>
          </w:p>
        </w:tc>
        <w:tc>
          <w:tcPr>
            <w:tcW w:w="1044" w:type="dxa"/>
            <w:noWrap w:val="0"/>
            <w:vAlign w:val="center"/>
          </w:tcPr>
          <w:p w14:paraId="5107A636">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2.67</w:t>
            </w:r>
          </w:p>
        </w:tc>
        <w:tc>
          <w:tcPr>
            <w:tcW w:w="996" w:type="dxa"/>
            <w:noWrap w:val="0"/>
            <w:vAlign w:val="center"/>
          </w:tcPr>
          <w:p w14:paraId="5E4FF044">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≤3.5</w:t>
            </w:r>
          </w:p>
        </w:tc>
        <w:tc>
          <w:tcPr>
            <w:tcW w:w="1153" w:type="dxa"/>
            <w:noWrap w:val="0"/>
            <w:vAlign w:val="center"/>
          </w:tcPr>
          <w:p w14:paraId="11745CFC">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预期性</w:t>
            </w:r>
          </w:p>
        </w:tc>
      </w:tr>
      <w:tr w14:paraId="214E0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90" w:type="dxa"/>
            <w:vMerge w:val="continue"/>
            <w:noWrap w:val="0"/>
            <w:vAlign w:val="center"/>
          </w:tcPr>
          <w:p w14:paraId="52AE88B6">
            <w:pPr>
              <w:spacing w:line="400" w:lineRule="exact"/>
              <w:jc w:val="center"/>
              <w:rPr>
                <w:rFonts w:ascii="Times New Roman" w:hAnsi="Times New Roman" w:eastAsia="方正仿宋_GBK" w:cs="Times New Roman"/>
                <w:b w:val="0"/>
                <w:bCs w:val="0"/>
              </w:rPr>
            </w:pPr>
          </w:p>
        </w:tc>
        <w:tc>
          <w:tcPr>
            <w:tcW w:w="533" w:type="dxa"/>
            <w:noWrap w:val="0"/>
            <w:vAlign w:val="center"/>
          </w:tcPr>
          <w:p w14:paraId="20F31985">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5</w:t>
            </w:r>
          </w:p>
        </w:tc>
        <w:tc>
          <w:tcPr>
            <w:tcW w:w="3822" w:type="dxa"/>
            <w:gridSpan w:val="2"/>
            <w:noWrap w:val="0"/>
            <w:vAlign w:val="center"/>
          </w:tcPr>
          <w:p w14:paraId="408DB351">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5岁以下儿童死亡率（‰）</w:t>
            </w:r>
          </w:p>
        </w:tc>
        <w:tc>
          <w:tcPr>
            <w:tcW w:w="1044" w:type="dxa"/>
            <w:noWrap w:val="0"/>
            <w:vAlign w:val="center"/>
          </w:tcPr>
          <w:p w14:paraId="22D9B4FE">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3.87</w:t>
            </w:r>
          </w:p>
        </w:tc>
        <w:tc>
          <w:tcPr>
            <w:tcW w:w="996" w:type="dxa"/>
            <w:noWrap w:val="0"/>
            <w:vAlign w:val="center"/>
          </w:tcPr>
          <w:p w14:paraId="0B8765D2">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≤5</w:t>
            </w:r>
          </w:p>
        </w:tc>
        <w:tc>
          <w:tcPr>
            <w:tcW w:w="1153" w:type="dxa"/>
            <w:noWrap w:val="0"/>
            <w:vAlign w:val="center"/>
          </w:tcPr>
          <w:p w14:paraId="6DCAF724">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预期性</w:t>
            </w:r>
          </w:p>
        </w:tc>
      </w:tr>
      <w:tr w14:paraId="281BA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90" w:type="dxa"/>
            <w:vMerge w:val="continue"/>
            <w:noWrap w:val="0"/>
            <w:vAlign w:val="center"/>
          </w:tcPr>
          <w:p w14:paraId="1D860A6F">
            <w:pPr>
              <w:spacing w:line="400" w:lineRule="exact"/>
              <w:jc w:val="center"/>
              <w:rPr>
                <w:rFonts w:ascii="Times New Roman" w:hAnsi="Times New Roman" w:eastAsia="方正仿宋_GBK" w:cs="Times New Roman"/>
                <w:b w:val="0"/>
                <w:bCs w:val="0"/>
              </w:rPr>
            </w:pPr>
          </w:p>
        </w:tc>
        <w:tc>
          <w:tcPr>
            <w:tcW w:w="533" w:type="dxa"/>
            <w:noWrap w:val="0"/>
            <w:vAlign w:val="center"/>
          </w:tcPr>
          <w:p w14:paraId="514B98C4">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6</w:t>
            </w:r>
          </w:p>
        </w:tc>
        <w:tc>
          <w:tcPr>
            <w:tcW w:w="3822" w:type="dxa"/>
            <w:gridSpan w:val="2"/>
            <w:noWrap w:val="0"/>
            <w:vAlign w:val="center"/>
          </w:tcPr>
          <w:p w14:paraId="78046B18">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重大慢性病过早死亡率（%）</w:t>
            </w:r>
          </w:p>
        </w:tc>
        <w:tc>
          <w:tcPr>
            <w:tcW w:w="1044" w:type="dxa"/>
            <w:noWrap w:val="0"/>
            <w:vAlign w:val="center"/>
          </w:tcPr>
          <w:p w14:paraId="07FE4A99">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15.02</w:t>
            </w:r>
          </w:p>
        </w:tc>
        <w:tc>
          <w:tcPr>
            <w:tcW w:w="996" w:type="dxa"/>
            <w:noWrap w:val="0"/>
            <w:vAlign w:val="center"/>
          </w:tcPr>
          <w:p w14:paraId="3FACF3E2">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≤13.5</w:t>
            </w:r>
          </w:p>
        </w:tc>
        <w:tc>
          <w:tcPr>
            <w:tcW w:w="1153" w:type="dxa"/>
            <w:noWrap w:val="0"/>
            <w:vAlign w:val="center"/>
          </w:tcPr>
          <w:p w14:paraId="378362D8">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预期性</w:t>
            </w:r>
          </w:p>
        </w:tc>
      </w:tr>
      <w:tr w14:paraId="42875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90" w:type="dxa"/>
            <w:vMerge w:val="continue"/>
            <w:noWrap w:val="0"/>
            <w:vAlign w:val="center"/>
          </w:tcPr>
          <w:p w14:paraId="6D79E25A">
            <w:pPr>
              <w:spacing w:line="400" w:lineRule="exact"/>
              <w:jc w:val="center"/>
              <w:rPr>
                <w:rFonts w:ascii="Times New Roman" w:hAnsi="Times New Roman" w:eastAsia="方正仿宋_GBK" w:cs="Times New Roman"/>
                <w:b w:val="0"/>
                <w:bCs w:val="0"/>
              </w:rPr>
            </w:pPr>
          </w:p>
        </w:tc>
        <w:tc>
          <w:tcPr>
            <w:tcW w:w="533" w:type="dxa"/>
            <w:noWrap w:val="0"/>
            <w:vAlign w:val="center"/>
          </w:tcPr>
          <w:p w14:paraId="0CD73863">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7</w:t>
            </w:r>
          </w:p>
        </w:tc>
        <w:tc>
          <w:tcPr>
            <w:tcW w:w="3822" w:type="dxa"/>
            <w:gridSpan w:val="2"/>
            <w:noWrap w:val="0"/>
            <w:vAlign w:val="center"/>
          </w:tcPr>
          <w:p w14:paraId="6338DF66">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城乡居民达到《国民体质测定标准》合格以上的人数比例（%）</w:t>
            </w:r>
          </w:p>
        </w:tc>
        <w:tc>
          <w:tcPr>
            <w:tcW w:w="1044" w:type="dxa"/>
            <w:noWrap w:val="0"/>
            <w:vAlign w:val="center"/>
          </w:tcPr>
          <w:p w14:paraId="3B4B0DF2">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93.2</w:t>
            </w:r>
          </w:p>
        </w:tc>
        <w:tc>
          <w:tcPr>
            <w:tcW w:w="996" w:type="dxa"/>
            <w:noWrap w:val="0"/>
            <w:vAlign w:val="center"/>
          </w:tcPr>
          <w:p w14:paraId="1A9E162B">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≥93.6</w:t>
            </w:r>
          </w:p>
        </w:tc>
        <w:tc>
          <w:tcPr>
            <w:tcW w:w="1153" w:type="dxa"/>
            <w:noWrap w:val="0"/>
            <w:vAlign w:val="center"/>
          </w:tcPr>
          <w:p w14:paraId="5A49EB00">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预期性</w:t>
            </w:r>
          </w:p>
        </w:tc>
      </w:tr>
      <w:tr w14:paraId="66A7B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90" w:type="dxa"/>
            <w:vMerge w:val="restart"/>
            <w:noWrap w:val="0"/>
            <w:vAlign w:val="center"/>
          </w:tcPr>
          <w:p w14:paraId="5715BD91">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健康服务</w:t>
            </w:r>
          </w:p>
        </w:tc>
        <w:tc>
          <w:tcPr>
            <w:tcW w:w="533" w:type="dxa"/>
            <w:noWrap w:val="0"/>
            <w:vAlign w:val="center"/>
          </w:tcPr>
          <w:p w14:paraId="63435283">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8</w:t>
            </w:r>
          </w:p>
        </w:tc>
        <w:tc>
          <w:tcPr>
            <w:tcW w:w="3822" w:type="dxa"/>
            <w:gridSpan w:val="2"/>
            <w:noWrap w:val="0"/>
            <w:vAlign w:val="center"/>
          </w:tcPr>
          <w:p w14:paraId="7E900F50">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居民健康素养水平（%）</w:t>
            </w:r>
          </w:p>
        </w:tc>
        <w:tc>
          <w:tcPr>
            <w:tcW w:w="1044" w:type="dxa"/>
            <w:noWrap w:val="0"/>
            <w:vAlign w:val="center"/>
          </w:tcPr>
          <w:p w14:paraId="5A2F40FF">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22.98</w:t>
            </w:r>
          </w:p>
        </w:tc>
        <w:tc>
          <w:tcPr>
            <w:tcW w:w="996" w:type="dxa"/>
            <w:noWrap w:val="0"/>
            <w:vAlign w:val="center"/>
          </w:tcPr>
          <w:p w14:paraId="0FDEEAA2">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≥30</w:t>
            </w:r>
          </w:p>
        </w:tc>
        <w:tc>
          <w:tcPr>
            <w:tcW w:w="1153" w:type="dxa"/>
            <w:noWrap w:val="0"/>
            <w:vAlign w:val="center"/>
          </w:tcPr>
          <w:p w14:paraId="2C6E8BA7">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预期性</w:t>
            </w:r>
          </w:p>
        </w:tc>
      </w:tr>
      <w:tr w14:paraId="5826E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90" w:type="dxa"/>
            <w:vMerge w:val="continue"/>
            <w:noWrap w:val="0"/>
            <w:vAlign w:val="center"/>
          </w:tcPr>
          <w:p w14:paraId="27BC285F">
            <w:pPr>
              <w:spacing w:line="400" w:lineRule="exact"/>
              <w:jc w:val="center"/>
              <w:rPr>
                <w:rFonts w:ascii="Times New Roman" w:hAnsi="Times New Roman" w:eastAsia="方正仿宋_GBK" w:cs="Times New Roman"/>
                <w:b w:val="0"/>
                <w:bCs w:val="0"/>
              </w:rPr>
            </w:pPr>
          </w:p>
        </w:tc>
        <w:tc>
          <w:tcPr>
            <w:tcW w:w="533" w:type="dxa"/>
            <w:noWrap w:val="0"/>
            <w:vAlign w:val="center"/>
          </w:tcPr>
          <w:p w14:paraId="3B36FCDD">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9</w:t>
            </w:r>
          </w:p>
        </w:tc>
        <w:tc>
          <w:tcPr>
            <w:tcW w:w="3822" w:type="dxa"/>
            <w:gridSpan w:val="2"/>
            <w:noWrap w:val="0"/>
            <w:vAlign w:val="center"/>
          </w:tcPr>
          <w:p w14:paraId="7DD98FFA">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经常参加体育锻炼人数</w:t>
            </w:r>
          </w:p>
        </w:tc>
        <w:tc>
          <w:tcPr>
            <w:tcW w:w="1044" w:type="dxa"/>
            <w:noWrap w:val="0"/>
            <w:vAlign w:val="center"/>
          </w:tcPr>
          <w:p w14:paraId="45D2BD64">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47.2</w:t>
            </w:r>
          </w:p>
        </w:tc>
        <w:tc>
          <w:tcPr>
            <w:tcW w:w="996" w:type="dxa"/>
            <w:noWrap w:val="0"/>
            <w:vAlign w:val="center"/>
          </w:tcPr>
          <w:p w14:paraId="1EF4237C">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≥48</w:t>
            </w:r>
          </w:p>
        </w:tc>
        <w:tc>
          <w:tcPr>
            <w:tcW w:w="1153" w:type="dxa"/>
            <w:noWrap w:val="0"/>
            <w:vAlign w:val="center"/>
          </w:tcPr>
          <w:p w14:paraId="68500FA1">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预期性</w:t>
            </w:r>
          </w:p>
        </w:tc>
      </w:tr>
      <w:tr w14:paraId="23645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90" w:type="dxa"/>
            <w:vMerge w:val="continue"/>
            <w:noWrap w:val="0"/>
            <w:vAlign w:val="center"/>
          </w:tcPr>
          <w:p w14:paraId="3A649680">
            <w:pPr>
              <w:spacing w:line="400" w:lineRule="exact"/>
              <w:jc w:val="center"/>
              <w:rPr>
                <w:rFonts w:ascii="Times New Roman" w:hAnsi="Times New Roman" w:eastAsia="方正仿宋_GBK" w:cs="Times New Roman"/>
                <w:b w:val="0"/>
                <w:bCs w:val="0"/>
              </w:rPr>
            </w:pPr>
          </w:p>
        </w:tc>
        <w:tc>
          <w:tcPr>
            <w:tcW w:w="533" w:type="dxa"/>
            <w:noWrap w:val="0"/>
            <w:vAlign w:val="center"/>
          </w:tcPr>
          <w:p w14:paraId="27B5CE2C">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10</w:t>
            </w:r>
          </w:p>
        </w:tc>
        <w:tc>
          <w:tcPr>
            <w:tcW w:w="3822" w:type="dxa"/>
            <w:gridSpan w:val="2"/>
            <w:noWrap w:val="0"/>
            <w:vAlign w:val="center"/>
          </w:tcPr>
          <w:p w14:paraId="39ADC408">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15岁以上人群吸烟率（%）</w:t>
            </w:r>
          </w:p>
        </w:tc>
        <w:tc>
          <w:tcPr>
            <w:tcW w:w="1044" w:type="dxa"/>
            <w:noWrap w:val="0"/>
            <w:vAlign w:val="center"/>
          </w:tcPr>
          <w:p w14:paraId="5D5D94E0">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w:t>
            </w:r>
          </w:p>
        </w:tc>
        <w:tc>
          <w:tcPr>
            <w:tcW w:w="996" w:type="dxa"/>
            <w:noWrap w:val="0"/>
            <w:vAlign w:val="center"/>
          </w:tcPr>
          <w:p w14:paraId="30B8E105">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≤22</w:t>
            </w:r>
          </w:p>
        </w:tc>
        <w:tc>
          <w:tcPr>
            <w:tcW w:w="1153" w:type="dxa"/>
            <w:noWrap w:val="0"/>
            <w:vAlign w:val="center"/>
          </w:tcPr>
          <w:p w14:paraId="64C906A3">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预期性</w:t>
            </w:r>
          </w:p>
        </w:tc>
      </w:tr>
      <w:tr w14:paraId="3B96D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90" w:type="dxa"/>
            <w:vMerge w:val="continue"/>
            <w:noWrap w:val="0"/>
            <w:vAlign w:val="center"/>
          </w:tcPr>
          <w:p w14:paraId="5ED4FB5A">
            <w:pPr>
              <w:spacing w:line="400" w:lineRule="exact"/>
              <w:jc w:val="center"/>
              <w:rPr>
                <w:rFonts w:ascii="Times New Roman" w:hAnsi="Times New Roman" w:eastAsia="方正仿宋_GBK" w:cs="Times New Roman"/>
                <w:b w:val="0"/>
                <w:bCs w:val="0"/>
              </w:rPr>
            </w:pPr>
          </w:p>
        </w:tc>
        <w:tc>
          <w:tcPr>
            <w:tcW w:w="533" w:type="dxa"/>
            <w:vMerge w:val="restart"/>
            <w:noWrap w:val="0"/>
            <w:vAlign w:val="center"/>
          </w:tcPr>
          <w:p w14:paraId="4D59DE43">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11</w:t>
            </w:r>
          </w:p>
        </w:tc>
        <w:tc>
          <w:tcPr>
            <w:tcW w:w="3822" w:type="dxa"/>
            <w:gridSpan w:val="2"/>
            <w:noWrap w:val="0"/>
            <w:vAlign w:val="center"/>
          </w:tcPr>
          <w:p w14:paraId="70C67D66">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每千人口执业（助理）医师数（人）</w:t>
            </w:r>
          </w:p>
        </w:tc>
        <w:tc>
          <w:tcPr>
            <w:tcW w:w="1044" w:type="dxa"/>
            <w:noWrap w:val="0"/>
            <w:vAlign w:val="center"/>
          </w:tcPr>
          <w:p w14:paraId="11CB3B80">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2.38</w:t>
            </w:r>
          </w:p>
        </w:tc>
        <w:tc>
          <w:tcPr>
            <w:tcW w:w="996" w:type="dxa"/>
            <w:noWrap w:val="0"/>
            <w:vAlign w:val="center"/>
          </w:tcPr>
          <w:p w14:paraId="123CF61A">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≥3.6</w:t>
            </w:r>
          </w:p>
        </w:tc>
        <w:tc>
          <w:tcPr>
            <w:tcW w:w="1153" w:type="dxa"/>
            <w:noWrap w:val="0"/>
            <w:vAlign w:val="center"/>
          </w:tcPr>
          <w:p w14:paraId="104325E5">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约束性</w:t>
            </w:r>
          </w:p>
        </w:tc>
      </w:tr>
      <w:tr w14:paraId="1A2B8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90" w:type="dxa"/>
            <w:vMerge w:val="continue"/>
            <w:noWrap w:val="0"/>
            <w:vAlign w:val="center"/>
          </w:tcPr>
          <w:p w14:paraId="6CE94379">
            <w:pPr>
              <w:spacing w:line="400" w:lineRule="exact"/>
              <w:jc w:val="center"/>
              <w:rPr>
                <w:rFonts w:ascii="Times New Roman" w:hAnsi="Times New Roman" w:eastAsia="方正仿宋_GBK" w:cs="Times New Roman"/>
                <w:b w:val="0"/>
                <w:bCs w:val="0"/>
              </w:rPr>
            </w:pPr>
          </w:p>
        </w:tc>
        <w:tc>
          <w:tcPr>
            <w:tcW w:w="533" w:type="dxa"/>
            <w:vMerge w:val="continue"/>
            <w:noWrap w:val="0"/>
            <w:vAlign w:val="center"/>
          </w:tcPr>
          <w:p w14:paraId="3DEC0C77">
            <w:pPr>
              <w:spacing w:line="400" w:lineRule="exact"/>
              <w:jc w:val="center"/>
              <w:rPr>
                <w:rFonts w:ascii="Times New Roman" w:hAnsi="Times New Roman" w:eastAsia="方正仿宋_GBK" w:cs="Times New Roman"/>
                <w:b w:val="0"/>
                <w:bCs w:val="0"/>
              </w:rPr>
            </w:pPr>
          </w:p>
        </w:tc>
        <w:tc>
          <w:tcPr>
            <w:tcW w:w="3822" w:type="dxa"/>
            <w:gridSpan w:val="2"/>
            <w:noWrap w:val="0"/>
            <w:vAlign w:val="center"/>
          </w:tcPr>
          <w:p w14:paraId="46AE18BF">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其中：每千人口中医类别执业（助理）医师数（人）</w:t>
            </w:r>
          </w:p>
        </w:tc>
        <w:tc>
          <w:tcPr>
            <w:tcW w:w="1044" w:type="dxa"/>
            <w:noWrap w:val="0"/>
            <w:vAlign w:val="center"/>
          </w:tcPr>
          <w:p w14:paraId="4471968B">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0.93</w:t>
            </w:r>
          </w:p>
        </w:tc>
        <w:tc>
          <w:tcPr>
            <w:tcW w:w="996" w:type="dxa"/>
            <w:noWrap w:val="0"/>
            <w:vAlign w:val="center"/>
          </w:tcPr>
          <w:p w14:paraId="1E560C8B">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≥1</w:t>
            </w:r>
          </w:p>
        </w:tc>
        <w:tc>
          <w:tcPr>
            <w:tcW w:w="1153" w:type="dxa"/>
            <w:noWrap w:val="0"/>
            <w:vAlign w:val="center"/>
          </w:tcPr>
          <w:p w14:paraId="49DCA7DB">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预期性</w:t>
            </w:r>
          </w:p>
        </w:tc>
      </w:tr>
      <w:tr w14:paraId="0783A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90" w:type="dxa"/>
            <w:vMerge w:val="continue"/>
            <w:noWrap w:val="0"/>
            <w:vAlign w:val="center"/>
          </w:tcPr>
          <w:p w14:paraId="1FCF22F5">
            <w:pPr>
              <w:spacing w:line="400" w:lineRule="exact"/>
              <w:jc w:val="center"/>
              <w:rPr>
                <w:rFonts w:ascii="Times New Roman" w:hAnsi="Times New Roman" w:eastAsia="方正仿宋_GBK" w:cs="Times New Roman"/>
                <w:b w:val="0"/>
                <w:bCs w:val="0"/>
              </w:rPr>
            </w:pPr>
          </w:p>
        </w:tc>
        <w:tc>
          <w:tcPr>
            <w:tcW w:w="533" w:type="dxa"/>
            <w:noWrap w:val="0"/>
            <w:vAlign w:val="center"/>
          </w:tcPr>
          <w:p w14:paraId="72A827F1">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12</w:t>
            </w:r>
          </w:p>
        </w:tc>
        <w:tc>
          <w:tcPr>
            <w:tcW w:w="3822" w:type="dxa"/>
            <w:gridSpan w:val="2"/>
            <w:noWrap w:val="0"/>
            <w:vAlign w:val="center"/>
          </w:tcPr>
          <w:p w14:paraId="01F2421E">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每千人口注册护士数（人）</w:t>
            </w:r>
          </w:p>
        </w:tc>
        <w:tc>
          <w:tcPr>
            <w:tcW w:w="1044" w:type="dxa"/>
            <w:noWrap w:val="0"/>
            <w:vAlign w:val="center"/>
          </w:tcPr>
          <w:p w14:paraId="63C3A2DB">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2.31</w:t>
            </w:r>
          </w:p>
        </w:tc>
        <w:tc>
          <w:tcPr>
            <w:tcW w:w="996" w:type="dxa"/>
            <w:noWrap w:val="0"/>
            <w:vAlign w:val="center"/>
          </w:tcPr>
          <w:p w14:paraId="02C458D3">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≥4.32</w:t>
            </w:r>
          </w:p>
        </w:tc>
        <w:tc>
          <w:tcPr>
            <w:tcW w:w="1153" w:type="dxa"/>
            <w:noWrap w:val="0"/>
            <w:vAlign w:val="center"/>
          </w:tcPr>
          <w:p w14:paraId="7A92D474">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预期性</w:t>
            </w:r>
          </w:p>
        </w:tc>
      </w:tr>
      <w:tr w14:paraId="59B0D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890" w:type="dxa"/>
            <w:vMerge w:val="continue"/>
            <w:noWrap w:val="0"/>
            <w:vAlign w:val="center"/>
          </w:tcPr>
          <w:p w14:paraId="1E99D83C">
            <w:pPr>
              <w:spacing w:line="400" w:lineRule="exact"/>
              <w:jc w:val="center"/>
              <w:rPr>
                <w:rFonts w:ascii="Times New Roman" w:hAnsi="Times New Roman" w:eastAsia="方正仿宋_GBK" w:cs="Times New Roman"/>
                <w:b w:val="0"/>
                <w:bCs w:val="0"/>
              </w:rPr>
            </w:pPr>
          </w:p>
        </w:tc>
        <w:tc>
          <w:tcPr>
            <w:tcW w:w="533" w:type="dxa"/>
            <w:noWrap w:val="0"/>
            <w:vAlign w:val="center"/>
          </w:tcPr>
          <w:p w14:paraId="3BB38814">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13</w:t>
            </w:r>
          </w:p>
        </w:tc>
        <w:tc>
          <w:tcPr>
            <w:tcW w:w="3822" w:type="dxa"/>
            <w:gridSpan w:val="2"/>
            <w:noWrap w:val="0"/>
            <w:vAlign w:val="center"/>
          </w:tcPr>
          <w:p w14:paraId="6F8442E5">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孕产妇系统管理率（%）</w:t>
            </w:r>
          </w:p>
        </w:tc>
        <w:tc>
          <w:tcPr>
            <w:tcW w:w="1044" w:type="dxa"/>
            <w:noWrap w:val="0"/>
            <w:vAlign w:val="center"/>
          </w:tcPr>
          <w:p w14:paraId="443DD962">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92.04</w:t>
            </w:r>
          </w:p>
        </w:tc>
        <w:tc>
          <w:tcPr>
            <w:tcW w:w="996" w:type="dxa"/>
            <w:noWrap w:val="0"/>
            <w:vAlign w:val="center"/>
          </w:tcPr>
          <w:p w14:paraId="1B4EC343">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≥94</w:t>
            </w:r>
          </w:p>
        </w:tc>
        <w:tc>
          <w:tcPr>
            <w:tcW w:w="1153" w:type="dxa"/>
            <w:noWrap w:val="0"/>
            <w:vAlign w:val="center"/>
          </w:tcPr>
          <w:p w14:paraId="7B2C88A0">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预期性</w:t>
            </w:r>
          </w:p>
        </w:tc>
      </w:tr>
      <w:tr w14:paraId="40F57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90" w:type="dxa"/>
            <w:vMerge w:val="continue"/>
            <w:noWrap w:val="0"/>
            <w:vAlign w:val="center"/>
          </w:tcPr>
          <w:p w14:paraId="31432FF7">
            <w:pPr>
              <w:spacing w:line="400" w:lineRule="exact"/>
              <w:jc w:val="center"/>
              <w:rPr>
                <w:rFonts w:ascii="Times New Roman" w:hAnsi="Times New Roman" w:eastAsia="方正仿宋_GBK" w:cs="Times New Roman"/>
                <w:b w:val="0"/>
                <w:bCs w:val="0"/>
              </w:rPr>
            </w:pPr>
          </w:p>
        </w:tc>
        <w:tc>
          <w:tcPr>
            <w:tcW w:w="533" w:type="dxa"/>
            <w:noWrap w:val="0"/>
            <w:vAlign w:val="center"/>
          </w:tcPr>
          <w:p w14:paraId="1675989D">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14</w:t>
            </w:r>
          </w:p>
        </w:tc>
        <w:tc>
          <w:tcPr>
            <w:tcW w:w="3822" w:type="dxa"/>
            <w:gridSpan w:val="2"/>
            <w:noWrap w:val="0"/>
            <w:vAlign w:val="center"/>
          </w:tcPr>
          <w:p w14:paraId="31A81D10">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3岁以下儿童系统管理率（%）</w:t>
            </w:r>
          </w:p>
        </w:tc>
        <w:tc>
          <w:tcPr>
            <w:tcW w:w="1044" w:type="dxa"/>
            <w:noWrap w:val="0"/>
            <w:vAlign w:val="center"/>
          </w:tcPr>
          <w:p w14:paraId="3B92B155">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92.04</w:t>
            </w:r>
          </w:p>
        </w:tc>
        <w:tc>
          <w:tcPr>
            <w:tcW w:w="996" w:type="dxa"/>
            <w:noWrap w:val="0"/>
            <w:vAlign w:val="center"/>
          </w:tcPr>
          <w:p w14:paraId="2DE879FE">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≥94</w:t>
            </w:r>
          </w:p>
        </w:tc>
        <w:tc>
          <w:tcPr>
            <w:tcW w:w="1153" w:type="dxa"/>
            <w:noWrap w:val="0"/>
            <w:vAlign w:val="center"/>
          </w:tcPr>
          <w:p w14:paraId="0B68E8E8">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预期性</w:t>
            </w:r>
          </w:p>
        </w:tc>
      </w:tr>
      <w:tr w14:paraId="2C88A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90" w:type="dxa"/>
            <w:vMerge w:val="continue"/>
            <w:noWrap w:val="0"/>
            <w:vAlign w:val="center"/>
          </w:tcPr>
          <w:p w14:paraId="161CE746">
            <w:pPr>
              <w:spacing w:line="400" w:lineRule="exact"/>
              <w:jc w:val="center"/>
              <w:rPr>
                <w:rFonts w:ascii="Times New Roman" w:hAnsi="Times New Roman" w:eastAsia="方正仿宋_GBK" w:cs="Times New Roman"/>
                <w:b w:val="0"/>
                <w:bCs w:val="0"/>
              </w:rPr>
            </w:pPr>
          </w:p>
        </w:tc>
        <w:tc>
          <w:tcPr>
            <w:tcW w:w="533" w:type="dxa"/>
            <w:noWrap w:val="0"/>
            <w:vAlign w:val="center"/>
          </w:tcPr>
          <w:p w14:paraId="67A114F9">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15</w:t>
            </w:r>
          </w:p>
        </w:tc>
        <w:tc>
          <w:tcPr>
            <w:tcW w:w="3822" w:type="dxa"/>
            <w:gridSpan w:val="2"/>
            <w:noWrap w:val="0"/>
            <w:vAlign w:val="center"/>
          </w:tcPr>
          <w:p w14:paraId="7430EE16">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以乡（镇、街道）为单位适龄儿童免疫规划疫苗接种率（%）</w:t>
            </w:r>
          </w:p>
        </w:tc>
        <w:tc>
          <w:tcPr>
            <w:tcW w:w="1044" w:type="dxa"/>
            <w:noWrap w:val="0"/>
            <w:vAlign w:val="center"/>
          </w:tcPr>
          <w:p w14:paraId="47B328C7">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98.77</w:t>
            </w:r>
          </w:p>
        </w:tc>
        <w:tc>
          <w:tcPr>
            <w:tcW w:w="996" w:type="dxa"/>
            <w:noWrap w:val="0"/>
            <w:vAlign w:val="center"/>
          </w:tcPr>
          <w:p w14:paraId="38EA3594">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＞98</w:t>
            </w:r>
          </w:p>
        </w:tc>
        <w:tc>
          <w:tcPr>
            <w:tcW w:w="1153" w:type="dxa"/>
            <w:noWrap w:val="0"/>
            <w:vAlign w:val="center"/>
          </w:tcPr>
          <w:p w14:paraId="2141B912">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约束性</w:t>
            </w:r>
          </w:p>
        </w:tc>
      </w:tr>
      <w:tr w14:paraId="22AB2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90" w:type="dxa"/>
            <w:vMerge w:val="continue"/>
            <w:noWrap w:val="0"/>
            <w:vAlign w:val="center"/>
          </w:tcPr>
          <w:p w14:paraId="4F2BC2EF">
            <w:pPr>
              <w:spacing w:line="400" w:lineRule="exact"/>
              <w:jc w:val="center"/>
              <w:rPr>
                <w:rFonts w:ascii="Times New Roman" w:hAnsi="Times New Roman" w:eastAsia="方正仿宋_GBK" w:cs="Times New Roman"/>
                <w:b w:val="0"/>
                <w:bCs w:val="0"/>
              </w:rPr>
            </w:pPr>
          </w:p>
        </w:tc>
        <w:tc>
          <w:tcPr>
            <w:tcW w:w="533" w:type="dxa"/>
            <w:noWrap w:val="0"/>
            <w:vAlign w:val="center"/>
          </w:tcPr>
          <w:p w14:paraId="28524A6C">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16</w:t>
            </w:r>
          </w:p>
        </w:tc>
        <w:tc>
          <w:tcPr>
            <w:tcW w:w="3822" w:type="dxa"/>
            <w:gridSpan w:val="2"/>
            <w:noWrap w:val="0"/>
            <w:vAlign w:val="center"/>
          </w:tcPr>
          <w:p w14:paraId="36AE4F61">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严重精神障碍管理率（%）</w:t>
            </w:r>
          </w:p>
        </w:tc>
        <w:tc>
          <w:tcPr>
            <w:tcW w:w="1044" w:type="dxa"/>
            <w:noWrap w:val="0"/>
            <w:vAlign w:val="center"/>
          </w:tcPr>
          <w:p w14:paraId="0555B415">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90.62</w:t>
            </w:r>
          </w:p>
        </w:tc>
        <w:tc>
          <w:tcPr>
            <w:tcW w:w="996" w:type="dxa"/>
            <w:noWrap w:val="0"/>
            <w:vAlign w:val="center"/>
          </w:tcPr>
          <w:p w14:paraId="7F15D085">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≥95</w:t>
            </w:r>
          </w:p>
        </w:tc>
        <w:tc>
          <w:tcPr>
            <w:tcW w:w="1153" w:type="dxa"/>
            <w:noWrap w:val="0"/>
            <w:vAlign w:val="center"/>
          </w:tcPr>
          <w:p w14:paraId="09A7B13C">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约束性</w:t>
            </w:r>
          </w:p>
        </w:tc>
      </w:tr>
      <w:tr w14:paraId="2CE30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90" w:type="dxa"/>
            <w:vMerge w:val="continue"/>
            <w:noWrap w:val="0"/>
            <w:vAlign w:val="center"/>
          </w:tcPr>
          <w:p w14:paraId="4C39B3C8">
            <w:pPr>
              <w:spacing w:line="400" w:lineRule="exact"/>
              <w:jc w:val="center"/>
              <w:rPr>
                <w:rFonts w:ascii="Times New Roman" w:hAnsi="Times New Roman" w:eastAsia="方正仿宋_GBK" w:cs="Times New Roman"/>
                <w:b w:val="0"/>
                <w:bCs w:val="0"/>
              </w:rPr>
            </w:pPr>
          </w:p>
        </w:tc>
        <w:tc>
          <w:tcPr>
            <w:tcW w:w="533" w:type="dxa"/>
            <w:noWrap w:val="0"/>
            <w:vAlign w:val="center"/>
          </w:tcPr>
          <w:p w14:paraId="49948EB5">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17</w:t>
            </w:r>
          </w:p>
        </w:tc>
        <w:tc>
          <w:tcPr>
            <w:tcW w:w="3822" w:type="dxa"/>
            <w:gridSpan w:val="2"/>
            <w:noWrap w:val="0"/>
            <w:vAlign w:val="center"/>
          </w:tcPr>
          <w:p w14:paraId="1748A7F1">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每千人口拥有3岁以下婴幼儿托位数（个）</w:t>
            </w:r>
          </w:p>
        </w:tc>
        <w:tc>
          <w:tcPr>
            <w:tcW w:w="1044" w:type="dxa"/>
            <w:noWrap w:val="0"/>
            <w:vAlign w:val="center"/>
          </w:tcPr>
          <w:p w14:paraId="76AEA5DE">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0.51</w:t>
            </w:r>
          </w:p>
        </w:tc>
        <w:tc>
          <w:tcPr>
            <w:tcW w:w="996" w:type="dxa"/>
            <w:noWrap w:val="0"/>
            <w:vAlign w:val="center"/>
          </w:tcPr>
          <w:p w14:paraId="44FDFF91">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4.5</w:t>
            </w:r>
          </w:p>
        </w:tc>
        <w:tc>
          <w:tcPr>
            <w:tcW w:w="1153" w:type="dxa"/>
            <w:noWrap w:val="0"/>
            <w:vAlign w:val="center"/>
          </w:tcPr>
          <w:p w14:paraId="06B99D99">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约束性</w:t>
            </w:r>
          </w:p>
        </w:tc>
      </w:tr>
      <w:tr w14:paraId="37057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90" w:type="dxa"/>
            <w:vMerge w:val="continue"/>
            <w:noWrap w:val="0"/>
            <w:vAlign w:val="center"/>
          </w:tcPr>
          <w:p w14:paraId="7E42A4B7">
            <w:pPr>
              <w:spacing w:line="400" w:lineRule="exact"/>
              <w:jc w:val="center"/>
              <w:rPr>
                <w:rFonts w:ascii="Times New Roman" w:hAnsi="Times New Roman" w:eastAsia="方正仿宋_GBK" w:cs="Times New Roman"/>
                <w:b w:val="0"/>
                <w:bCs w:val="0"/>
              </w:rPr>
            </w:pPr>
          </w:p>
        </w:tc>
        <w:tc>
          <w:tcPr>
            <w:tcW w:w="533" w:type="dxa"/>
            <w:noWrap w:val="0"/>
            <w:vAlign w:val="center"/>
          </w:tcPr>
          <w:p w14:paraId="63DAE1D1">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18</w:t>
            </w:r>
          </w:p>
        </w:tc>
        <w:tc>
          <w:tcPr>
            <w:tcW w:w="3822" w:type="dxa"/>
            <w:gridSpan w:val="2"/>
            <w:noWrap w:val="0"/>
            <w:vAlign w:val="center"/>
          </w:tcPr>
          <w:p w14:paraId="6AE979D1">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全县儿童青少年总体近视率（%）</w:t>
            </w:r>
          </w:p>
        </w:tc>
        <w:tc>
          <w:tcPr>
            <w:tcW w:w="1044" w:type="dxa"/>
            <w:noWrap w:val="0"/>
            <w:vAlign w:val="center"/>
          </w:tcPr>
          <w:p w14:paraId="5B46CF3B">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46.99</w:t>
            </w:r>
          </w:p>
        </w:tc>
        <w:tc>
          <w:tcPr>
            <w:tcW w:w="996" w:type="dxa"/>
            <w:noWrap w:val="0"/>
            <w:vAlign w:val="center"/>
          </w:tcPr>
          <w:p w14:paraId="2373615B">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≤44.49</w:t>
            </w:r>
          </w:p>
        </w:tc>
        <w:tc>
          <w:tcPr>
            <w:tcW w:w="1153" w:type="dxa"/>
            <w:noWrap w:val="0"/>
            <w:vAlign w:val="center"/>
          </w:tcPr>
          <w:p w14:paraId="57A65F97">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约束性</w:t>
            </w:r>
          </w:p>
        </w:tc>
      </w:tr>
      <w:tr w14:paraId="2F9D6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90" w:type="dxa"/>
            <w:vMerge w:val="continue"/>
            <w:noWrap w:val="0"/>
            <w:vAlign w:val="center"/>
          </w:tcPr>
          <w:p w14:paraId="514221FD">
            <w:pPr>
              <w:spacing w:line="400" w:lineRule="exact"/>
              <w:jc w:val="center"/>
              <w:rPr>
                <w:rFonts w:ascii="Times New Roman" w:hAnsi="Times New Roman" w:eastAsia="方正仿宋_GBK" w:cs="Times New Roman"/>
                <w:b w:val="0"/>
                <w:bCs w:val="0"/>
              </w:rPr>
            </w:pPr>
          </w:p>
        </w:tc>
        <w:tc>
          <w:tcPr>
            <w:tcW w:w="533" w:type="dxa"/>
            <w:noWrap w:val="0"/>
            <w:vAlign w:val="center"/>
          </w:tcPr>
          <w:p w14:paraId="17D91404">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19</w:t>
            </w:r>
          </w:p>
        </w:tc>
        <w:tc>
          <w:tcPr>
            <w:tcW w:w="3822" w:type="dxa"/>
            <w:gridSpan w:val="2"/>
            <w:noWrap w:val="0"/>
            <w:vAlign w:val="center"/>
          </w:tcPr>
          <w:p w14:paraId="7FF713BE">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二级及以上综合性医院设置老年医学科的比例（%）</w:t>
            </w:r>
          </w:p>
        </w:tc>
        <w:tc>
          <w:tcPr>
            <w:tcW w:w="1044" w:type="dxa"/>
            <w:noWrap w:val="0"/>
            <w:vAlign w:val="center"/>
          </w:tcPr>
          <w:p w14:paraId="0C1E2C57">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100</w:t>
            </w:r>
          </w:p>
        </w:tc>
        <w:tc>
          <w:tcPr>
            <w:tcW w:w="996" w:type="dxa"/>
            <w:noWrap w:val="0"/>
            <w:vAlign w:val="center"/>
          </w:tcPr>
          <w:p w14:paraId="4DD6BAC8">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100</w:t>
            </w:r>
          </w:p>
        </w:tc>
        <w:tc>
          <w:tcPr>
            <w:tcW w:w="1153" w:type="dxa"/>
            <w:noWrap w:val="0"/>
            <w:vAlign w:val="center"/>
          </w:tcPr>
          <w:p w14:paraId="6BF6EFB1">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预期性</w:t>
            </w:r>
          </w:p>
        </w:tc>
      </w:tr>
      <w:tr w14:paraId="7E8E9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90" w:type="dxa"/>
            <w:vMerge w:val="continue"/>
            <w:noWrap w:val="0"/>
            <w:vAlign w:val="center"/>
          </w:tcPr>
          <w:p w14:paraId="2B618588">
            <w:pPr>
              <w:spacing w:line="400" w:lineRule="exact"/>
              <w:jc w:val="center"/>
              <w:rPr>
                <w:rFonts w:ascii="Times New Roman" w:hAnsi="Times New Roman" w:eastAsia="方正仿宋_GBK" w:cs="Times New Roman"/>
                <w:b w:val="0"/>
                <w:bCs w:val="0"/>
              </w:rPr>
            </w:pPr>
          </w:p>
        </w:tc>
        <w:tc>
          <w:tcPr>
            <w:tcW w:w="533" w:type="dxa"/>
            <w:noWrap w:val="0"/>
            <w:vAlign w:val="center"/>
          </w:tcPr>
          <w:p w14:paraId="2C11A31D">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20</w:t>
            </w:r>
          </w:p>
        </w:tc>
        <w:tc>
          <w:tcPr>
            <w:tcW w:w="3822" w:type="dxa"/>
            <w:gridSpan w:val="2"/>
            <w:noWrap w:val="0"/>
            <w:vAlign w:val="center"/>
          </w:tcPr>
          <w:p w14:paraId="0E23A7E7">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公立医院万元收入能耗支出（元）</w:t>
            </w:r>
          </w:p>
        </w:tc>
        <w:tc>
          <w:tcPr>
            <w:tcW w:w="1044" w:type="dxa"/>
            <w:noWrap w:val="0"/>
            <w:vAlign w:val="center"/>
          </w:tcPr>
          <w:p w14:paraId="1E2CF570">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219</w:t>
            </w:r>
          </w:p>
        </w:tc>
        <w:tc>
          <w:tcPr>
            <w:tcW w:w="996" w:type="dxa"/>
            <w:noWrap w:val="0"/>
            <w:vAlign w:val="center"/>
          </w:tcPr>
          <w:p w14:paraId="1702526F">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95</w:t>
            </w:r>
          </w:p>
        </w:tc>
        <w:tc>
          <w:tcPr>
            <w:tcW w:w="1153" w:type="dxa"/>
            <w:noWrap w:val="0"/>
            <w:vAlign w:val="center"/>
          </w:tcPr>
          <w:p w14:paraId="2E9D49A3">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预期性</w:t>
            </w:r>
          </w:p>
        </w:tc>
      </w:tr>
      <w:tr w14:paraId="4C55A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2" w:hRule="atLeast"/>
          <w:jc w:val="center"/>
        </w:trPr>
        <w:tc>
          <w:tcPr>
            <w:tcW w:w="890" w:type="dxa"/>
            <w:vMerge w:val="continue"/>
            <w:noWrap w:val="0"/>
            <w:vAlign w:val="center"/>
          </w:tcPr>
          <w:p w14:paraId="7A0133B7">
            <w:pPr>
              <w:spacing w:line="400" w:lineRule="exact"/>
              <w:jc w:val="center"/>
              <w:rPr>
                <w:rFonts w:ascii="Times New Roman" w:hAnsi="Times New Roman" w:eastAsia="方正仿宋_GBK" w:cs="Times New Roman"/>
                <w:b w:val="0"/>
                <w:bCs w:val="0"/>
              </w:rPr>
            </w:pPr>
          </w:p>
        </w:tc>
        <w:tc>
          <w:tcPr>
            <w:tcW w:w="533" w:type="dxa"/>
            <w:noWrap w:val="0"/>
            <w:vAlign w:val="center"/>
          </w:tcPr>
          <w:p w14:paraId="27B23008">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21</w:t>
            </w:r>
          </w:p>
        </w:tc>
        <w:tc>
          <w:tcPr>
            <w:tcW w:w="3822" w:type="dxa"/>
            <w:gridSpan w:val="2"/>
            <w:noWrap w:val="0"/>
            <w:vAlign w:val="center"/>
          </w:tcPr>
          <w:p w14:paraId="714ED594">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三级公立医院卫生技术人员人均科研经费（元）</w:t>
            </w:r>
          </w:p>
        </w:tc>
        <w:tc>
          <w:tcPr>
            <w:tcW w:w="1044" w:type="dxa"/>
            <w:noWrap w:val="0"/>
            <w:vAlign w:val="center"/>
          </w:tcPr>
          <w:p w14:paraId="79EA7245">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400</w:t>
            </w:r>
          </w:p>
        </w:tc>
        <w:tc>
          <w:tcPr>
            <w:tcW w:w="996" w:type="dxa"/>
            <w:noWrap w:val="0"/>
            <w:vAlign w:val="center"/>
          </w:tcPr>
          <w:p w14:paraId="11A476CC">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700</w:t>
            </w:r>
          </w:p>
        </w:tc>
        <w:tc>
          <w:tcPr>
            <w:tcW w:w="1153" w:type="dxa"/>
            <w:noWrap w:val="0"/>
            <w:vAlign w:val="center"/>
          </w:tcPr>
          <w:p w14:paraId="3333DCA0">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预期性</w:t>
            </w:r>
          </w:p>
        </w:tc>
      </w:tr>
      <w:tr w14:paraId="1D17D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90" w:type="dxa"/>
            <w:vMerge w:val="continue"/>
            <w:noWrap w:val="0"/>
            <w:vAlign w:val="center"/>
          </w:tcPr>
          <w:p w14:paraId="03947AAC">
            <w:pPr>
              <w:spacing w:line="400" w:lineRule="exact"/>
              <w:jc w:val="center"/>
              <w:rPr>
                <w:rFonts w:ascii="Times New Roman" w:hAnsi="Times New Roman" w:eastAsia="方正仿宋_GBK" w:cs="Times New Roman"/>
                <w:b w:val="0"/>
                <w:bCs w:val="0"/>
              </w:rPr>
            </w:pPr>
          </w:p>
        </w:tc>
        <w:tc>
          <w:tcPr>
            <w:tcW w:w="533" w:type="dxa"/>
            <w:vMerge w:val="restart"/>
            <w:noWrap w:val="0"/>
            <w:vAlign w:val="center"/>
          </w:tcPr>
          <w:p w14:paraId="78E12525">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22</w:t>
            </w:r>
          </w:p>
        </w:tc>
        <w:tc>
          <w:tcPr>
            <w:tcW w:w="2203" w:type="dxa"/>
            <w:vMerge w:val="restart"/>
            <w:noWrap w:val="0"/>
            <w:vAlign w:val="center"/>
          </w:tcPr>
          <w:p w14:paraId="21910F15">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三级公立中医医院患者中药饮片使用率（%）</w:t>
            </w:r>
          </w:p>
        </w:tc>
        <w:tc>
          <w:tcPr>
            <w:tcW w:w="1619" w:type="dxa"/>
            <w:noWrap w:val="0"/>
            <w:vAlign w:val="center"/>
          </w:tcPr>
          <w:p w14:paraId="6064E8CF">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门诊</w:t>
            </w:r>
          </w:p>
        </w:tc>
        <w:tc>
          <w:tcPr>
            <w:tcW w:w="1044" w:type="dxa"/>
            <w:noWrap w:val="0"/>
            <w:vAlign w:val="center"/>
          </w:tcPr>
          <w:p w14:paraId="63B13946">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16.46</w:t>
            </w:r>
          </w:p>
        </w:tc>
        <w:tc>
          <w:tcPr>
            <w:tcW w:w="996" w:type="dxa"/>
            <w:noWrap w:val="0"/>
            <w:vAlign w:val="center"/>
          </w:tcPr>
          <w:p w14:paraId="40774A0F">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≥30</w:t>
            </w:r>
          </w:p>
        </w:tc>
        <w:tc>
          <w:tcPr>
            <w:tcW w:w="1153" w:type="dxa"/>
            <w:noWrap w:val="0"/>
            <w:vAlign w:val="center"/>
          </w:tcPr>
          <w:p w14:paraId="798A51AA">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预期性</w:t>
            </w:r>
          </w:p>
        </w:tc>
      </w:tr>
      <w:tr w14:paraId="1DC5B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90" w:type="dxa"/>
            <w:vMerge w:val="continue"/>
            <w:noWrap w:val="0"/>
            <w:vAlign w:val="center"/>
          </w:tcPr>
          <w:p w14:paraId="2D8C26F2">
            <w:pPr>
              <w:spacing w:line="400" w:lineRule="exact"/>
              <w:jc w:val="center"/>
              <w:rPr>
                <w:rFonts w:ascii="Times New Roman" w:hAnsi="Times New Roman" w:eastAsia="方正仿宋_GBK" w:cs="Times New Roman"/>
                <w:b w:val="0"/>
                <w:bCs w:val="0"/>
              </w:rPr>
            </w:pPr>
          </w:p>
        </w:tc>
        <w:tc>
          <w:tcPr>
            <w:tcW w:w="533" w:type="dxa"/>
            <w:vMerge w:val="continue"/>
            <w:noWrap w:val="0"/>
            <w:vAlign w:val="center"/>
          </w:tcPr>
          <w:p w14:paraId="5B2AFDF0">
            <w:pPr>
              <w:spacing w:line="400" w:lineRule="exact"/>
              <w:jc w:val="center"/>
              <w:rPr>
                <w:rFonts w:ascii="Times New Roman" w:hAnsi="Times New Roman" w:eastAsia="方正仿宋_GBK" w:cs="Times New Roman"/>
                <w:b w:val="0"/>
                <w:bCs w:val="0"/>
              </w:rPr>
            </w:pPr>
          </w:p>
        </w:tc>
        <w:tc>
          <w:tcPr>
            <w:tcW w:w="2203" w:type="dxa"/>
            <w:vMerge w:val="continue"/>
            <w:noWrap w:val="0"/>
            <w:vAlign w:val="center"/>
          </w:tcPr>
          <w:p w14:paraId="1309F244">
            <w:pPr>
              <w:spacing w:line="400" w:lineRule="exact"/>
              <w:jc w:val="center"/>
              <w:rPr>
                <w:rFonts w:ascii="Times New Roman" w:hAnsi="Times New Roman" w:eastAsia="方正仿宋_GBK" w:cs="Times New Roman"/>
                <w:b w:val="0"/>
                <w:bCs w:val="0"/>
              </w:rPr>
            </w:pPr>
          </w:p>
        </w:tc>
        <w:tc>
          <w:tcPr>
            <w:tcW w:w="1619" w:type="dxa"/>
            <w:noWrap w:val="0"/>
            <w:vAlign w:val="center"/>
          </w:tcPr>
          <w:p w14:paraId="6E79ECF8">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住院</w:t>
            </w:r>
          </w:p>
        </w:tc>
        <w:tc>
          <w:tcPr>
            <w:tcW w:w="1044" w:type="dxa"/>
            <w:noWrap w:val="0"/>
            <w:vAlign w:val="center"/>
          </w:tcPr>
          <w:p w14:paraId="6FA386F5">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50.31</w:t>
            </w:r>
          </w:p>
        </w:tc>
        <w:tc>
          <w:tcPr>
            <w:tcW w:w="996" w:type="dxa"/>
            <w:noWrap w:val="0"/>
            <w:vAlign w:val="center"/>
          </w:tcPr>
          <w:p w14:paraId="0C461C59">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≥60</w:t>
            </w:r>
          </w:p>
        </w:tc>
        <w:tc>
          <w:tcPr>
            <w:tcW w:w="1153" w:type="dxa"/>
            <w:noWrap w:val="0"/>
            <w:vAlign w:val="center"/>
          </w:tcPr>
          <w:p w14:paraId="67B03EC1">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预期性</w:t>
            </w:r>
          </w:p>
        </w:tc>
      </w:tr>
      <w:tr w14:paraId="64E43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90" w:type="dxa"/>
            <w:vMerge w:val="restart"/>
            <w:noWrap w:val="0"/>
            <w:vAlign w:val="center"/>
          </w:tcPr>
          <w:p w14:paraId="709203A4">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健康环境</w:t>
            </w:r>
          </w:p>
        </w:tc>
        <w:tc>
          <w:tcPr>
            <w:tcW w:w="533" w:type="dxa"/>
            <w:noWrap w:val="0"/>
            <w:vAlign w:val="center"/>
          </w:tcPr>
          <w:p w14:paraId="0C1FFD3F">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23</w:t>
            </w:r>
          </w:p>
        </w:tc>
        <w:tc>
          <w:tcPr>
            <w:tcW w:w="3822" w:type="dxa"/>
            <w:gridSpan w:val="2"/>
            <w:noWrap w:val="0"/>
            <w:vAlign w:val="center"/>
          </w:tcPr>
          <w:p w14:paraId="52E90DD0">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空气质量优良天数比率（%）</w:t>
            </w:r>
          </w:p>
        </w:tc>
        <w:tc>
          <w:tcPr>
            <w:tcW w:w="1044" w:type="dxa"/>
            <w:noWrap w:val="0"/>
            <w:vAlign w:val="center"/>
          </w:tcPr>
          <w:p w14:paraId="218CFFD6">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93</w:t>
            </w:r>
          </w:p>
        </w:tc>
        <w:tc>
          <w:tcPr>
            <w:tcW w:w="996" w:type="dxa"/>
            <w:noWrap w:val="0"/>
            <w:vAlign w:val="center"/>
          </w:tcPr>
          <w:p w14:paraId="639A23D3">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≥95</w:t>
            </w:r>
          </w:p>
        </w:tc>
        <w:tc>
          <w:tcPr>
            <w:tcW w:w="1153" w:type="dxa"/>
            <w:noWrap w:val="0"/>
            <w:vAlign w:val="center"/>
          </w:tcPr>
          <w:p w14:paraId="66003390">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约束性</w:t>
            </w:r>
          </w:p>
        </w:tc>
      </w:tr>
      <w:tr w14:paraId="3FCA6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90" w:type="dxa"/>
            <w:vMerge w:val="continue"/>
            <w:noWrap w:val="0"/>
            <w:vAlign w:val="center"/>
          </w:tcPr>
          <w:p w14:paraId="7094B2F2">
            <w:pPr>
              <w:spacing w:line="400" w:lineRule="exact"/>
              <w:jc w:val="center"/>
              <w:rPr>
                <w:rFonts w:ascii="Times New Roman" w:hAnsi="Times New Roman" w:eastAsia="方正仿宋_GBK" w:cs="Times New Roman"/>
                <w:b w:val="0"/>
                <w:bCs w:val="0"/>
              </w:rPr>
            </w:pPr>
          </w:p>
        </w:tc>
        <w:tc>
          <w:tcPr>
            <w:tcW w:w="533" w:type="dxa"/>
            <w:noWrap w:val="0"/>
            <w:vAlign w:val="center"/>
          </w:tcPr>
          <w:p w14:paraId="3AE1281E">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24</w:t>
            </w:r>
          </w:p>
        </w:tc>
        <w:tc>
          <w:tcPr>
            <w:tcW w:w="3822" w:type="dxa"/>
            <w:gridSpan w:val="2"/>
            <w:noWrap w:val="0"/>
            <w:vAlign w:val="center"/>
          </w:tcPr>
          <w:p w14:paraId="5FC128A9">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地表水达到或好于Ⅲ类水体比例（%）</w:t>
            </w:r>
          </w:p>
        </w:tc>
        <w:tc>
          <w:tcPr>
            <w:tcW w:w="1044" w:type="dxa"/>
            <w:noWrap w:val="0"/>
            <w:vAlign w:val="center"/>
          </w:tcPr>
          <w:p w14:paraId="3524A980">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100</w:t>
            </w:r>
          </w:p>
        </w:tc>
        <w:tc>
          <w:tcPr>
            <w:tcW w:w="996" w:type="dxa"/>
            <w:noWrap w:val="0"/>
            <w:vAlign w:val="center"/>
          </w:tcPr>
          <w:p w14:paraId="6B6252D5">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100</w:t>
            </w:r>
          </w:p>
        </w:tc>
        <w:tc>
          <w:tcPr>
            <w:tcW w:w="1153" w:type="dxa"/>
            <w:noWrap w:val="0"/>
            <w:vAlign w:val="center"/>
          </w:tcPr>
          <w:p w14:paraId="7155C066">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约束性</w:t>
            </w:r>
          </w:p>
        </w:tc>
      </w:tr>
      <w:tr w14:paraId="550F2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90" w:type="dxa"/>
            <w:vMerge w:val="continue"/>
            <w:noWrap w:val="0"/>
            <w:vAlign w:val="center"/>
          </w:tcPr>
          <w:p w14:paraId="557F1AF0">
            <w:pPr>
              <w:spacing w:line="400" w:lineRule="exact"/>
              <w:jc w:val="center"/>
              <w:rPr>
                <w:rFonts w:ascii="Times New Roman" w:hAnsi="Times New Roman" w:eastAsia="方正仿宋_GBK" w:cs="Times New Roman"/>
                <w:b w:val="0"/>
                <w:bCs w:val="0"/>
              </w:rPr>
            </w:pPr>
          </w:p>
        </w:tc>
        <w:tc>
          <w:tcPr>
            <w:tcW w:w="533" w:type="dxa"/>
            <w:noWrap w:val="0"/>
            <w:vAlign w:val="center"/>
          </w:tcPr>
          <w:p w14:paraId="5255F324">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25</w:t>
            </w:r>
          </w:p>
        </w:tc>
        <w:tc>
          <w:tcPr>
            <w:tcW w:w="3822" w:type="dxa"/>
            <w:gridSpan w:val="2"/>
            <w:noWrap w:val="0"/>
            <w:vAlign w:val="center"/>
          </w:tcPr>
          <w:p w14:paraId="6C335BAD">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市级卫生城镇数量占比（%）</w:t>
            </w:r>
          </w:p>
        </w:tc>
        <w:tc>
          <w:tcPr>
            <w:tcW w:w="1044" w:type="dxa"/>
            <w:noWrap w:val="0"/>
            <w:vAlign w:val="center"/>
          </w:tcPr>
          <w:p w14:paraId="2D41AAA6">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14.29</w:t>
            </w:r>
          </w:p>
        </w:tc>
        <w:tc>
          <w:tcPr>
            <w:tcW w:w="996" w:type="dxa"/>
            <w:noWrap w:val="0"/>
            <w:vAlign w:val="center"/>
          </w:tcPr>
          <w:p w14:paraId="15355DE7">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≥28</w:t>
            </w:r>
          </w:p>
        </w:tc>
        <w:tc>
          <w:tcPr>
            <w:tcW w:w="1153" w:type="dxa"/>
            <w:noWrap w:val="0"/>
            <w:vAlign w:val="center"/>
          </w:tcPr>
          <w:p w14:paraId="5376602E">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预期性</w:t>
            </w:r>
          </w:p>
        </w:tc>
      </w:tr>
      <w:tr w14:paraId="1B5A7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890" w:type="dxa"/>
            <w:vMerge w:val="restart"/>
            <w:noWrap w:val="0"/>
            <w:vAlign w:val="center"/>
          </w:tcPr>
          <w:p w14:paraId="50CB6F91">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健康保障</w:t>
            </w:r>
          </w:p>
        </w:tc>
        <w:tc>
          <w:tcPr>
            <w:tcW w:w="533" w:type="dxa"/>
            <w:noWrap w:val="0"/>
            <w:vAlign w:val="center"/>
          </w:tcPr>
          <w:p w14:paraId="1F0B5FCA">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26</w:t>
            </w:r>
          </w:p>
        </w:tc>
        <w:tc>
          <w:tcPr>
            <w:tcW w:w="3822" w:type="dxa"/>
            <w:gridSpan w:val="2"/>
            <w:noWrap w:val="0"/>
            <w:vAlign w:val="center"/>
          </w:tcPr>
          <w:p w14:paraId="5A3F91F0">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个人卫生支出占卫生总费用的比重（%）</w:t>
            </w:r>
          </w:p>
        </w:tc>
        <w:tc>
          <w:tcPr>
            <w:tcW w:w="1044" w:type="dxa"/>
            <w:noWrap w:val="0"/>
            <w:vAlign w:val="center"/>
          </w:tcPr>
          <w:p w14:paraId="064D2E6D">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28.92</w:t>
            </w:r>
          </w:p>
        </w:tc>
        <w:tc>
          <w:tcPr>
            <w:tcW w:w="996" w:type="dxa"/>
            <w:noWrap w:val="0"/>
            <w:vAlign w:val="center"/>
          </w:tcPr>
          <w:p w14:paraId="5DDC49B4">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≤27</w:t>
            </w:r>
          </w:p>
        </w:tc>
        <w:tc>
          <w:tcPr>
            <w:tcW w:w="1153" w:type="dxa"/>
            <w:noWrap w:val="0"/>
            <w:vAlign w:val="center"/>
          </w:tcPr>
          <w:p w14:paraId="0EEDBF05">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约束性</w:t>
            </w:r>
          </w:p>
        </w:tc>
      </w:tr>
      <w:tr w14:paraId="35B52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2" w:hRule="atLeast"/>
          <w:jc w:val="center"/>
        </w:trPr>
        <w:tc>
          <w:tcPr>
            <w:tcW w:w="890" w:type="dxa"/>
            <w:vMerge w:val="continue"/>
            <w:noWrap w:val="0"/>
            <w:vAlign w:val="center"/>
          </w:tcPr>
          <w:p w14:paraId="7DF6ED84">
            <w:pPr>
              <w:spacing w:line="400" w:lineRule="exact"/>
              <w:jc w:val="center"/>
              <w:rPr>
                <w:rFonts w:ascii="Times New Roman" w:hAnsi="Times New Roman" w:eastAsia="方正仿宋_GBK" w:cs="Times New Roman"/>
                <w:b w:val="0"/>
                <w:bCs w:val="0"/>
              </w:rPr>
            </w:pPr>
          </w:p>
        </w:tc>
        <w:tc>
          <w:tcPr>
            <w:tcW w:w="533" w:type="dxa"/>
            <w:vMerge w:val="restart"/>
            <w:noWrap w:val="0"/>
            <w:vAlign w:val="center"/>
          </w:tcPr>
          <w:p w14:paraId="6BEB5AC7">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27</w:t>
            </w:r>
          </w:p>
        </w:tc>
        <w:tc>
          <w:tcPr>
            <w:tcW w:w="3822" w:type="dxa"/>
            <w:gridSpan w:val="2"/>
            <w:noWrap w:val="0"/>
            <w:vAlign w:val="center"/>
          </w:tcPr>
          <w:p w14:paraId="35DB6EE9">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城镇职工医保政策范围内住院费用支付比例（%）</w:t>
            </w:r>
          </w:p>
        </w:tc>
        <w:tc>
          <w:tcPr>
            <w:tcW w:w="1044" w:type="dxa"/>
            <w:noWrap w:val="0"/>
            <w:vAlign w:val="center"/>
          </w:tcPr>
          <w:p w14:paraId="57419735">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80</w:t>
            </w:r>
          </w:p>
        </w:tc>
        <w:tc>
          <w:tcPr>
            <w:tcW w:w="996" w:type="dxa"/>
            <w:noWrap w:val="0"/>
            <w:vAlign w:val="center"/>
          </w:tcPr>
          <w:p w14:paraId="469A6099">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85</w:t>
            </w:r>
          </w:p>
        </w:tc>
        <w:tc>
          <w:tcPr>
            <w:tcW w:w="1153" w:type="dxa"/>
            <w:vMerge w:val="restart"/>
            <w:noWrap w:val="0"/>
            <w:vAlign w:val="center"/>
          </w:tcPr>
          <w:p w14:paraId="783116F4">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预期性</w:t>
            </w:r>
          </w:p>
        </w:tc>
      </w:tr>
      <w:tr w14:paraId="24529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890" w:type="dxa"/>
            <w:vMerge w:val="continue"/>
            <w:noWrap w:val="0"/>
            <w:vAlign w:val="center"/>
          </w:tcPr>
          <w:p w14:paraId="1A890E72">
            <w:pPr>
              <w:spacing w:line="400" w:lineRule="exact"/>
              <w:jc w:val="center"/>
              <w:rPr>
                <w:rFonts w:ascii="Times New Roman" w:hAnsi="Times New Roman" w:eastAsia="方正仿宋_GBK" w:cs="Times New Roman"/>
                <w:b w:val="0"/>
                <w:bCs w:val="0"/>
              </w:rPr>
            </w:pPr>
          </w:p>
        </w:tc>
        <w:tc>
          <w:tcPr>
            <w:tcW w:w="533" w:type="dxa"/>
            <w:vMerge w:val="continue"/>
            <w:noWrap w:val="0"/>
            <w:vAlign w:val="center"/>
          </w:tcPr>
          <w:p w14:paraId="2DBAA897">
            <w:pPr>
              <w:spacing w:line="400" w:lineRule="exact"/>
              <w:jc w:val="center"/>
              <w:rPr>
                <w:rFonts w:ascii="Times New Roman" w:hAnsi="Times New Roman" w:eastAsia="方正仿宋_GBK" w:cs="Times New Roman"/>
                <w:b w:val="0"/>
                <w:bCs w:val="0"/>
              </w:rPr>
            </w:pPr>
          </w:p>
        </w:tc>
        <w:tc>
          <w:tcPr>
            <w:tcW w:w="3822" w:type="dxa"/>
            <w:gridSpan w:val="2"/>
            <w:noWrap w:val="0"/>
            <w:vAlign w:val="center"/>
          </w:tcPr>
          <w:p w14:paraId="31401AF3">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城乡居民医保政策范围内住院费用支付比例（%）</w:t>
            </w:r>
          </w:p>
        </w:tc>
        <w:tc>
          <w:tcPr>
            <w:tcW w:w="1044" w:type="dxa"/>
            <w:noWrap w:val="0"/>
            <w:vAlign w:val="center"/>
          </w:tcPr>
          <w:p w14:paraId="151D930A">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61.1</w:t>
            </w:r>
          </w:p>
        </w:tc>
        <w:tc>
          <w:tcPr>
            <w:tcW w:w="996" w:type="dxa"/>
            <w:noWrap w:val="0"/>
            <w:vAlign w:val="center"/>
          </w:tcPr>
          <w:p w14:paraId="01470035">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70左右</w:t>
            </w:r>
          </w:p>
        </w:tc>
        <w:tc>
          <w:tcPr>
            <w:tcW w:w="1153" w:type="dxa"/>
            <w:vMerge w:val="continue"/>
            <w:noWrap w:val="0"/>
            <w:vAlign w:val="center"/>
          </w:tcPr>
          <w:p w14:paraId="27524010">
            <w:pPr>
              <w:spacing w:line="400" w:lineRule="exact"/>
              <w:jc w:val="center"/>
              <w:rPr>
                <w:rFonts w:ascii="Times New Roman" w:hAnsi="Times New Roman" w:eastAsia="方正仿宋_GBK" w:cs="Times New Roman"/>
                <w:b w:val="0"/>
                <w:bCs w:val="0"/>
              </w:rPr>
            </w:pPr>
          </w:p>
        </w:tc>
      </w:tr>
      <w:tr w14:paraId="37877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90" w:type="dxa"/>
            <w:noWrap w:val="0"/>
            <w:vAlign w:val="center"/>
          </w:tcPr>
          <w:p w14:paraId="3DDAFF6B">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健康产业</w:t>
            </w:r>
          </w:p>
        </w:tc>
        <w:tc>
          <w:tcPr>
            <w:tcW w:w="533" w:type="dxa"/>
            <w:noWrap w:val="0"/>
            <w:vAlign w:val="center"/>
          </w:tcPr>
          <w:p w14:paraId="4FFEA21A">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28</w:t>
            </w:r>
          </w:p>
        </w:tc>
        <w:tc>
          <w:tcPr>
            <w:tcW w:w="3822" w:type="dxa"/>
            <w:gridSpan w:val="2"/>
            <w:noWrap w:val="0"/>
            <w:vAlign w:val="center"/>
          </w:tcPr>
          <w:p w14:paraId="263DE4C2">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健康产业产值或增加值（亿）</w:t>
            </w:r>
          </w:p>
        </w:tc>
        <w:tc>
          <w:tcPr>
            <w:tcW w:w="1044" w:type="dxa"/>
            <w:noWrap w:val="0"/>
            <w:vAlign w:val="center"/>
          </w:tcPr>
          <w:p w14:paraId="1FD4DD25">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w:t>
            </w:r>
          </w:p>
        </w:tc>
        <w:tc>
          <w:tcPr>
            <w:tcW w:w="996" w:type="dxa"/>
            <w:noWrap w:val="0"/>
            <w:vAlign w:val="center"/>
          </w:tcPr>
          <w:p w14:paraId="1FEA4E81">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200</w:t>
            </w:r>
          </w:p>
        </w:tc>
        <w:tc>
          <w:tcPr>
            <w:tcW w:w="1153" w:type="dxa"/>
            <w:noWrap w:val="0"/>
            <w:vAlign w:val="center"/>
          </w:tcPr>
          <w:p w14:paraId="00241588">
            <w:pPr>
              <w:spacing w:line="400" w:lineRule="exact"/>
              <w:jc w:val="center"/>
              <w:rPr>
                <w:rFonts w:ascii="Times New Roman" w:hAnsi="Times New Roman" w:eastAsia="方正仿宋_GBK" w:cs="Times New Roman"/>
                <w:b w:val="0"/>
                <w:bCs w:val="0"/>
              </w:rPr>
            </w:pPr>
            <w:r>
              <w:rPr>
                <w:rFonts w:ascii="Times New Roman" w:hAnsi="Times New Roman" w:eastAsia="方正仿宋_GBK" w:cs="Times New Roman"/>
                <w:b w:val="0"/>
                <w:bCs w:val="0"/>
              </w:rPr>
              <w:t>预期性</w:t>
            </w:r>
          </w:p>
        </w:tc>
      </w:tr>
    </w:tbl>
    <w:p w14:paraId="58A5C7A9">
      <w:pPr>
        <w:widowControl w:val="0"/>
        <w:jc w:val="both"/>
        <w:rPr>
          <w:rFonts w:ascii="Times New Roman" w:hAnsi="Times New Roman" w:eastAsia="宋体" w:cs="Times New Roman"/>
          <w:b w:val="0"/>
          <w:bCs w:val="0"/>
          <w:kern w:val="2"/>
          <w:sz w:val="21"/>
          <w:szCs w:val="21"/>
          <w:lang w:val="en-US" w:eastAsia="zh-CN" w:bidi="ar-SA"/>
        </w:rPr>
      </w:pPr>
    </w:p>
    <w:p w14:paraId="778E39BE">
      <w:pPr>
        <w:keepNext/>
        <w:keepLines/>
        <w:widowControl w:val="0"/>
        <w:spacing w:before="0" w:after="0" w:line="578" w:lineRule="exact"/>
        <w:ind w:firstLine="800" w:firstLineChars="250"/>
        <w:jc w:val="both"/>
        <w:outlineLvl w:val="1"/>
        <w:rPr>
          <w:rFonts w:ascii="Times New Roman" w:hAnsi="Times New Roman" w:eastAsia="方正黑体_GBK" w:cs="Times New Roman"/>
          <w:b w:val="0"/>
          <w:bCs w:val="0"/>
          <w:kern w:val="44"/>
          <w:sz w:val="32"/>
          <w:szCs w:val="32"/>
          <w:lang w:val="en-US" w:eastAsia="zh-CN" w:bidi="ar-SA"/>
        </w:rPr>
      </w:pPr>
      <w:bookmarkStart w:id="29" w:name="_Toc32641"/>
      <w:bookmarkStart w:id="30" w:name="_Toc23315_WPSOffice_Level1"/>
      <w:r>
        <w:rPr>
          <w:rFonts w:ascii="Times New Roman" w:hAnsi="Times New Roman" w:eastAsia="方正黑体_GBK" w:cs="Times New Roman"/>
          <w:b w:val="0"/>
          <w:bCs w:val="0"/>
          <w:kern w:val="44"/>
          <w:sz w:val="32"/>
          <w:szCs w:val="32"/>
          <w:lang w:val="en-US" w:eastAsia="zh-CN" w:bidi="ar-SA"/>
        </w:rPr>
        <w:t>三、重要任务和重大改革举措</w:t>
      </w:r>
      <w:bookmarkEnd w:id="29"/>
      <w:bookmarkEnd w:id="30"/>
    </w:p>
    <w:p w14:paraId="7035F285">
      <w:pPr>
        <w:keepNext/>
        <w:keepLines/>
        <w:widowControl w:val="0"/>
        <w:spacing w:before="0" w:after="0" w:line="578" w:lineRule="exact"/>
        <w:ind w:firstLine="640" w:firstLineChars="200"/>
        <w:jc w:val="both"/>
        <w:outlineLvl w:val="1"/>
        <w:rPr>
          <w:rFonts w:ascii="Times New Roman" w:hAnsi="Times New Roman" w:eastAsia="楷体" w:cs="Times New Roman"/>
          <w:b w:val="0"/>
          <w:bCs w:val="0"/>
          <w:kern w:val="2"/>
          <w:sz w:val="32"/>
          <w:szCs w:val="32"/>
          <w:lang w:val="en-US" w:eastAsia="zh-CN" w:bidi="ar-SA"/>
        </w:rPr>
      </w:pPr>
      <w:bookmarkStart w:id="31" w:name="_Toc13141"/>
      <w:bookmarkStart w:id="32" w:name="_Toc14509_WPSOffice_Level2"/>
      <w:r>
        <w:rPr>
          <w:rFonts w:hint="eastAsia" w:ascii="Times New Roman" w:hAnsi="Times New Roman" w:eastAsia="方正楷体_GBK" w:cs="方正楷体_GBK"/>
          <w:b w:val="0"/>
          <w:bCs w:val="0"/>
          <w:kern w:val="2"/>
          <w:sz w:val="32"/>
          <w:szCs w:val="32"/>
          <w:lang w:val="en-US" w:eastAsia="zh-CN" w:bidi="ar-SA"/>
        </w:rPr>
        <w:t>（一）深入推进健康中国云阳行动，不断提升居民健康水平</w:t>
      </w:r>
      <w:bookmarkEnd w:id="31"/>
      <w:bookmarkEnd w:id="32"/>
    </w:p>
    <w:p w14:paraId="6C5D9C88">
      <w:pPr>
        <w:spacing w:line="578" w:lineRule="exact"/>
        <w:ind w:firstLine="640" w:firstLineChars="200"/>
        <w:rPr>
          <w:rFonts w:ascii="Times New Roman" w:hAnsi="Times New Roman" w:eastAsia="方正仿宋_GBK" w:cs="Times New Roman"/>
          <w:b w:val="0"/>
          <w:bCs w:val="0"/>
          <w:spacing w:val="-6"/>
          <w:sz w:val="32"/>
          <w:szCs w:val="32"/>
        </w:rPr>
      </w:pPr>
      <w:r>
        <w:rPr>
          <w:rFonts w:ascii="Times New Roman" w:hAnsi="Times New Roman" w:eastAsia="方正仿宋_GBK" w:cs="Times New Roman"/>
          <w:b w:val="0"/>
          <w:bCs w:val="0"/>
          <w:sz w:val="32"/>
          <w:szCs w:val="32"/>
        </w:rPr>
        <w:t>1.</w:t>
      </w:r>
      <w:r>
        <w:rPr>
          <w:rFonts w:hint="eastAsia" w:ascii="Times New Roman" w:hAnsi="Times New Roman" w:eastAsia="方正仿宋_GBK" w:cs="Times New Roman"/>
          <w:b w:val="0"/>
          <w:bCs w:val="0"/>
          <w:sz w:val="32"/>
          <w:szCs w:val="32"/>
          <w:lang w:val="en-US" w:eastAsia="zh-CN"/>
        </w:rPr>
        <w:t xml:space="preserve"> </w:t>
      </w:r>
      <w:r>
        <w:rPr>
          <w:rFonts w:ascii="Times New Roman" w:hAnsi="Times New Roman" w:eastAsia="方正仿宋_GBK" w:cs="Times New Roman"/>
          <w:b w:val="0"/>
          <w:bCs w:val="0"/>
          <w:sz w:val="32"/>
          <w:szCs w:val="32"/>
        </w:rPr>
        <w:t>加强健康促进与教育。深入贯彻健康中国战略，将健康促进工作融入所有政策，形成</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政府主导、部门联动、群众参与</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齐抓共管的良好局面。紧紧围绕</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三峡健康城</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总体目标，积极开展国家级健康促进县创建工作。高定位规划建设健康文化主题公园，持续推进健康促进医院、学校、社区、企业、机关和家庭创建。积极探索村（社区）健康促进阵地建设，逐步推进社区健康文化大院建设，真正为群众打造一批美观、便捷、实用的健康教育场地。建立完善健康科普专家库和资源库，推动</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互联网+精准健康科普</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，构建全媒体健康科普知识发布和传播机制。以健康中国行动十五类专项行动为重点，持续开展</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健康赶场日</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等形式多样的健康促进活动，加强健康教育和健康知识普及，群众健康意识得到根本转变。推动二级以上医疗机构设立健康教育科，推进医务人员开具健康教育处方。全面实施健康生活方式行动，引导群众养成良好的健康生活方式。实施国民营养计划和合理膳食行动，强化重点区域、重点人群营养干预。深化体卫融合，</w:t>
      </w:r>
      <w:r>
        <w:rPr>
          <w:rFonts w:ascii="Times New Roman" w:hAnsi="Times New Roman" w:eastAsia="方正仿宋_GBK" w:cs="Times New Roman"/>
          <w:b w:val="0"/>
          <w:bCs w:val="0"/>
          <w:spacing w:val="-6"/>
          <w:sz w:val="32"/>
          <w:szCs w:val="32"/>
        </w:rPr>
        <w:t>落实</w:t>
      </w:r>
      <w:r>
        <w:rPr>
          <w:rFonts w:hint="eastAsia" w:ascii="Times New Roman" w:hAnsi="Times New Roman" w:eastAsia="方正仿宋_GBK" w:cs="Times New Roman"/>
          <w:b w:val="0"/>
          <w:bCs w:val="0"/>
          <w:spacing w:val="-6"/>
          <w:sz w:val="32"/>
          <w:szCs w:val="32"/>
        </w:rPr>
        <w:t>“</w:t>
      </w:r>
      <w:r>
        <w:rPr>
          <w:rFonts w:ascii="Times New Roman" w:hAnsi="Times New Roman" w:eastAsia="方正仿宋_GBK" w:cs="Times New Roman"/>
          <w:b w:val="0"/>
          <w:bCs w:val="0"/>
          <w:spacing w:val="-6"/>
          <w:sz w:val="32"/>
          <w:szCs w:val="32"/>
        </w:rPr>
        <w:t>主动健康</w:t>
      </w:r>
      <w:r>
        <w:rPr>
          <w:rFonts w:hint="eastAsia" w:ascii="Times New Roman" w:hAnsi="Times New Roman" w:eastAsia="方正仿宋_GBK" w:cs="Times New Roman"/>
          <w:b w:val="0"/>
          <w:bCs w:val="0"/>
          <w:spacing w:val="-6"/>
          <w:sz w:val="32"/>
          <w:szCs w:val="32"/>
        </w:rPr>
        <w:t>”</w:t>
      </w:r>
      <w:r>
        <w:rPr>
          <w:rFonts w:ascii="Times New Roman" w:hAnsi="Times New Roman" w:eastAsia="方正仿宋_GBK" w:cs="Times New Roman"/>
          <w:b w:val="0"/>
          <w:bCs w:val="0"/>
          <w:spacing w:val="-6"/>
          <w:sz w:val="32"/>
          <w:szCs w:val="32"/>
        </w:rPr>
        <w:t>理念，广泛开展全民健身运动。到2025年，城乡居民健康素养水平不断提升，城乡居民健康素养水平达到30%以上。</w:t>
      </w:r>
    </w:p>
    <w:p w14:paraId="2CFB57FD">
      <w:pPr>
        <w:spacing w:line="578" w:lineRule="exact"/>
        <w:ind w:firstLine="640"/>
        <w:jc w:val="left"/>
        <w:rPr>
          <w:rFonts w:ascii="Times New Roman" w:hAnsi="Times New Roman" w:eastAsia="方正仿宋_GBK" w:cs="Times New Roman"/>
          <w:b w:val="0"/>
          <w:bCs w:val="0"/>
          <w:sz w:val="32"/>
          <w:szCs w:val="32"/>
        </w:rPr>
      </w:pPr>
      <w:r>
        <w:rPr>
          <w:rFonts w:ascii="Times New Roman" w:hAnsi="Times New Roman" w:eastAsia="方正仿宋_GBK" w:cs="Times New Roman"/>
          <w:b w:val="0"/>
          <w:bCs w:val="0"/>
          <w:sz w:val="32"/>
          <w:szCs w:val="32"/>
        </w:rPr>
        <w:t>2.</w:t>
      </w:r>
      <w:r>
        <w:rPr>
          <w:rFonts w:hint="eastAsia" w:ascii="Times New Roman" w:hAnsi="Times New Roman" w:eastAsia="方正仿宋_GBK" w:cs="Times New Roman"/>
          <w:b w:val="0"/>
          <w:bCs w:val="0"/>
          <w:sz w:val="32"/>
          <w:szCs w:val="32"/>
          <w:lang w:val="en-US" w:eastAsia="zh-CN"/>
        </w:rPr>
        <w:t xml:space="preserve"> </w:t>
      </w:r>
      <w:r>
        <w:rPr>
          <w:rFonts w:ascii="Times New Roman" w:hAnsi="Times New Roman" w:eastAsia="方正仿宋_GBK" w:cs="Times New Roman"/>
          <w:b w:val="0"/>
          <w:bCs w:val="0"/>
          <w:sz w:val="32"/>
          <w:szCs w:val="32"/>
        </w:rPr>
        <w:t>加强重大疾病防控和管理。优化重大疾病综合防控策略，提升疾病防治能力，完善监测体系，推进疾病治疗向健康管理转变，</w:t>
      </w:r>
      <w:r>
        <w:rPr>
          <w:rFonts w:ascii="Times New Roman" w:hAnsi="Times New Roman" w:eastAsia="方正仿宋_GBK" w:cs="Times New Roman"/>
          <w:b w:val="0"/>
          <w:bCs w:val="0"/>
          <w:sz w:val="32"/>
        </w:rPr>
        <w:t>建立专业公共卫生机构、综合性医院和专科医院、基层医疗卫生机构</w:t>
      </w:r>
      <w:r>
        <w:rPr>
          <w:rFonts w:hint="eastAsia" w:ascii="Times New Roman" w:hAnsi="Times New Roman" w:eastAsia="方正仿宋_GBK" w:cs="Times New Roman"/>
          <w:b w:val="0"/>
          <w:bCs w:val="0"/>
          <w:sz w:val="32"/>
        </w:rPr>
        <w:t>“</w:t>
      </w:r>
      <w:r>
        <w:rPr>
          <w:rFonts w:ascii="Times New Roman" w:hAnsi="Times New Roman" w:eastAsia="方正仿宋_GBK" w:cs="Times New Roman"/>
          <w:b w:val="0"/>
          <w:bCs w:val="0"/>
          <w:sz w:val="32"/>
        </w:rPr>
        <w:t>三位一体</w:t>
      </w:r>
      <w:r>
        <w:rPr>
          <w:rFonts w:hint="eastAsia" w:ascii="Times New Roman" w:hAnsi="Times New Roman" w:eastAsia="方正仿宋_GBK" w:cs="Times New Roman"/>
          <w:b w:val="0"/>
          <w:bCs w:val="0"/>
          <w:sz w:val="32"/>
        </w:rPr>
        <w:t>”</w:t>
      </w:r>
      <w:r>
        <w:rPr>
          <w:rFonts w:ascii="Times New Roman" w:hAnsi="Times New Roman" w:eastAsia="方正仿宋_GBK" w:cs="Times New Roman"/>
          <w:b w:val="0"/>
          <w:bCs w:val="0"/>
          <w:sz w:val="32"/>
        </w:rPr>
        <w:t>的重大疾病防控机制</w:t>
      </w:r>
      <w:r>
        <w:rPr>
          <w:rFonts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rPr>
        <w:t>加强慢性病综合防控，</w:t>
      </w:r>
      <w:r>
        <w:rPr>
          <w:rFonts w:ascii="Times New Roman" w:hAnsi="Times New Roman" w:eastAsia="方正仿宋_GBK" w:cs="Times New Roman"/>
          <w:b w:val="0"/>
          <w:bCs w:val="0"/>
          <w:sz w:val="32"/>
          <w:szCs w:val="32"/>
        </w:rPr>
        <w:t>基本实现高血压、糖尿病患者管理干预全覆盖，实施心脑血管疾病、癌症、慢性呼吸系统疾病、糖尿病的联防联控，到2025年，重大慢性病过早死亡率控制在13.5%以内。做好重点传染病防控，加强传染病监测预警，法定传染病报告率达到98%以上。突出重点人群和重点环节，加强艾滋病、结核病等重点传染病防治工作，</w:t>
      </w:r>
      <w:r>
        <w:rPr>
          <w:rFonts w:ascii="Times New Roman" w:hAnsi="Times New Roman" w:eastAsia="方正仿宋_GBK" w:cs="Times New Roman"/>
          <w:b w:val="0"/>
          <w:bCs w:val="0"/>
          <w:sz w:val="32"/>
        </w:rPr>
        <w:t>全面落实临床用血核酸检测和预防艾滋病母婴传播，加大结核筛查力度，实施结核病规范化治疗，落实结核病救治保障政策。</w:t>
      </w:r>
      <w:r>
        <w:rPr>
          <w:rFonts w:ascii="Times New Roman" w:hAnsi="Times New Roman" w:eastAsia="方正仿宋_GBK" w:cs="Times New Roman"/>
          <w:b w:val="0"/>
          <w:bCs w:val="0"/>
          <w:sz w:val="32"/>
          <w:szCs w:val="32"/>
        </w:rPr>
        <w:t>有效应对流感、手足口病、麻疹等重点传染病疫情，完善狂犬病、布鲁氏菌病、禽流感等人畜共患传染病综合治理策略。加强鼠疫、霍乱等烈性传染病防控，防范突发性急性传染病输入。巩固寄生虫病、地方病防治成果，持续保持疟疾消除状态，有效控制和消除血吸虫病危害，保持燃煤污染型氟中毒、克山病危害基本消除，有效控制饮水型氟中毒。强化疫苗接种，稳妥有序做好新冠疫苗接种工作，逐步提高人群接种率。落实国家免疫规划，以乡镇（街道）为单位，适龄儿童国家免疫规划疫苗接种率保持在98%以上，</w:t>
      </w:r>
      <w:r>
        <w:rPr>
          <w:rFonts w:hint="eastAsia" w:ascii="Times New Roman" w:hAnsi="Times New Roman" w:eastAsia="方正仿宋_GBK" w:cs="Times New Roman"/>
          <w:b w:val="0"/>
          <w:bCs w:val="0"/>
          <w:sz w:val="32"/>
          <w:szCs w:val="32"/>
          <w:lang w:val="en-US" w:eastAsia="zh-CN"/>
        </w:rPr>
        <w:t>健</w:t>
      </w:r>
      <w:r>
        <w:rPr>
          <w:rFonts w:ascii="Times New Roman" w:hAnsi="Times New Roman" w:eastAsia="方正仿宋_GBK" w:cs="Times New Roman"/>
          <w:b w:val="0"/>
          <w:bCs w:val="0"/>
          <w:sz w:val="32"/>
          <w:szCs w:val="32"/>
        </w:rPr>
        <w:t>全预防接种异常反应补偿机制。</w:t>
      </w:r>
    </w:p>
    <w:p w14:paraId="731E5B3E">
      <w:pPr>
        <w:spacing w:line="578" w:lineRule="exact"/>
        <w:ind w:firstLine="640" w:firstLineChars="200"/>
        <w:rPr>
          <w:rFonts w:ascii="Times New Roman" w:hAnsi="Times New Roman" w:eastAsia="方正仿宋_GBK" w:cs="Times New Roman"/>
          <w:b w:val="0"/>
          <w:bCs w:val="0"/>
          <w:sz w:val="32"/>
          <w:szCs w:val="32"/>
        </w:rPr>
      </w:pPr>
      <w:r>
        <w:rPr>
          <w:rFonts w:ascii="Times New Roman" w:hAnsi="Times New Roman" w:eastAsia="方正仿宋_GBK" w:cs="Times New Roman"/>
          <w:b w:val="0"/>
          <w:bCs w:val="0"/>
          <w:sz w:val="32"/>
          <w:szCs w:val="32"/>
        </w:rPr>
        <w:t>3.</w:t>
      </w:r>
      <w:r>
        <w:rPr>
          <w:rFonts w:hint="eastAsia" w:ascii="Times New Roman" w:hAnsi="Times New Roman" w:eastAsia="方正仿宋_GBK" w:cs="Times New Roman"/>
          <w:b w:val="0"/>
          <w:bCs w:val="0"/>
          <w:sz w:val="32"/>
          <w:szCs w:val="32"/>
          <w:lang w:val="en-US" w:eastAsia="zh-CN"/>
        </w:rPr>
        <w:t xml:space="preserve"> </w:t>
      </w:r>
      <w:r>
        <w:rPr>
          <w:rFonts w:ascii="Times New Roman" w:hAnsi="Times New Roman" w:eastAsia="方正仿宋_GBK" w:cs="Times New Roman"/>
          <w:b w:val="0"/>
          <w:bCs w:val="0"/>
          <w:sz w:val="32"/>
          <w:szCs w:val="32"/>
        </w:rPr>
        <w:t>加强妇幼健康服务能力建设。加快妇幼保健机构体系建设，完成云阳县妇女儿童医院建设，积极谋划按三级妇女儿童医院创建标准提升医院内涵建设。加强综合医院及基层卫生院孕产保健门诊和儿童保健门诊标准化建设。继续实施妇幼健康促进行动，提高孕产妇、儿童保健水平。加强孕产妇和新生儿危急重症救治能力建设，继续推广助产、高危孕产妇管理和新生儿复苏等适宜技术，保障母婴安全。加大出生缺陷三级干预力度，提高出生人口素质。到2025年，0-3岁儿童和孕产妇系统管理率达到94%</w:t>
      </w:r>
      <w:r>
        <w:rPr>
          <w:rFonts w:ascii="Times New Roman" w:hAnsi="Times New Roman" w:eastAsia="方正仿宋_GBK" w:cs="Times New Roman"/>
          <w:b w:val="0"/>
          <w:bCs w:val="0"/>
          <w:spacing w:val="-6"/>
          <w:sz w:val="32"/>
          <w:szCs w:val="32"/>
        </w:rPr>
        <w:t>以上，孕产妇住院分娩率达98%以上，婴儿死亡率控制在3.5‰以内，5岁以下儿童死亡率控制在5‰以内，妇女常见病检查率逐年提高。</w:t>
      </w:r>
    </w:p>
    <w:p w14:paraId="1DDC62FD">
      <w:pPr>
        <w:spacing w:line="578" w:lineRule="exact"/>
        <w:ind w:firstLine="640" w:firstLineChars="200"/>
        <w:rPr>
          <w:rFonts w:ascii="Times New Roman" w:hAnsi="Times New Roman" w:cs="Times New Roman"/>
          <w:b w:val="0"/>
          <w:bCs w:val="0"/>
          <w:spacing w:val="-6"/>
        </w:rPr>
      </w:pPr>
      <w:r>
        <w:rPr>
          <w:rFonts w:ascii="Times New Roman" w:hAnsi="Times New Roman" w:eastAsia="方正仿宋_GBK" w:cs="Times New Roman"/>
          <w:b w:val="0"/>
          <w:bCs w:val="0"/>
          <w:sz w:val="32"/>
          <w:szCs w:val="32"/>
        </w:rPr>
        <w:t>4.</w:t>
      </w:r>
      <w:r>
        <w:rPr>
          <w:rFonts w:hint="eastAsia" w:ascii="Times New Roman" w:hAnsi="Times New Roman" w:eastAsia="方正仿宋_GBK" w:cs="Times New Roman"/>
          <w:b w:val="0"/>
          <w:bCs w:val="0"/>
          <w:sz w:val="32"/>
          <w:szCs w:val="32"/>
          <w:lang w:val="en-US" w:eastAsia="zh-CN"/>
        </w:rPr>
        <w:t xml:space="preserve"> </w:t>
      </w:r>
      <w:r>
        <w:rPr>
          <w:rFonts w:ascii="Times New Roman" w:hAnsi="Times New Roman" w:eastAsia="方正仿宋_GBK" w:cs="Times New Roman"/>
          <w:b w:val="0"/>
          <w:bCs w:val="0"/>
          <w:sz w:val="32"/>
          <w:szCs w:val="32"/>
        </w:rPr>
        <w:t>提升精神卫生服务能力。加快推进县精神卫生保健院迁扩建项目，完成二级甲等专科医院创建，完善设备配置，强化人才引进，加强学科建设，全面提升精神卫生和心理健康服务保障能力，满足群众的精神卫生需求。提升和推进全县精神卫生综合管</w:t>
      </w:r>
      <w:r>
        <w:rPr>
          <w:rFonts w:ascii="Times New Roman" w:hAnsi="Times New Roman" w:eastAsia="方正仿宋_GBK" w:cs="Times New Roman"/>
          <w:b w:val="0"/>
          <w:bCs w:val="0"/>
          <w:spacing w:val="-6"/>
          <w:sz w:val="32"/>
          <w:szCs w:val="32"/>
        </w:rPr>
        <w:t>理工作，配合现代社会治理，完善多部门参与的强制医疗管理机制。建立完善精神卫生信息系统，提高严重精神障碍患者报告患病率、规范管理率和规范服药率。到2025年，严重精神障碍患者报告患病率达到4.5‰，管理率达到95%，精神分裂症规范服药率达到75%。</w:t>
      </w:r>
    </w:p>
    <w:p w14:paraId="6B048FDD">
      <w:pPr>
        <w:spacing w:line="578" w:lineRule="exact"/>
        <w:ind w:firstLine="640"/>
        <w:textAlignment w:val="baseline"/>
        <w:rPr>
          <w:rFonts w:ascii="Times New Roman" w:hAnsi="Times New Roman" w:eastAsia="方正仿宋_GBK" w:cs="Times New Roman"/>
          <w:b w:val="0"/>
          <w:bCs w:val="0"/>
          <w:color w:val="auto"/>
          <w:sz w:val="32"/>
          <w:szCs w:val="32"/>
          <w:lang w:val="en-US" w:eastAsia="zh-CN" w:bidi="ar-SA"/>
        </w:rPr>
      </w:pPr>
      <w:r>
        <w:rPr>
          <w:rFonts w:ascii="Times New Roman" w:hAnsi="Times New Roman" w:eastAsia="方正仿宋_GBK" w:cs="Times New Roman"/>
          <w:b w:val="0"/>
          <w:bCs w:val="0"/>
          <w:color w:val="auto"/>
          <w:sz w:val="32"/>
          <w:szCs w:val="32"/>
          <w:lang w:val="en-US" w:eastAsia="zh-CN" w:bidi="ar-SA"/>
        </w:rPr>
        <w:t>5.</w:t>
      </w:r>
      <w:r>
        <w:rPr>
          <w:rFonts w:hint="eastAsia" w:ascii="Times New Roman" w:hAnsi="Times New Roman" w:eastAsia="方正仿宋_GBK" w:cs="Times New Roman"/>
          <w:b w:val="0"/>
          <w:bCs w:val="0"/>
          <w:color w:val="auto"/>
          <w:sz w:val="32"/>
          <w:szCs w:val="32"/>
          <w:lang w:val="en-US" w:eastAsia="zh-CN" w:bidi="ar-SA"/>
        </w:rPr>
        <w:t xml:space="preserve"> </w:t>
      </w:r>
      <w:r>
        <w:rPr>
          <w:rFonts w:ascii="Times New Roman" w:hAnsi="Times New Roman" w:eastAsia="方正仿宋_GBK" w:cs="Times New Roman"/>
          <w:b w:val="0"/>
          <w:bCs w:val="0"/>
          <w:color w:val="auto"/>
          <w:sz w:val="32"/>
          <w:szCs w:val="32"/>
          <w:lang w:val="en-US" w:eastAsia="zh-CN" w:bidi="ar-SA"/>
        </w:rPr>
        <w:t>强化职业卫生与健康保护。强化职业健康危害源头防控和风险管控，健全完善职业病危害项目申报制度，建立健全职业病和职业病危害因素监测评估制度，扩大主动监测范围，工作场所职业病危害因素监测合格率达到85%以上。建立中小微型企业职工健康帮扶机制，支持企业完善职业病防护设施。完善职业病诊断和救治保障，健全诊断与鉴定制度，强化尘肺病等职业病救治保障。加强职业健康教育和健康促进，提高劳动者职业健康素养。推进健康企业建设，建设一批示范性健康企业。健全职业病防治技术支撑体系，加强职业健康风险评估、职业病危害监测及控制、职业病诊断救治能力建设。加强县级医院及甲级基层医疗卫生机构职业健康检查和职业人群健康管理能力。到2025年，辖区职业健康检查和职业病诊断服务覆盖率达到93%以上。</w:t>
      </w:r>
    </w:p>
    <w:p w14:paraId="32AF5B0C">
      <w:pPr>
        <w:widowControl w:val="0"/>
        <w:spacing w:line="578" w:lineRule="exact"/>
        <w:ind w:firstLine="640" w:firstLineChars="200"/>
        <w:jc w:val="left"/>
        <w:rPr>
          <w:rFonts w:ascii="Times New Roman" w:hAnsi="Times New Roman" w:eastAsia="方正仿宋_GBK" w:cs="Times New Roman"/>
          <w:b w:val="0"/>
          <w:bCs w:val="0"/>
          <w:kern w:val="2"/>
          <w:sz w:val="32"/>
          <w:szCs w:val="22"/>
          <w:lang w:val="en-US" w:eastAsia="zh-CN" w:bidi="ar-SA"/>
        </w:rPr>
      </w:pPr>
      <w:r>
        <w:rPr>
          <w:rFonts w:ascii="Times New Roman" w:hAnsi="Times New Roman" w:eastAsia="方正仿宋_GBK" w:cs="Times New Roman"/>
          <w:b w:val="0"/>
          <w:bCs w:val="0"/>
          <w:kern w:val="2"/>
          <w:sz w:val="32"/>
          <w:szCs w:val="22"/>
          <w:lang w:val="en-US" w:eastAsia="zh-CN" w:bidi="ar-SA"/>
        </w:rPr>
        <w:t>6.</w:t>
      </w:r>
      <w:r>
        <w:rPr>
          <w:rFonts w:hint="eastAsia" w:ascii="Times New Roman" w:hAnsi="Times New Roman" w:eastAsia="方正仿宋_GBK" w:cs="Times New Roman"/>
          <w:b w:val="0"/>
          <w:bCs w:val="0"/>
          <w:kern w:val="2"/>
          <w:sz w:val="32"/>
          <w:szCs w:val="22"/>
          <w:lang w:val="en-US" w:eastAsia="zh-CN" w:bidi="ar-SA"/>
        </w:rPr>
        <w:t xml:space="preserve"> </w:t>
      </w:r>
      <w:r>
        <w:rPr>
          <w:rFonts w:ascii="Times New Roman" w:hAnsi="Times New Roman" w:eastAsia="方正仿宋_GBK" w:cs="Times New Roman"/>
          <w:b w:val="0"/>
          <w:bCs w:val="0"/>
          <w:kern w:val="2"/>
          <w:sz w:val="32"/>
          <w:szCs w:val="22"/>
          <w:lang w:val="en-US" w:eastAsia="zh-CN" w:bidi="ar-SA"/>
        </w:rPr>
        <w:t>深化爱国卫生运动。深入推进城乡环境综合整治、垃圾污水治理、厕所革命、饮用水安全、病媒生物防治，建立健全环境卫生管理长效机制，提升城乡环境质量。倡导文明健康、绿色环保的生活方式，推动爱国卫生运动从环境卫生治理向社会健康管理转变。巩固国家卫生县城创建成果，全面推进卫生乡镇创建。加强控烟普法宣传，逐步实现室内公共场所、室内工作场所和公共交通等场所全面禁烟，持续巩固无烟医院、无烟学校建设成果，推进无烟企业、无烟党政机关创建。</w:t>
      </w:r>
    </w:p>
    <w:tbl>
      <w:tblPr>
        <w:tblStyle w:val="9"/>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20F7A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22" w:type="dxa"/>
            <w:noWrap w:val="0"/>
            <w:vAlign w:val="top"/>
          </w:tcPr>
          <w:p w14:paraId="6FFEE890">
            <w:pPr>
              <w:spacing w:line="560" w:lineRule="exact"/>
              <w:jc w:val="center"/>
              <w:rPr>
                <w:rFonts w:ascii="Times New Roman" w:hAnsi="Times New Roman" w:eastAsia="方正仿宋_GBK" w:cs="Times New Roman"/>
                <w:b w:val="0"/>
                <w:bCs w:val="0"/>
                <w:sz w:val="24"/>
                <w:szCs w:val="24"/>
              </w:rPr>
            </w:pPr>
            <w:r>
              <w:rPr>
                <w:rFonts w:hint="eastAsia" w:ascii="方正黑体_GBK" w:hAnsi="方正黑体_GBK" w:eastAsia="方正黑体_GBK" w:cs="方正黑体_GBK"/>
                <w:b w:val="0"/>
                <w:bCs w:val="0"/>
                <w:kern w:val="0"/>
                <w:sz w:val="28"/>
                <w:szCs w:val="28"/>
              </w:rPr>
              <w:t>专栏1  健康中国云阳行动项目</w:t>
            </w:r>
          </w:p>
        </w:tc>
      </w:tr>
      <w:tr w14:paraId="6BAA8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noWrap w:val="0"/>
            <w:vAlign w:val="top"/>
          </w:tcPr>
          <w:p w14:paraId="794ED734">
            <w:pPr>
              <w:spacing w:line="400" w:lineRule="exact"/>
              <w:ind w:firstLine="480" w:firstLineChars="200"/>
              <w:rPr>
                <w:rFonts w:ascii="Times New Roman" w:hAnsi="Times New Roman" w:eastAsia="方正仿宋_GBK" w:cs="Times New Roman"/>
                <w:b w:val="0"/>
                <w:bCs w:val="0"/>
                <w:sz w:val="24"/>
                <w:szCs w:val="24"/>
              </w:rPr>
            </w:pPr>
            <w:r>
              <w:rPr>
                <w:rFonts w:ascii="Times New Roman" w:hAnsi="Times New Roman" w:eastAsia="方正仿宋_GBK" w:cs="Times New Roman"/>
                <w:b w:val="0"/>
                <w:bCs w:val="0"/>
                <w:sz w:val="24"/>
                <w:szCs w:val="24"/>
              </w:rPr>
              <w:t>健康中国云阳行动。开展健康知识普及、合理膳食、全民健身、控烟干预、心理健康促进、健康环境促进、妇幼健康促进、中小学健康促进、职业健康保护、老年健康促进、心脑血管疾病防治、癌症防治、慢性呼吸系统疾病防治、糖尿病防治、传染病及地方病防控等15项行动，全面提升群众健康素养水平。开展减少烟草危害行动，推广减盐、减油、减糖、健康体重、健康口腔、健康骨骼等专项行动，倡导全民健康生活方式。推进食品营养标准体系建设，实施食品安全检验检测能力达标工作，加强食品安全抽查和风险检测工作。城乡居民《国民体质测定标准》合格以上的人数比例达到93.6%以上。完成国家级健康促进县申报和创建工作，持续开展健康促进医院、健康促进学校、健康促进机关、健康促进企业、健康促进社区/村、健康家庭等场所创建。建成健康文化主题公园。</w:t>
            </w:r>
          </w:p>
          <w:p w14:paraId="37530BA0">
            <w:pPr>
              <w:widowControl/>
              <w:spacing w:line="400" w:lineRule="exact"/>
              <w:ind w:firstLine="480" w:firstLineChars="200"/>
              <w:rPr>
                <w:rFonts w:ascii="Times New Roman" w:hAnsi="Times New Roman" w:eastAsia="方正仿宋_GBK" w:cs="Times New Roman"/>
                <w:b w:val="0"/>
                <w:bCs w:val="0"/>
                <w:sz w:val="24"/>
                <w:szCs w:val="24"/>
              </w:rPr>
            </w:pPr>
            <w:r>
              <w:rPr>
                <w:rFonts w:ascii="Times New Roman" w:hAnsi="Times New Roman" w:eastAsia="方正仿宋_GBK" w:cs="Times New Roman"/>
                <w:b w:val="0"/>
                <w:bCs w:val="0"/>
                <w:sz w:val="24"/>
                <w:szCs w:val="24"/>
              </w:rPr>
              <w:t>重大疾病防控和管理。重点传染病防控：新冠肺炎防控、艾滋病防控，结核病防控，流感和不明原因肺炎监测，手足口病、狂犬病、布鲁氏菌病、流行性出血热等传染病的监测及早期干预，突发急性传染病防控。实施国家扩大免疫规划：急性弛缓性麻痹病例、疑似预防接种异常反应病例及麻疹、乙肝、乙脑、流脑等疫苗可预防重点传染病监测。慢性病综合防控：慢性病监测及综合干预，脑卒中、心血管病、慢性呼吸系统疾病等筛查干预，癌症早诊早治，高血压、糖尿病高危人群健康干预，重点人群口腔疾病综合干预。</w:t>
            </w:r>
          </w:p>
          <w:p w14:paraId="6B781D0F">
            <w:pPr>
              <w:spacing w:line="400" w:lineRule="exact"/>
              <w:ind w:firstLine="480" w:firstLineChars="200"/>
              <w:textAlignment w:val="baseline"/>
              <w:rPr>
                <w:rFonts w:ascii="Times New Roman" w:hAnsi="Times New Roman" w:eastAsia="方正仿宋_GBK" w:cs="Times New Roman"/>
                <w:b w:val="0"/>
                <w:bCs w:val="0"/>
                <w:color w:val="auto"/>
                <w:kern w:val="2"/>
                <w:sz w:val="24"/>
                <w:szCs w:val="24"/>
                <w:lang w:val="en-US" w:eastAsia="zh-CN" w:bidi="ar-SA"/>
              </w:rPr>
            </w:pPr>
            <w:r>
              <w:rPr>
                <w:rFonts w:ascii="Times New Roman" w:hAnsi="Times New Roman" w:eastAsia="方正仿宋_GBK" w:cs="Times New Roman"/>
                <w:b w:val="0"/>
                <w:bCs w:val="0"/>
                <w:color w:val="auto"/>
                <w:kern w:val="2"/>
                <w:sz w:val="24"/>
                <w:szCs w:val="24"/>
                <w:lang w:val="en-US" w:eastAsia="zh-CN" w:bidi="ar-SA"/>
              </w:rPr>
              <w:t>妇幼健康服务能力建设。</w:t>
            </w:r>
            <w:r>
              <w:rPr>
                <w:rFonts w:ascii="Times New Roman" w:hAnsi="Times New Roman" w:eastAsia="方正仿宋_GBK" w:cs="Times New Roman"/>
                <w:b w:val="0"/>
                <w:bCs w:val="0"/>
                <w:color w:val="auto"/>
                <w:sz w:val="24"/>
                <w:szCs w:val="24"/>
                <w:lang w:val="en-US" w:eastAsia="zh-CN" w:bidi="ar-SA"/>
              </w:rPr>
              <w:t>妇女儿童医院项目全面建成投用，实施</w:t>
            </w:r>
            <w:r>
              <w:rPr>
                <w:rFonts w:ascii="Times New Roman" w:hAnsi="Times New Roman" w:eastAsia="方正仿宋_GBK" w:cs="Times New Roman"/>
                <w:b w:val="0"/>
                <w:bCs w:val="0"/>
                <w:color w:val="auto"/>
                <w:kern w:val="2"/>
                <w:sz w:val="24"/>
                <w:szCs w:val="24"/>
                <w:lang w:val="en-US" w:eastAsia="zh-CN" w:bidi="ar-SA"/>
              </w:rPr>
              <w:t>基层卫生院孕产保健门诊和儿童保健门诊标准化建设。</w:t>
            </w:r>
          </w:p>
          <w:p w14:paraId="1FF7FB7A">
            <w:pPr>
              <w:spacing w:line="400" w:lineRule="exact"/>
              <w:ind w:firstLine="480" w:firstLineChars="200"/>
              <w:textAlignment w:val="baseline"/>
              <w:rPr>
                <w:rFonts w:ascii="Times New Roman" w:hAnsi="Times New Roman" w:eastAsia="方正小标宋_GBK" w:cs="Times New Roman"/>
                <w:b w:val="0"/>
                <w:bCs w:val="0"/>
                <w:color w:val="000000"/>
                <w:sz w:val="24"/>
                <w:szCs w:val="24"/>
                <w:lang w:val="en-US" w:eastAsia="zh-CN" w:bidi="ar-SA"/>
              </w:rPr>
            </w:pPr>
            <w:r>
              <w:rPr>
                <w:rFonts w:ascii="Times New Roman" w:hAnsi="Times New Roman" w:eastAsia="方正仿宋_GBK" w:cs="Times New Roman"/>
                <w:b w:val="0"/>
                <w:bCs w:val="0"/>
                <w:color w:val="auto"/>
                <w:kern w:val="2"/>
                <w:sz w:val="24"/>
                <w:szCs w:val="24"/>
                <w:lang w:val="en-US" w:eastAsia="zh-CN" w:bidi="ar-SA"/>
              </w:rPr>
              <w:t>精神卫生服务能力建设。推进县精神卫生保</w:t>
            </w:r>
            <w:r>
              <w:rPr>
                <w:rFonts w:ascii="Times New Roman" w:hAnsi="Times New Roman" w:eastAsia="方正仿宋_GBK" w:cs="Times New Roman"/>
                <w:b w:val="0"/>
                <w:bCs w:val="0"/>
                <w:color w:val="auto"/>
                <w:sz w:val="24"/>
                <w:szCs w:val="24"/>
                <w:lang w:val="en-US" w:eastAsia="zh-CN" w:bidi="ar-SA"/>
              </w:rPr>
              <w:t>健院迁扩建项目建设。</w:t>
            </w:r>
          </w:p>
          <w:p w14:paraId="449A283C">
            <w:pPr>
              <w:spacing w:line="400" w:lineRule="exact"/>
              <w:ind w:firstLine="480" w:firstLineChars="200"/>
              <w:textAlignment w:val="baseline"/>
              <w:rPr>
                <w:rFonts w:ascii="Times New Roman" w:hAnsi="Times New Roman" w:eastAsia="方正仿宋_GBK" w:cs="Times New Roman"/>
                <w:b w:val="0"/>
                <w:bCs w:val="0"/>
                <w:color w:val="auto"/>
                <w:kern w:val="2"/>
                <w:sz w:val="24"/>
                <w:szCs w:val="24"/>
                <w:lang w:val="en-US" w:eastAsia="zh-CN" w:bidi="ar-SA"/>
              </w:rPr>
            </w:pPr>
            <w:r>
              <w:rPr>
                <w:rFonts w:ascii="Times New Roman" w:hAnsi="Times New Roman" w:eastAsia="方正仿宋_GBK" w:cs="Times New Roman"/>
                <w:b w:val="0"/>
                <w:bCs w:val="0"/>
                <w:color w:val="auto"/>
                <w:kern w:val="2"/>
                <w:sz w:val="24"/>
                <w:szCs w:val="24"/>
                <w:lang w:val="en-US" w:eastAsia="zh-CN" w:bidi="ar-SA"/>
              </w:rPr>
              <w:t>职业卫生与健康保护。完成县人民医院职业健康检查能力提升项目；江口镇中心卫生院、鱼泉镇卫生院完成尘肺病康复站建设，并通过市级验收。</w:t>
            </w:r>
          </w:p>
          <w:p w14:paraId="794E519E">
            <w:pPr>
              <w:spacing w:line="400" w:lineRule="exact"/>
              <w:ind w:firstLine="480" w:firstLineChars="200"/>
              <w:rPr>
                <w:rFonts w:ascii="Times New Roman" w:hAnsi="Times New Roman" w:eastAsia="方正仿宋_GBK" w:cs="Times New Roman"/>
                <w:b w:val="0"/>
                <w:bCs w:val="0"/>
                <w:sz w:val="28"/>
                <w:szCs w:val="28"/>
              </w:rPr>
            </w:pPr>
            <w:r>
              <w:rPr>
                <w:rFonts w:ascii="Times New Roman" w:hAnsi="Times New Roman" w:eastAsia="方正仿宋_GBK" w:cs="Times New Roman"/>
                <w:b w:val="0"/>
                <w:bCs w:val="0"/>
                <w:sz w:val="24"/>
                <w:szCs w:val="24"/>
              </w:rPr>
              <w:t>爱国卫生。巩固国家卫生县城，顺利通过复审；市级卫生乡镇占比达到28%以上，国家卫生乡镇占比达到10%。无烟党政机关建设达100％。</w:t>
            </w:r>
          </w:p>
        </w:tc>
      </w:tr>
    </w:tbl>
    <w:p w14:paraId="14D81BCD">
      <w:pPr>
        <w:keepNext/>
        <w:keepLines/>
        <w:widowControl w:val="0"/>
        <w:spacing w:before="0" w:after="0" w:line="578" w:lineRule="exact"/>
        <w:ind w:firstLine="320" w:firstLineChars="100"/>
        <w:jc w:val="both"/>
        <w:outlineLvl w:val="1"/>
        <w:rPr>
          <w:rFonts w:ascii="Times New Roman" w:hAnsi="Times New Roman" w:eastAsia="方正楷体_GBK" w:cs="方正楷体_GBK"/>
          <w:b w:val="0"/>
          <w:bCs w:val="0"/>
          <w:kern w:val="2"/>
          <w:sz w:val="32"/>
          <w:szCs w:val="32"/>
          <w:lang w:val="en-US" w:eastAsia="zh-CN" w:bidi="ar-SA"/>
        </w:rPr>
      </w:pPr>
      <w:bookmarkStart w:id="33" w:name="_Toc25451_WPSOffice_Level2"/>
      <w:bookmarkStart w:id="34" w:name="_Toc18242"/>
      <w:r>
        <w:rPr>
          <w:rFonts w:hint="eastAsia" w:ascii="Times New Roman" w:hAnsi="Times New Roman" w:eastAsia="方正楷体_GBK" w:cs="方正楷体_GBK"/>
          <w:b w:val="0"/>
          <w:bCs w:val="0"/>
          <w:kern w:val="2"/>
          <w:sz w:val="32"/>
          <w:szCs w:val="32"/>
          <w:lang w:val="en-US" w:eastAsia="zh-CN" w:bidi="ar-SA"/>
        </w:rPr>
        <w:t>（二）创新构建医防融合新机制，打造公共卫生服务新高地</w:t>
      </w:r>
      <w:bookmarkEnd w:id="33"/>
      <w:bookmarkEnd w:id="34"/>
    </w:p>
    <w:p w14:paraId="7B61DEA3">
      <w:pPr>
        <w:spacing w:line="578" w:lineRule="exact"/>
        <w:ind w:firstLine="640" w:firstLineChars="200"/>
        <w:rPr>
          <w:rFonts w:ascii="Times New Roman" w:hAnsi="Times New Roman" w:eastAsia="方正仿宋_GBK" w:cs="Times New Roman"/>
          <w:b w:val="0"/>
          <w:bCs w:val="0"/>
          <w:spacing w:val="4"/>
          <w:sz w:val="32"/>
          <w:szCs w:val="32"/>
        </w:rPr>
      </w:pPr>
      <w:r>
        <w:rPr>
          <w:rFonts w:ascii="Times New Roman" w:hAnsi="Times New Roman" w:eastAsia="方正仿宋_GBK" w:cs="Times New Roman"/>
          <w:b w:val="0"/>
          <w:bCs w:val="0"/>
          <w:sz w:val="32"/>
          <w:szCs w:val="32"/>
        </w:rPr>
        <w:t>7.</w:t>
      </w:r>
      <w:r>
        <w:rPr>
          <w:rFonts w:hint="eastAsia" w:ascii="Times New Roman" w:hAnsi="Times New Roman" w:eastAsia="方正仿宋_GBK" w:cs="Times New Roman"/>
          <w:b w:val="0"/>
          <w:bCs w:val="0"/>
          <w:sz w:val="32"/>
          <w:szCs w:val="32"/>
          <w:lang w:val="en-US" w:eastAsia="zh-CN"/>
        </w:rPr>
        <w:t xml:space="preserve"> </w:t>
      </w:r>
      <w:r>
        <w:rPr>
          <w:rFonts w:ascii="Times New Roman" w:hAnsi="Times New Roman" w:eastAsia="方正仿宋_GBK" w:cs="Times New Roman"/>
          <w:b w:val="0"/>
          <w:bCs w:val="0"/>
          <w:sz w:val="32"/>
          <w:szCs w:val="32"/>
        </w:rPr>
        <w:t>健全公共卫生体系。</w:t>
      </w:r>
      <w:r>
        <w:rPr>
          <w:rFonts w:ascii="Times New Roman" w:hAnsi="Times New Roman" w:eastAsia="方正仿宋_GBK" w:cs="Times New Roman"/>
          <w:b w:val="0"/>
          <w:bCs w:val="0"/>
          <w:spacing w:val="4"/>
          <w:sz w:val="32"/>
          <w:szCs w:val="32"/>
        </w:rPr>
        <w:t>完善疾病预防控制体系，构建以疾病预防控制机构为骨干，县级医疗机构为依托，基层医疗卫生机构为网底，防治结合、全社会协同的疾病预防控制体系</w:t>
      </w:r>
      <w:r>
        <w:rPr>
          <w:rFonts w:ascii="Times New Roman" w:hAnsi="Times New Roman" w:eastAsia="方正仿宋_GBK" w:cs="Times New Roman"/>
          <w:b w:val="0"/>
          <w:bCs w:val="0"/>
          <w:sz w:val="32"/>
          <w:szCs w:val="32"/>
        </w:rPr>
        <w:t>，健全基层网络化疫情防控体系，织密织牢基层防控网；开展</w:t>
      </w:r>
      <w:r>
        <w:rPr>
          <w:rFonts w:ascii="Times New Roman" w:hAnsi="Times New Roman" w:eastAsia="方正仿宋_GBK" w:cs="Times New Roman"/>
          <w:b w:val="0"/>
          <w:bCs w:val="0"/>
          <w:spacing w:val="4"/>
          <w:sz w:val="32"/>
          <w:szCs w:val="32"/>
        </w:rPr>
        <w:t>县疾病预防控制中心</w:t>
      </w:r>
      <w:r>
        <w:rPr>
          <w:rFonts w:ascii="Times New Roman" w:hAnsi="Times New Roman" w:eastAsia="方正仿宋_GBK" w:cs="Times New Roman"/>
          <w:b w:val="0"/>
          <w:bCs w:val="0"/>
          <w:sz w:val="32"/>
          <w:szCs w:val="32"/>
        </w:rPr>
        <w:t>标准化建设，完善设备配置，提升辖区常见传染病病原体、健康危害因素和国家卫生标准实施所需的检验检测能力；强化县疾控中心对全县医疗机构疾控工作的技术指导和监督考核，鼓励县域医共体设立公共卫生管理中心，乡镇（街道）设立公共卫生管理办公室，村级设立公共卫生委员会，落实疾控工作网格化管理职责；探索建立疾控监督员制度，督促落实传染病疫情和突发公共卫生事件报告责任。建设县级标准化卫生应急指挥中心，完善传染病疫情和突发公共卫生事件监测系统，改进不明原因疾病和异常健康事件监测机制，完善传染病疫情等突发公共卫生事件应急预案体系。</w:t>
      </w:r>
      <w:r>
        <w:rPr>
          <w:rFonts w:ascii="Times New Roman" w:hAnsi="Times New Roman" w:eastAsia="方正仿宋_GBK" w:cs="Times New Roman"/>
          <w:b w:val="0"/>
          <w:bCs w:val="0"/>
          <w:spacing w:val="4"/>
          <w:sz w:val="32"/>
          <w:szCs w:val="32"/>
        </w:rPr>
        <w:t>引导各级各类医疗卫生机构建立卫生应急队伍，</w:t>
      </w:r>
      <w:r>
        <w:rPr>
          <w:rFonts w:ascii="Times New Roman" w:hAnsi="Times New Roman" w:eastAsia="方正仿宋_GBK" w:cs="Times New Roman"/>
          <w:b w:val="0"/>
          <w:bCs w:val="0"/>
          <w:sz w:val="32"/>
          <w:szCs w:val="32"/>
        </w:rPr>
        <w:t>深入开展公共卫生应急技能提升行动，建立一批培训基地，开设一批培训专题，配备一批应急设备，适时开展社会卫生应急演练。加快实施公共卫生及卫生应急信息化建设。全面提升县级医院救治能力，建设重大疫情救治基地。加快县人民医院感染性疾病诊治楼全面建成投用，采取平疫结合的方式规划建设应急救治医院，对二级以上公立医院的发热门诊和肠道门诊进行标准化改造，规范建设基层医疗机构发热诊室、肠道门诊。依托万开云协同发展，</w:t>
      </w:r>
      <w:r>
        <w:rPr>
          <w:rFonts w:ascii="Times New Roman" w:hAnsi="Times New Roman" w:eastAsia="方正仿宋_GBK" w:cs="Times New Roman"/>
          <w:b w:val="0"/>
          <w:bCs w:val="0"/>
          <w:spacing w:val="4"/>
          <w:sz w:val="32"/>
          <w:szCs w:val="32"/>
        </w:rPr>
        <w:t>共建万开云陆水空立体医学救援体系，高水平打造紧急医学救援平台，全面提升紧急医学救援能力。构建完善卫生应急物资储备体系和应急调度机制，优化各级医疗卫生机构卫生应急基本物资储备，与县内流通企业探索建立常态化战略储备和定期轮换机制。</w:t>
      </w:r>
    </w:p>
    <w:p w14:paraId="558D7127">
      <w:pPr>
        <w:spacing w:line="578" w:lineRule="exact"/>
        <w:ind w:firstLine="640" w:firstLineChars="200"/>
        <w:rPr>
          <w:rFonts w:ascii="Times New Roman" w:hAnsi="Times New Roman" w:cs="Times New Roman"/>
          <w:b w:val="0"/>
          <w:bCs w:val="0"/>
        </w:rPr>
      </w:pPr>
      <w:r>
        <w:rPr>
          <w:rFonts w:ascii="Times New Roman" w:hAnsi="Times New Roman" w:eastAsia="方正仿宋_GBK" w:cs="Times New Roman"/>
          <w:b w:val="0"/>
          <w:bCs w:val="0"/>
          <w:sz w:val="32"/>
          <w:szCs w:val="32"/>
        </w:rPr>
        <w:t>8.</w:t>
      </w:r>
      <w:r>
        <w:rPr>
          <w:rFonts w:hint="eastAsia" w:ascii="Times New Roman" w:hAnsi="Times New Roman" w:eastAsia="方正仿宋_GBK" w:cs="Times New Roman"/>
          <w:b w:val="0"/>
          <w:bCs w:val="0"/>
          <w:sz w:val="32"/>
          <w:szCs w:val="32"/>
          <w:lang w:val="en-US" w:eastAsia="zh-CN"/>
        </w:rPr>
        <w:t xml:space="preserve"> </w:t>
      </w:r>
      <w:r>
        <w:rPr>
          <w:rFonts w:ascii="Times New Roman" w:hAnsi="Times New Roman" w:eastAsia="方正仿宋_GBK" w:cs="Times New Roman"/>
          <w:b w:val="0"/>
          <w:bCs w:val="0"/>
          <w:sz w:val="32"/>
          <w:szCs w:val="32"/>
        </w:rPr>
        <w:t>构建医防融合新机制。依托县域医共体建立</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两员一机构三联盟</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的医防融合新体系，向三家医共体牵头医院派驻公共卫生专员和联络员，向医共体成员单位派驻联络员，在医共体牵头医院内设置承担公共卫生管理服务的工作机构，组建全科医学急救联盟、中医药服务联盟、县域妇幼健康联盟。建立基层卫生院</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两部一馆一专区</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服务新模式，在基层卫生院设置妇幼健康部、全科医学部、中医馆和专科服务区，每个部（区）前置健康管理站，建立管理融合、队伍融合、服务融合、信息融合、绩效融合的医防</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五融合</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工作新机制。</w:t>
      </w:r>
    </w:p>
    <w:p w14:paraId="63CF7CB9">
      <w:pPr>
        <w:spacing w:line="578" w:lineRule="exact"/>
        <w:ind w:firstLine="640" w:firstLineChars="200"/>
        <w:rPr>
          <w:rFonts w:ascii="Times New Roman" w:hAnsi="Times New Roman" w:cs="Times New Roman"/>
          <w:b w:val="0"/>
          <w:bCs w:val="0"/>
        </w:rPr>
      </w:pPr>
      <w:r>
        <w:rPr>
          <w:rFonts w:ascii="Times New Roman" w:hAnsi="Times New Roman" w:eastAsia="方正仿宋_GBK" w:cs="Times New Roman"/>
          <w:b w:val="0"/>
          <w:bCs w:val="0"/>
          <w:sz w:val="32"/>
          <w:szCs w:val="32"/>
        </w:rPr>
        <w:t>9.</w:t>
      </w:r>
      <w:r>
        <w:rPr>
          <w:rFonts w:hint="eastAsia" w:ascii="Times New Roman" w:hAnsi="Times New Roman" w:eastAsia="方正仿宋_GBK" w:cs="Times New Roman"/>
          <w:b w:val="0"/>
          <w:bCs w:val="0"/>
          <w:sz w:val="32"/>
          <w:szCs w:val="32"/>
          <w:lang w:val="en-US" w:eastAsia="zh-CN"/>
        </w:rPr>
        <w:t xml:space="preserve"> </w:t>
      </w:r>
      <w:r>
        <w:rPr>
          <w:rFonts w:ascii="Times New Roman" w:hAnsi="Times New Roman" w:eastAsia="方正仿宋_GBK" w:cs="Times New Roman"/>
          <w:b w:val="0"/>
          <w:bCs w:val="0"/>
          <w:sz w:val="32"/>
          <w:szCs w:val="32"/>
        </w:rPr>
        <w:t>做实家庭医生签约服务。以家庭医生签约统揽整个基本公共卫生工作。重塑基层医疗卫生服务模式，建立以全科医生为主体、全科专科有效联动、医防有机融合的家医签约服务新模式。以家庭为单位，初步实现家医签约服务覆盖所有在家家庭。落实签约居民在就医、转诊、用药、医保等方面的优惠、便捷政策，基于居民健康档案为基础建立全方位全周期健康信息体系，与基本公共卫生服务和基本医疗服务深度融合，为签约居民提供公共卫生、基本医疗和健康管理相融合的家庭医生签约服务，逐步引导居民形成家庭医生首诊、经家庭医生转诊到上级医院就诊和下转接诊的模式，发挥家庭医生健康守门人作用。</w:t>
      </w:r>
    </w:p>
    <w:tbl>
      <w:tblPr>
        <w:tblStyle w:val="9"/>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6820E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8522" w:type="dxa"/>
            <w:noWrap w:val="0"/>
            <w:vAlign w:val="top"/>
          </w:tcPr>
          <w:p w14:paraId="371DE439">
            <w:pPr>
              <w:spacing w:line="560" w:lineRule="exact"/>
              <w:jc w:val="center"/>
              <w:rPr>
                <w:rFonts w:ascii="Times New Roman" w:hAnsi="Times New Roman" w:eastAsia="方正仿宋_GBK" w:cs="Times New Roman"/>
                <w:b w:val="0"/>
                <w:bCs w:val="0"/>
                <w:sz w:val="24"/>
                <w:szCs w:val="24"/>
              </w:rPr>
            </w:pPr>
            <w:r>
              <w:rPr>
                <w:rFonts w:hint="eastAsia" w:ascii="方正黑体_GBK" w:hAnsi="方正黑体_GBK" w:eastAsia="方正黑体_GBK" w:cs="方正黑体_GBK"/>
                <w:b w:val="0"/>
                <w:bCs w:val="0"/>
                <w:kern w:val="0"/>
                <w:sz w:val="28"/>
                <w:szCs w:val="28"/>
              </w:rPr>
              <w:t>专栏2 公共卫生服务</w:t>
            </w:r>
          </w:p>
        </w:tc>
      </w:tr>
      <w:tr w14:paraId="79A37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noWrap w:val="0"/>
            <w:vAlign w:val="top"/>
          </w:tcPr>
          <w:p w14:paraId="487AA40B">
            <w:pPr>
              <w:widowControl/>
              <w:spacing w:line="400" w:lineRule="exact"/>
              <w:ind w:firstLine="480" w:firstLineChars="200"/>
              <w:rPr>
                <w:rFonts w:ascii="Times New Roman" w:hAnsi="Times New Roman" w:eastAsia="方正仿宋_GBK" w:cs="Times New Roman"/>
                <w:b w:val="0"/>
                <w:bCs w:val="0"/>
                <w:sz w:val="24"/>
                <w:szCs w:val="24"/>
              </w:rPr>
            </w:pPr>
            <w:r>
              <w:rPr>
                <w:rFonts w:ascii="Times New Roman" w:hAnsi="Times New Roman" w:eastAsia="方正仿宋_GBK" w:cs="Times New Roman"/>
                <w:b w:val="0"/>
                <w:bCs w:val="0"/>
                <w:sz w:val="24"/>
                <w:szCs w:val="24"/>
              </w:rPr>
              <w:t>基本公共卫生服务项目。现阶段为建立居民健康档案、健康教育、预防接种、0—6岁儿童健康管理、孕产妇健康管理、老年人健康管理、高血压和Ⅱ型糖尿病等慢性病患者健康管理、严重精神障碍患者管理、肺结核患者健康管理、中医药健康管理、传染病和突发公共卫生事件报告和处理、卫生监督协管等12 项基本公共卫生服务达到市级规定标准。</w:t>
            </w:r>
          </w:p>
          <w:p w14:paraId="442846BD">
            <w:pPr>
              <w:widowControl/>
              <w:spacing w:line="400" w:lineRule="exact"/>
              <w:ind w:firstLine="480" w:firstLineChars="200"/>
              <w:rPr>
                <w:rFonts w:ascii="Times New Roman" w:hAnsi="Times New Roman" w:eastAsia="方正仿宋_GBK" w:cs="Times New Roman"/>
                <w:b w:val="0"/>
                <w:bCs w:val="0"/>
                <w:sz w:val="24"/>
                <w:szCs w:val="24"/>
              </w:rPr>
            </w:pPr>
            <w:r>
              <w:rPr>
                <w:rFonts w:ascii="Times New Roman" w:hAnsi="Times New Roman" w:eastAsia="方正仿宋_GBK" w:cs="Times New Roman"/>
                <w:b w:val="0"/>
                <w:bCs w:val="0"/>
                <w:sz w:val="24"/>
                <w:szCs w:val="24"/>
              </w:rPr>
              <w:t>其他公共卫生服务项目。现阶段为地方病防治、职业病防治、重大疾病及健康危害因素监测、疾病预防控制、妇幼健康服务、老年健康与医养结合服务、食品安全保障、卫生监督管理、卫生应急队伍建设、人口监测与计划生育服务、健康素养促进等19项达到市级规定标准。</w:t>
            </w:r>
          </w:p>
          <w:p w14:paraId="2DC34994">
            <w:pPr>
              <w:spacing w:line="400" w:lineRule="exact"/>
              <w:ind w:firstLine="480" w:firstLineChars="200"/>
              <w:rPr>
                <w:rFonts w:ascii="Times New Roman" w:hAnsi="Times New Roman" w:eastAsia="方正仿宋_GBK" w:cs="Times New Roman"/>
                <w:b w:val="0"/>
                <w:bCs w:val="0"/>
                <w:sz w:val="24"/>
                <w:szCs w:val="24"/>
              </w:rPr>
            </w:pPr>
            <w:r>
              <w:rPr>
                <w:rFonts w:ascii="Times New Roman" w:hAnsi="Times New Roman" w:eastAsia="方正仿宋_GBK" w:cs="Times New Roman"/>
                <w:b w:val="0"/>
                <w:bCs w:val="0"/>
                <w:sz w:val="24"/>
                <w:szCs w:val="24"/>
              </w:rPr>
              <w:t>公共卫生体系建设。县人民医院感染性疾病诊治楼、县中医院感染性疾病科业务用房建设项目全面建成投用；对二级以上公立医院的发热门诊和肠道门诊进行标准化改造；实施基层医疗机构发热诊室、肠道门诊提升项目；加快推进县应急救治医院、县疾控中心扩建升级项目建设。加强传染病防控卫生应急处置队伍专用装备配置。</w:t>
            </w:r>
          </w:p>
          <w:p w14:paraId="02CBA438">
            <w:pPr>
              <w:widowControl w:val="0"/>
              <w:spacing w:after="120" w:line="400" w:lineRule="exact"/>
              <w:ind w:firstLine="480" w:firstLineChars="200"/>
              <w:jc w:val="both"/>
              <w:rPr>
                <w:rFonts w:ascii="Times New Roman" w:hAnsi="Times New Roman" w:eastAsia="宋体" w:cs="Times New Roman"/>
                <w:b w:val="0"/>
                <w:bCs w:val="0"/>
                <w:kern w:val="2"/>
                <w:sz w:val="21"/>
                <w:szCs w:val="22"/>
                <w:lang w:val="en-US" w:eastAsia="zh-CN" w:bidi="ar-SA"/>
              </w:rPr>
            </w:pPr>
            <w:r>
              <w:rPr>
                <w:rFonts w:ascii="Times New Roman" w:hAnsi="Times New Roman" w:eastAsia="方正仿宋_GBK" w:cs="Times New Roman"/>
                <w:b w:val="0"/>
                <w:bCs w:val="0"/>
                <w:kern w:val="2"/>
                <w:sz w:val="24"/>
                <w:szCs w:val="24"/>
                <w:lang w:val="en-US" w:eastAsia="zh-CN" w:bidi="ar-SA"/>
              </w:rPr>
              <w:t>医防融合。县域医共体</w:t>
            </w:r>
            <w:r>
              <w:rPr>
                <w:rFonts w:hint="eastAsia" w:ascii="Times New Roman" w:hAnsi="Times New Roman" w:eastAsia="方正仿宋_GBK" w:cs="Times New Roman"/>
                <w:b w:val="0"/>
                <w:bCs w:val="0"/>
                <w:kern w:val="2"/>
                <w:sz w:val="24"/>
                <w:szCs w:val="24"/>
                <w:lang w:val="en-US" w:eastAsia="zh-CN" w:bidi="ar-SA"/>
              </w:rPr>
              <w:t>“</w:t>
            </w:r>
            <w:r>
              <w:rPr>
                <w:rFonts w:ascii="Times New Roman" w:hAnsi="Times New Roman" w:eastAsia="方正仿宋_GBK" w:cs="Times New Roman"/>
                <w:b w:val="0"/>
                <w:bCs w:val="0"/>
                <w:kern w:val="2"/>
                <w:sz w:val="24"/>
                <w:szCs w:val="24"/>
                <w:lang w:val="en-US" w:eastAsia="zh-CN" w:bidi="ar-SA"/>
              </w:rPr>
              <w:t>两员一机构三联盟</w:t>
            </w:r>
            <w:r>
              <w:rPr>
                <w:rFonts w:hint="eastAsia" w:ascii="Times New Roman" w:hAnsi="Times New Roman" w:eastAsia="方正仿宋_GBK" w:cs="Times New Roman"/>
                <w:b w:val="0"/>
                <w:bCs w:val="0"/>
                <w:kern w:val="2"/>
                <w:sz w:val="24"/>
                <w:szCs w:val="24"/>
                <w:lang w:val="en-US" w:eastAsia="zh-CN" w:bidi="ar-SA"/>
              </w:rPr>
              <w:t>”</w:t>
            </w:r>
            <w:r>
              <w:rPr>
                <w:rFonts w:ascii="Times New Roman" w:hAnsi="Times New Roman" w:eastAsia="方正仿宋_GBK" w:cs="Times New Roman"/>
                <w:b w:val="0"/>
                <w:bCs w:val="0"/>
                <w:kern w:val="2"/>
                <w:sz w:val="24"/>
                <w:szCs w:val="24"/>
                <w:lang w:val="en-US" w:eastAsia="zh-CN" w:bidi="ar-SA"/>
              </w:rPr>
              <w:t>的医防融合新体系建立；改造基层卫生院业务用房流程，完成</w:t>
            </w:r>
            <w:r>
              <w:rPr>
                <w:rFonts w:hint="eastAsia" w:ascii="Times New Roman" w:hAnsi="Times New Roman" w:eastAsia="方正仿宋_GBK" w:cs="Times New Roman"/>
                <w:b w:val="0"/>
                <w:bCs w:val="0"/>
                <w:kern w:val="2"/>
                <w:sz w:val="24"/>
                <w:szCs w:val="24"/>
                <w:lang w:val="en-US" w:eastAsia="zh-CN" w:bidi="ar-SA"/>
              </w:rPr>
              <w:t>“</w:t>
            </w:r>
            <w:r>
              <w:rPr>
                <w:rFonts w:ascii="Times New Roman" w:hAnsi="Times New Roman" w:eastAsia="方正仿宋_GBK" w:cs="Times New Roman"/>
                <w:b w:val="0"/>
                <w:bCs w:val="0"/>
                <w:kern w:val="2"/>
                <w:sz w:val="24"/>
                <w:szCs w:val="24"/>
                <w:lang w:val="en-US" w:eastAsia="zh-CN" w:bidi="ar-SA"/>
              </w:rPr>
              <w:t>两部一馆一专区</w:t>
            </w:r>
            <w:r>
              <w:rPr>
                <w:rFonts w:hint="eastAsia" w:ascii="Times New Roman" w:hAnsi="Times New Roman" w:eastAsia="方正仿宋_GBK" w:cs="Times New Roman"/>
                <w:b w:val="0"/>
                <w:bCs w:val="0"/>
                <w:kern w:val="2"/>
                <w:sz w:val="24"/>
                <w:szCs w:val="24"/>
                <w:lang w:val="en-US" w:eastAsia="zh-CN" w:bidi="ar-SA"/>
              </w:rPr>
              <w:t>”</w:t>
            </w:r>
            <w:r>
              <w:rPr>
                <w:rFonts w:ascii="Times New Roman" w:hAnsi="Times New Roman" w:eastAsia="方正仿宋_GBK" w:cs="Times New Roman"/>
                <w:b w:val="0"/>
                <w:bCs w:val="0"/>
                <w:kern w:val="2"/>
                <w:sz w:val="24"/>
                <w:szCs w:val="24"/>
                <w:lang w:val="en-US" w:eastAsia="zh-CN" w:bidi="ar-SA"/>
              </w:rPr>
              <w:t>设置。</w:t>
            </w:r>
          </w:p>
        </w:tc>
      </w:tr>
    </w:tbl>
    <w:p w14:paraId="59EA9454">
      <w:pPr>
        <w:keepNext/>
        <w:keepLines/>
        <w:widowControl w:val="0"/>
        <w:spacing w:before="0" w:after="0" w:line="560" w:lineRule="exact"/>
        <w:ind w:firstLine="640" w:firstLineChars="200"/>
        <w:jc w:val="both"/>
        <w:outlineLvl w:val="1"/>
        <w:rPr>
          <w:rFonts w:ascii="Times New Roman" w:hAnsi="Times New Roman" w:eastAsia="楷体" w:cs="Times New Roman"/>
          <w:b w:val="0"/>
          <w:bCs w:val="0"/>
          <w:kern w:val="2"/>
          <w:sz w:val="32"/>
          <w:szCs w:val="32"/>
          <w:lang w:val="en-US" w:eastAsia="zh-CN" w:bidi="ar-SA"/>
        </w:rPr>
      </w:pPr>
      <w:bookmarkStart w:id="35" w:name="_Toc13851_WPSOffice_Level2"/>
      <w:bookmarkStart w:id="36" w:name="_Toc2158"/>
      <w:r>
        <w:rPr>
          <w:rFonts w:ascii="Times New Roman" w:hAnsi="Times New Roman" w:eastAsia="楷体" w:cs="Times New Roman"/>
          <w:b w:val="0"/>
          <w:bCs w:val="0"/>
          <w:kern w:val="2"/>
          <w:sz w:val="32"/>
          <w:szCs w:val="32"/>
          <w:lang w:val="en-US" w:eastAsia="zh-CN" w:bidi="ar-SA"/>
        </w:rPr>
        <w:t>（三）推进县域医疗集群发展，完善医疗资源结构优化布局</w:t>
      </w:r>
      <w:bookmarkEnd w:id="35"/>
      <w:bookmarkEnd w:id="36"/>
    </w:p>
    <w:p w14:paraId="1173B255">
      <w:pPr>
        <w:spacing w:line="560" w:lineRule="exact"/>
        <w:ind w:firstLine="640" w:firstLineChars="200"/>
        <w:rPr>
          <w:rFonts w:ascii="Times New Roman" w:hAnsi="Times New Roman" w:eastAsia="方正仿宋_GBK" w:cs="Times New Roman"/>
          <w:b w:val="0"/>
          <w:bCs w:val="0"/>
          <w:sz w:val="32"/>
          <w:szCs w:val="32"/>
        </w:rPr>
      </w:pPr>
      <w:r>
        <w:rPr>
          <w:rFonts w:ascii="Times New Roman" w:hAnsi="Times New Roman" w:eastAsia="方正仿宋_GBK" w:cs="Times New Roman"/>
          <w:b w:val="0"/>
          <w:bCs w:val="0"/>
          <w:sz w:val="32"/>
          <w:szCs w:val="32"/>
        </w:rPr>
        <w:t>10.</w:t>
      </w:r>
      <w:r>
        <w:rPr>
          <w:rFonts w:hint="eastAsia" w:ascii="Times New Roman" w:hAnsi="Times New Roman" w:eastAsia="方正仿宋_GBK" w:cs="Times New Roman"/>
          <w:b w:val="0"/>
          <w:bCs w:val="0"/>
          <w:sz w:val="32"/>
          <w:szCs w:val="32"/>
          <w:lang w:val="en-US" w:eastAsia="zh-CN"/>
        </w:rPr>
        <w:t xml:space="preserve"> </w:t>
      </w:r>
      <w:r>
        <w:rPr>
          <w:rFonts w:ascii="Times New Roman" w:hAnsi="Times New Roman" w:eastAsia="方正仿宋_GBK" w:cs="Times New Roman"/>
          <w:b w:val="0"/>
          <w:bCs w:val="0"/>
          <w:sz w:val="32"/>
          <w:szCs w:val="32"/>
        </w:rPr>
        <w:t>做强做大县级公立医院。加快县级医院发展，支持县人民医院、县中医院、县妇女儿童医院做强做大。充分发挥县人民医院医疗龙头带动作用，县中医院中医特色示范作用，县妇女儿童医院妇儿全生命周期健康保健作用。县人民医院突出治疗大病，建成国家级标准版胸痛中心，打造渝东北心脑血管疾病治疗中心，推进重大肿瘤医院云阳分院建设成为辐射渝东北的肿瘤防治中心，完成</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三甲医院</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创建，成为知名医学院校的教学医院，重点提升危急疑难重症、重大疾病诊疗能力及医教研水平；县中医院突出中医特色诊疗，打造市级治末病中心，提升全国</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三甲中医院</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绩效评价排名，中医骨伤科、治未病中心达到全国一流水平，成为成都中医药大学、重庆中医药大学的教学医院，重点提升中医药服务能力，发挥中医药特色，不断提高中医药服务占比；县妇女儿童医院突出为妇女儿童提供全生命周期健康保健服务，打造国家级区域慢病管理中心，大力发展基因检测中心，力争成为重庆市基因检测技术应用示范中心，推动我县实现从经验医学、循证医学转向精准医学的跨越发展，推进</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三级妇女儿童医院</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创建，逐步向</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渝东北区域妇女儿童医疗中心</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目标迈进。</w:t>
      </w:r>
    </w:p>
    <w:p w14:paraId="3D520969">
      <w:pPr>
        <w:spacing w:line="560" w:lineRule="exact"/>
        <w:ind w:firstLine="640" w:firstLineChars="200"/>
        <w:rPr>
          <w:rFonts w:ascii="Times New Roman" w:hAnsi="Times New Roman" w:eastAsia="方正仿宋_GBK" w:cs="Times New Roman"/>
          <w:b w:val="0"/>
          <w:bCs w:val="0"/>
          <w:sz w:val="32"/>
          <w:szCs w:val="32"/>
        </w:rPr>
      </w:pPr>
      <w:r>
        <w:rPr>
          <w:rFonts w:ascii="Times New Roman" w:hAnsi="Times New Roman" w:eastAsia="方正仿宋_GBK" w:cs="Times New Roman"/>
          <w:b w:val="0"/>
          <w:bCs w:val="0"/>
          <w:sz w:val="32"/>
          <w:szCs w:val="32"/>
        </w:rPr>
        <w:t>11.</w:t>
      </w:r>
      <w:r>
        <w:rPr>
          <w:rFonts w:hint="eastAsia" w:ascii="Times New Roman" w:hAnsi="Times New Roman" w:eastAsia="方正仿宋_GBK" w:cs="Times New Roman"/>
          <w:b w:val="0"/>
          <w:bCs w:val="0"/>
          <w:sz w:val="32"/>
          <w:szCs w:val="32"/>
          <w:lang w:val="en-US" w:eastAsia="zh-CN"/>
        </w:rPr>
        <w:t xml:space="preserve"> </w:t>
      </w:r>
      <w:r>
        <w:rPr>
          <w:rFonts w:ascii="Times New Roman" w:hAnsi="Times New Roman" w:eastAsia="方正仿宋_GBK" w:cs="Times New Roman"/>
          <w:b w:val="0"/>
          <w:bCs w:val="0"/>
          <w:sz w:val="32"/>
          <w:szCs w:val="32"/>
        </w:rPr>
        <w:t>做优基层医疗卫生服务示范中心，构建</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层次分明</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的基层医疗卫生新格局。为适应新时期城镇化发展，有效解决城乡区域间基层优质医疗卫生服务供给不平衡、不充分的问题，结合乡村振兴战略，以基层医疗卫生服务示范中心（城市社区医院、农村区域医疗卫生中心）创建为载体，构建</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供给足、环境美、服务优、上下联、信息通、医防融</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的新型基层卫生健康服务体系，提升基层医疗卫生服务能力，落实分级诊疗制度。根据全县</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一心两极三片</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的总体城乡空间布局，按照</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总体规划、分步实施</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的原则，分批次推进</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城市社区医院</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农村区域医疗卫生中心</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创建，逐步形成以3个城市社区医院、2个农村区域医疗卫生中心为带动，4个农村区域医疗卫生副中心协同发展的基层医疗卫生新格局。在</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四街四镇</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中心城区将双江街道社区卫生服务中心、青龙街道社区卫生服务中心、凤鸣镇中心卫生院建成城市社区医院。在长江以北地区，将江口镇中心卫生院与南溪镇中心卫生院结成联盟，打造江北片区区域医疗卫生中心。在长江以南地区，重建龙角镇中心卫生院，与普安乡卫生院结成联盟，打造江南片区区域医疗卫生中心。将高阳镇中心卫生院打造为江北片区区域医疗卫生中心的西北副中心，将红狮镇中心卫生院打造为江北片区区域医疗卫生中心的东北副中心，将清水土家族乡卫生院与清水民族卫生院合并，与故陵镇中心卫生院一起，打造江南片区区域医疗卫生中心的两大副中心。综合考虑功能定位、交通地理情况、服务人口、乡村医生现状等因素，通过组建联合村卫生室的形式，对村卫生室进行撤并优化调整。</w:t>
      </w:r>
    </w:p>
    <w:tbl>
      <w:tblPr>
        <w:tblStyle w:val="9"/>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07585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8522" w:type="dxa"/>
            <w:noWrap w:val="0"/>
            <w:vAlign w:val="top"/>
          </w:tcPr>
          <w:p w14:paraId="7098A8C8">
            <w:pPr>
              <w:spacing w:line="560" w:lineRule="exact"/>
              <w:jc w:val="center"/>
              <w:rPr>
                <w:rFonts w:ascii="Times New Roman" w:hAnsi="Times New Roman" w:eastAsia="方正黑体_GBK" w:cs="Times New Roman"/>
                <w:b w:val="0"/>
                <w:bCs w:val="0"/>
                <w:sz w:val="24"/>
                <w:szCs w:val="24"/>
              </w:rPr>
            </w:pPr>
            <w:r>
              <w:rPr>
                <w:rFonts w:hint="eastAsia" w:ascii="方正黑体_GBK" w:hAnsi="方正黑体_GBK" w:eastAsia="方正黑体_GBK" w:cs="方正黑体_GBK"/>
                <w:b w:val="0"/>
                <w:bCs w:val="0"/>
                <w:kern w:val="0"/>
                <w:sz w:val="28"/>
                <w:szCs w:val="28"/>
              </w:rPr>
              <w:t>专栏3  医疗资源优化布局</w:t>
            </w:r>
          </w:p>
        </w:tc>
      </w:tr>
      <w:tr w14:paraId="2B1F1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8522" w:type="dxa"/>
            <w:noWrap w:val="0"/>
            <w:vAlign w:val="top"/>
          </w:tcPr>
          <w:p w14:paraId="2DE15A13">
            <w:pPr>
              <w:spacing w:line="380" w:lineRule="exact"/>
              <w:ind w:firstLine="480" w:firstLineChars="200"/>
              <w:rPr>
                <w:rFonts w:ascii="Times New Roman" w:hAnsi="Times New Roman" w:eastAsia="方正仿宋_GBK" w:cs="Times New Roman"/>
                <w:b w:val="0"/>
                <w:bCs w:val="0"/>
                <w:sz w:val="24"/>
                <w:szCs w:val="24"/>
              </w:rPr>
            </w:pPr>
            <w:r>
              <w:rPr>
                <w:rFonts w:ascii="Times New Roman" w:hAnsi="Times New Roman" w:eastAsia="方正仿宋_GBK" w:cs="Times New Roman"/>
                <w:b w:val="0"/>
                <w:bCs w:val="0"/>
                <w:sz w:val="24"/>
                <w:szCs w:val="24"/>
              </w:rPr>
              <w:t>县级医院。县人民医院加快推进黄石分院、重大肿瘤附属医院云阳分院项目，建成首诊隔离观察区（学生宿舍、教学楼）项目，完成</w:t>
            </w:r>
            <w:r>
              <w:rPr>
                <w:rFonts w:hint="eastAsia" w:ascii="Times New Roman" w:hAnsi="Times New Roman" w:eastAsia="方正仿宋_GBK" w:cs="Times New Roman"/>
                <w:b w:val="0"/>
                <w:bCs w:val="0"/>
                <w:sz w:val="24"/>
                <w:szCs w:val="24"/>
              </w:rPr>
              <w:t>“</w:t>
            </w:r>
            <w:r>
              <w:rPr>
                <w:rFonts w:ascii="Times New Roman" w:hAnsi="Times New Roman" w:eastAsia="方正仿宋_GBK" w:cs="Times New Roman"/>
                <w:b w:val="0"/>
                <w:bCs w:val="0"/>
                <w:sz w:val="24"/>
                <w:szCs w:val="24"/>
              </w:rPr>
              <w:t>三级甲等</w:t>
            </w:r>
            <w:r>
              <w:rPr>
                <w:rFonts w:hint="eastAsia" w:ascii="Times New Roman" w:hAnsi="Times New Roman" w:eastAsia="方正仿宋_GBK" w:cs="Times New Roman"/>
                <w:b w:val="0"/>
                <w:bCs w:val="0"/>
                <w:sz w:val="24"/>
                <w:szCs w:val="24"/>
              </w:rPr>
              <w:t>”</w:t>
            </w:r>
            <w:r>
              <w:rPr>
                <w:rFonts w:ascii="Times New Roman" w:hAnsi="Times New Roman" w:eastAsia="方正仿宋_GBK" w:cs="Times New Roman"/>
                <w:b w:val="0"/>
                <w:bCs w:val="0"/>
                <w:sz w:val="24"/>
                <w:szCs w:val="24"/>
              </w:rPr>
              <w:t>综合医院创建；县中医院全国</w:t>
            </w:r>
            <w:r>
              <w:rPr>
                <w:rFonts w:hint="eastAsia" w:ascii="Times New Roman" w:hAnsi="Times New Roman" w:eastAsia="方正仿宋_GBK" w:cs="Times New Roman"/>
                <w:b w:val="0"/>
                <w:bCs w:val="0"/>
                <w:sz w:val="24"/>
                <w:szCs w:val="24"/>
              </w:rPr>
              <w:t>“</w:t>
            </w:r>
            <w:r>
              <w:rPr>
                <w:rFonts w:ascii="Times New Roman" w:hAnsi="Times New Roman" w:eastAsia="方正仿宋_GBK" w:cs="Times New Roman"/>
                <w:b w:val="0"/>
                <w:bCs w:val="0"/>
                <w:sz w:val="24"/>
                <w:szCs w:val="24"/>
              </w:rPr>
              <w:t>三甲中医院</w:t>
            </w:r>
            <w:r>
              <w:rPr>
                <w:rFonts w:hint="eastAsia" w:ascii="Times New Roman" w:hAnsi="Times New Roman" w:eastAsia="方正仿宋_GBK" w:cs="Times New Roman"/>
                <w:b w:val="0"/>
                <w:bCs w:val="0"/>
                <w:sz w:val="24"/>
                <w:szCs w:val="24"/>
              </w:rPr>
              <w:t>”</w:t>
            </w:r>
            <w:r>
              <w:rPr>
                <w:rFonts w:ascii="Times New Roman" w:hAnsi="Times New Roman" w:eastAsia="方正仿宋_GBK" w:cs="Times New Roman"/>
                <w:b w:val="0"/>
                <w:bCs w:val="0"/>
                <w:sz w:val="24"/>
                <w:szCs w:val="24"/>
              </w:rPr>
              <w:t>绩效评价排名上升30个名次以上，推进数智森林小镇水口分院项目，完成康悦医养护理院建设；2022年前县妇女儿童医院建成投用，推进</w:t>
            </w:r>
            <w:r>
              <w:rPr>
                <w:rFonts w:hint="eastAsia" w:ascii="Times New Roman" w:hAnsi="Times New Roman" w:eastAsia="方正仿宋_GBK" w:cs="Times New Roman"/>
                <w:b w:val="0"/>
                <w:bCs w:val="0"/>
                <w:sz w:val="24"/>
                <w:szCs w:val="24"/>
              </w:rPr>
              <w:t>“</w:t>
            </w:r>
            <w:r>
              <w:rPr>
                <w:rFonts w:ascii="Times New Roman" w:hAnsi="Times New Roman" w:eastAsia="方正仿宋_GBK" w:cs="Times New Roman"/>
                <w:b w:val="0"/>
                <w:bCs w:val="0"/>
                <w:sz w:val="24"/>
                <w:szCs w:val="24"/>
              </w:rPr>
              <w:t>三级妇女儿童医院</w:t>
            </w:r>
            <w:r>
              <w:rPr>
                <w:rFonts w:hint="eastAsia" w:ascii="Times New Roman" w:hAnsi="Times New Roman" w:eastAsia="方正仿宋_GBK" w:cs="Times New Roman"/>
                <w:b w:val="0"/>
                <w:bCs w:val="0"/>
                <w:sz w:val="24"/>
                <w:szCs w:val="24"/>
              </w:rPr>
              <w:t>”</w:t>
            </w:r>
            <w:r>
              <w:rPr>
                <w:rFonts w:ascii="Times New Roman" w:hAnsi="Times New Roman" w:eastAsia="方正仿宋_GBK" w:cs="Times New Roman"/>
                <w:b w:val="0"/>
                <w:bCs w:val="0"/>
                <w:sz w:val="24"/>
                <w:szCs w:val="24"/>
              </w:rPr>
              <w:t xml:space="preserve">创建。   </w:t>
            </w:r>
          </w:p>
          <w:p w14:paraId="53AAC162">
            <w:pPr>
              <w:spacing w:line="380" w:lineRule="exact"/>
              <w:ind w:firstLine="480" w:firstLineChars="200"/>
              <w:rPr>
                <w:rFonts w:ascii="Times New Roman" w:hAnsi="Times New Roman" w:eastAsia="方正仿宋_GBK" w:cs="Times New Roman"/>
                <w:b w:val="0"/>
                <w:bCs w:val="0"/>
                <w:sz w:val="24"/>
                <w:szCs w:val="24"/>
              </w:rPr>
            </w:pPr>
            <w:r>
              <w:rPr>
                <w:rFonts w:ascii="Times New Roman" w:hAnsi="Times New Roman" w:eastAsia="方正仿宋_GBK" w:cs="Times New Roman"/>
                <w:b w:val="0"/>
                <w:bCs w:val="0"/>
                <w:sz w:val="24"/>
                <w:szCs w:val="24"/>
              </w:rPr>
              <w:t>基层医疗机构卫生服务示范中心建设。综合考虑各基层医疗卫生现有综合能力，2025年前，双江街道社区卫生服务中心、凤鸣镇中心卫生院完成城市社区医院创建，江口镇中心卫生院完成农村区域医疗卫生中心创建，青龙街道社区卫生服务中心、龙角镇中心卫生院、普安乡卫生院、清水土家族乡卫生院、故陵镇中心卫生院、高阳镇中心卫生院、红狮镇卫生院等基层医疗卫生机构在</w:t>
            </w:r>
            <w:r>
              <w:rPr>
                <w:rFonts w:hint="eastAsia" w:ascii="Times New Roman" w:hAnsi="Times New Roman" w:eastAsia="方正仿宋_GBK" w:cs="Times New Roman"/>
                <w:b w:val="0"/>
                <w:bCs w:val="0"/>
                <w:sz w:val="24"/>
                <w:szCs w:val="24"/>
              </w:rPr>
              <w:t>“</w:t>
            </w:r>
            <w:r>
              <w:rPr>
                <w:rFonts w:ascii="Times New Roman" w:hAnsi="Times New Roman" w:eastAsia="方正仿宋_GBK" w:cs="Times New Roman"/>
                <w:b w:val="0"/>
                <w:bCs w:val="0"/>
                <w:sz w:val="24"/>
                <w:szCs w:val="24"/>
              </w:rPr>
              <w:t>十四五</w:t>
            </w:r>
            <w:r>
              <w:rPr>
                <w:rFonts w:hint="eastAsia" w:ascii="Times New Roman" w:hAnsi="Times New Roman" w:eastAsia="方正仿宋_GBK" w:cs="Times New Roman"/>
                <w:b w:val="0"/>
                <w:bCs w:val="0"/>
                <w:sz w:val="24"/>
                <w:szCs w:val="24"/>
              </w:rPr>
              <w:t>”</w:t>
            </w:r>
            <w:r>
              <w:rPr>
                <w:rFonts w:ascii="Times New Roman" w:hAnsi="Times New Roman" w:eastAsia="方正仿宋_GBK" w:cs="Times New Roman"/>
                <w:b w:val="0"/>
                <w:bCs w:val="0"/>
                <w:sz w:val="24"/>
                <w:szCs w:val="24"/>
              </w:rPr>
              <w:t>期间加快推进基础设施建设、卫生人才培养、医疗卫生服务能力提升，按照时间服从质量原则，成熟一个创建一个，力争在</w:t>
            </w:r>
            <w:r>
              <w:rPr>
                <w:rFonts w:hint="eastAsia" w:ascii="Times New Roman" w:hAnsi="Times New Roman" w:eastAsia="方正仿宋_GBK" w:cs="Times New Roman"/>
                <w:b w:val="0"/>
                <w:bCs w:val="0"/>
                <w:sz w:val="24"/>
                <w:szCs w:val="24"/>
              </w:rPr>
              <w:t>“</w:t>
            </w:r>
            <w:r>
              <w:rPr>
                <w:rFonts w:ascii="Times New Roman" w:hAnsi="Times New Roman" w:eastAsia="方正仿宋_GBK" w:cs="Times New Roman"/>
                <w:b w:val="0"/>
                <w:bCs w:val="0"/>
                <w:sz w:val="24"/>
                <w:szCs w:val="24"/>
              </w:rPr>
              <w:t>十五五</w:t>
            </w:r>
            <w:r>
              <w:rPr>
                <w:rFonts w:hint="eastAsia" w:ascii="Times New Roman" w:hAnsi="Times New Roman" w:eastAsia="方正仿宋_GBK" w:cs="Times New Roman"/>
                <w:b w:val="0"/>
                <w:bCs w:val="0"/>
                <w:sz w:val="24"/>
                <w:szCs w:val="24"/>
              </w:rPr>
              <w:t>”</w:t>
            </w:r>
            <w:r>
              <w:rPr>
                <w:rFonts w:ascii="Times New Roman" w:hAnsi="Times New Roman" w:eastAsia="方正仿宋_GBK" w:cs="Times New Roman"/>
                <w:b w:val="0"/>
                <w:bCs w:val="0"/>
                <w:sz w:val="24"/>
                <w:szCs w:val="24"/>
              </w:rPr>
              <w:t>期间全部成功创建基层医疗机构卫生服务示范中心。2022年前建成县人民医院龙缸分院（清水土家族乡卫生院），2025年前建成云阳县江南急救中心（龙角镇中心卫生院）。加快推进人和街道中心卫生院迁扩建、南溪镇中心卫生院改建、平安镇中心卫生院迁扩建、青龙街道社区卫生服务中心迁扩建、云安镇卫生院迁扩建、普安镇卫生院迁扩建等项目。改扩建6个基层卫生院分院。</w:t>
            </w:r>
          </w:p>
          <w:p w14:paraId="375270AE">
            <w:pPr>
              <w:spacing w:line="380" w:lineRule="exact"/>
              <w:ind w:firstLine="480" w:firstLineChars="200"/>
              <w:rPr>
                <w:rFonts w:ascii="Times New Roman" w:hAnsi="Times New Roman" w:eastAsia="方正仿宋_GBK" w:cs="Times New Roman"/>
                <w:b w:val="0"/>
                <w:bCs w:val="0"/>
                <w:sz w:val="24"/>
                <w:szCs w:val="24"/>
              </w:rPr>
            </w:pPr>
            <w:r>
              <w:rPr>
                <w:rFonts w:ascii="Times New Roman" w:hAnsi="Times New Roman" w:eastAsia="方正仿宋_GBK" w:cs="Times New Roman"/>
                <w:b w:val="0"/>
                <w:bCs w:val="0"/>
                <w:sz w:val="24"/>
                <w:szCs w:val="24"/>
              </w:rPr>
              <w:t>村卫生室。优化村卫生室设置，改扩建村卫生室20个。</w:t>
            </w:r>
          </w:p>
        </w:tc>
      </w:tr>
    </w:tbl>
    <w:p w14:paraId="07D98D56">
      <w:pPr>
        <w:spacing w:line="560" w:lineRule="exact"/>
        <w:ind w:firstLine="320" w:firstLineChars="100"/>
        <w:rPr>
          <w:rFonts w:ascii="Times New Roman" w:hAnsi="Times New Roman" w:eastAsia="方正楷体_GBK" w:cs="方正楷体_GBK"/>
          <w:b w:val="0"/>
          <w:bCs w:val="0"/>
          <w:sz w:val="32"/>
          <w:szCs w:val="32"/>
        </w:rPr>
      </w:pPr>
      <w:bookmarkStart w:id="37" w:name="_Toc18622_WPSOffice_Level2"/>
      <w:r>
        <w:rPr>
          <w:rFonts w:hint="eastAsia" w:ascii="Times New Roman" w:hAnsi="Times New Roman" w:eastAsia="方正楷体_GBK" w:cs="方正楷体_GBK"/>
          <w:b w:val="0"/>
          <w:bCs w:val="0"/>
          <w:sz w:val="32"/>
          <w:szCs w:val="32"/>
        </w:rPr>
        <w:t>（四）推进医疗服务能力建设，持续改进医疗质量</w:t>
      </w:r>
      <w:bookmarkEnd w:id="37"/>
    </w:p>
    <w:p w14:paraId="3EFA0299">
      <w:pPr>
        <w:spacing w:line="560" w:lineRule="exact"/>
        <w:ind w:firstLine="640" w:firstLineChars="200"/>
        <w:rPr>
          <w:rFonts w:ascii="Times New Roman" w:hAnsi="Times New Roman" w:eastAsia="方正仿宋_GBK" w:cs="Times New Roman"/>
          <w:b w:val="0"/>
          <w:bCs w:val="0"/>
          <w:sz w:val="32"/>
        </w:rPr>
      </w:pPr>
      <w:r>
        <w:rPr>
          <w:rFonts w:ascii="Times New Roman" w:hAnsi="Times New Roman" w:eastAsia="方正仿宋_GBK" w:cs="Times New Roman"/>
          <w:b w:val="0"/>
          <w:bCs w:val="0"/>
          <w:sz w:val="32"/>
          <w:szCs w:val="32"/>
        </w:rPr>
        <w:t>12.</w:t>
      </w:r>
      <w:r>
        <w:rPr>
          <w:rFonts w:hint="eastAsia" w:ascii="Times New Roman" w:hAnsi="Times New Roman" w:eastAsia="方正仿宋_GBK" w:cs="Times New Roman"/>
          <w:b w:val="0"/>
          <w:bCs w:val="0"/>
          <w:sz w:val="32"/>
          <w:szCs w:val="32"/>
          <w:lang w:val="en-US" w:eastAsia="zh-CN"/>
        </w:rPr>
        <w:t xml:space="preserve"> </w:t>
      </w:r>
      <w:r>
        <w:rPr>
          <w:rFonts w:ascii="Times New Roman" w:hAnsi="Times New Roman" w:eastAsia="方正仿宋_GBK" w:cs="Times New Roman"/>
          <w:b w:val="0"/>
          <w:bCs w:val="0"/>
          <w:sz w:val="32"/>
          <w:szCs w:val="32"/>
        </w:rPr>
        <w:t>统筹推进美丽医院建设。聚焦</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环境美</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提档升级就医环境。加强基础设施建设，推进医院业务用房升级改造。开展绿色医院建设，加大院内环境整治和绿化，加强医疗废水废物规范化管理和生活垃圾分类处理，加大厕所革命，规范停车、食堂管理，加强能耗监测。聚焦</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服务美</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持续改善医疗服务。加快县级医院综合服务能力全面提升，推动深入实施新一轮改善医疗服务行动，加强专科建设，提升诊疗能力和救治水平，健全预约诊疗、检查检验结果互认等便民服务措施，创新多学科联合诊疗、日间手术等诊疗模式。推进县级医院</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智慧医院</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建设，提升智慧化服务应用水平。聚焦</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人文美</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，稳步提升人文环境。坚持以患者和医务人员为中心，建设平安医院，注重人文关怀，改善患者就医感受和医务人员执业感受。优化改善便民服务设施，增添</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一老一小</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和残疾人关怀设施，提升就医满意度。优化医护人员工作环境，提高医护人员积极性。注重医院文化建设，增强认同感。</w:t>
      </w:r>
    </w:p>
    <w:p w14:paraId="6A5BB422">
      <w:pPr>
        <w:spacing w:line="560" w:lineRule="exact"/>
        <w:ind w:firstLine="640"/>
        <w:jc w:val="left"/>
        <w:rPr>
          <w:rFonts w:ascii="Times New Roman" w:hAnsi="Times New Roman" w:eastAsia="方正仿宋_GBK" w:cs="Times New Roman"/>
          <w:b w:val="0"/>
          <w:bCs w:val="0"/>
          <w:sz w:val="32"/>
        </w:rPr>
      </w:pPr>
      <w:r>
        <w:rPr>
          <w:rFonts w:ascii="Times New Roman" w:hAnsi="Times New Roman" w:eastAsia="方正仿宋_GBK" w:cs="Times New Roman"/>
          <w:b w:val="0"/>
          <w:bCs w:val="0"/>
          <w:sz w:val="32"/>
        </w:rPr>
        <w:t>13.</w:t>
      </w:r>
      <w:r>
        <w:rPr>
          <w:rFonts w:hint="eastAsia" w:ascii="Times New Roman" w:hAnsi="Times New Roman" w:eastAsia="方正仿宋_GBK" w:cs="Times New Roman"/>
          <w:b w:val="0"/>
          <w:bCs w:val="0"/>
          <w:sz w:val="32"/>
          <w:lang w:val="en-US" w:eastAsia="zh-CN"/>
        </w:rPr>
        <w:t xml:space="preserve"> </w:t>
      </w:r>
      <w:r>
        <w:rPr>
          <w:rFonts w:ascii="Times New Roman" w:hAnsi="Times New Roman" w:eastAsia="方正仿宋_GBK" w:cs="Times New Roman"/>
          <w:b w:val="0"/>
          <w:bCs w:val="0"/>
          <w:sz w:val="32"/>
        </w:rPr>
        <w:t>持续改进医疗质量。完善医疗质量管理与控制组织体系，依托县人民医院、县中医院、县妇女儿童医院健全医疗质控体系，推动质控工作全覆盖各级各类医疗机构。建立医疗质量管理的长效机制，落实医疗质量安全核心制度，持续开展医疗卫生服务质量评价，提高不同层级、不同类别医院医疗服务同质化水平。深化临床路径管理，</w:t>
      </w:r>
      <w:r>
        <w:rPr>
          <w:rFonts w:ascii="Times New Roman" w:hAnsi="Times New Roman" w:eastAsia="方正仿宋_GBK" w:cs="Times New Roman"/>
          <w:b w:val="0"/>
          <w:bCs w:val="0"/>
          <w:color w:val="000000"/>
          <w:sz w:val="32"/>
        </w:rPr>
        <w:t>持续</w:t>
      </w:r>
      <w:r>
        <w:rPr>
          <w:rFonts w:ascii="Times New Roman" w:hAnsi="Times New Roman" w:eastAsia="方正仿宋_GBK" w:cs="Times New Roman"/>
          <w:b w:val="0"/>
          <w:bCs w:val="0"/>
          <w:sz w:val="32"/>
        </w:rPr>
        <w:t>开展医院医疗服务质量与绩效评价。加强医院感染预防与控制、临床检验项目和实验室安全管理、临床合理用药管理，全面规范临床用血，严格医疗废物规范化管理。强化医疗安全和风险防范。持续推进</w:t>
      </w:r>
      <w:r>
        <w:rPr>
          <w:rFonts w:hint="eastAsia" w:ascii="Times New Roman" w:hAnsi="Times New Roman" w:eastAsia="方正仿宋_GBK" w:cs="Times New Roman"/>
          <w:b w:val="0"/>
          <w:bCs w:val="0"/>
          <w:sz w:val="32"/>
        </w:rPr>
        <w:t>“</w:t>
      </w:r>
      <w:r>
        <w:rPr>
          <w:rFonts w:ascii="Times New Roman" w:hAnsi="Times New Roman" w:eastAsia="方正仿宋_GBK" w:cs="Times New Roman"/>
          <w:b w:val="0"/>
          <w:bCs w:val="0"/>
          <w:sz w:val="32"/>
        </w:rPr>
        <w:t>优质服务基层行</w:t>
      </w:r>
      <w:r>
        <w:rPr>
          <w:rFonts w:hint="eastAsia" w:ascii="Times New Roman" w:hAnsi="Times New Roman" w:eastAsia="方正仿宋_GBK" w:cs="Times New Roman"/>
          <w:b w:val="0"/>
          <w:bCs w:val="0"/>
          <w:sz w:val="32"/>
        </w:rPr>
        <w:t>”</w:t>
      </w:r>
      <w:r>
        <w:rPr>
          <w:rFonts w:ascii="Times New Roman" w:hAnsi="Times New Roman" w:eastAsia="方正仿宋_GBK" w:cs="Times New Roman"/>
          <w:b w:val="0"/>
          <w:bCs w:val="0"/>
          <w:sz w:val="32"/>
        </w:rPr>
        <w:t>活动。</w:t>
      </w:r>
    </w:p>
    <w:p w14:paraId="24DE3737">
      <w:pPr>
        <w:widowControl/>
        <w:spacing w:after="0" w:line="560" w:lineRule="exact"/>
        <w:ind w:firstLine="640" w:firstLineChars="200"/>
        <w:jc w:val="both"/>
        <w:textAlignment w:val="baseline"/>
        <w:rPr>
          <w:rFonts w:ascii="Times New Roman" w:hAnsi="Times New Roman" w:eastAsia="方正仿宋_GBK" w:cs="Times New Roman"/>
          <w:b w:val="0"/>
          <w:bCs w:val="0"/>
          <w:kern w:val="2"/>
          <w:sz w:val="32"/>
          <w:szCs w:val="32"/>
          <w:highlight w:val="red"/>
          <w:lang w:val="en-US" w:eastAsia="zh-CN" w:bidi="ar-SA"/>
        </w:rPr>
      </w:pPr>
      <w:r>
        <w:rPr>
          <w:rFonts w:ascii="Times New Roman" w:hAnsi="Times New Roman" w:eastAsia="方正仿宋_GBK" w:cs="Times New Roman"/>
          <w:b w:val="0"/>
          <w:bCs w:val="0"/>
          <w:kern w:val="2"/>
          <w:sz w:val="32"/>
          <w:szCs w:val="32"/>
          <w:lang w:val="en-US" w:eastAsia="zh-CN" w:bidi="ar-SA"/>
        </w:rPr>
        <w:t>14.</w:t>
      </w:r>
      <w:r>
        <w:rPr>
          <w:rFonts w:hint="eastAsia" w:ascii="Times New Roman" w:hAnsi="Times New Roman" w:eastAsia="方正仿宋_GBK" w:cs="Times New Roman"/>
          <w:b w:val="0"/>
          <w:bCs w:val="0"/>
          <w:kern w:val="2"/>
          <w:sz w:val="32"/>
          <w:szCs w:val="32"/>
          <w:lang w:val="en-US" w:eastAsia="zh-CN" w:bidi="ar-SA"/>
        </w:rPr>
        <w:t xml:space="preserve"> </w:t>
      </w:r>
      <w:r>
        <w:rPr>
          <w:rFonts w:ascii="Times New Roman" w:hAnsi="Times New Roman" w:eastAsia="方正仿宋_GBK" w:cs="Times New Roman"/>
          <w:b w:val="0"/>
          <w:bCs w:val="0"/>
          <w:kern w:val="2"/>
          <w:sz w:val="32"/>
          <w:szCs w:val="32"/>
          <w:lang w:val="en-US" w:eastAsia="zh-CN" w:bidi="ar-SA"/>
        </w:rPr>
        <w:t>加大学科培育力度。实施临床学科振兴工程，编制学科建设发展规划，打造布局合理、特色突出、优势明显的临床学科群。坚持强龙头、育特色，打造专病中心，提升优势专科与亚专科水平。县人民医院重点打造</w:t>
      </w:r>
      <w:r>
        <w:rPr>
          <w:rFonts w:ascii="Times New Roman" w:hAnsi="Times New Roman" w:eastAsia="方正仿宋_GBK" w:cs="Times New Roman"/>
          <w:b w:val="0"/>
          <w:bCs w:val="0"/>
          <w:color w:val="000000"/>
          <w:kern w:val="2"/>
          <w:sz w:val="32"/>
          <w:szCs w:val="32"/>
          <w:lang w:val="en-US" w:eastAsia="zh-CN" w:bidi="ar-SA"/>
        </w:rPr>
        <w:t>心血管内科</w:t>
      </w:r>
      <w:r>
        <w:rPr>
          <w:rFonts w:ascii="Times New Roman" w:hAnsi="Times New Roman" w:eastAsia="方正仿宋_GBK" w:cs="Times New Roman"/>
          <w:b w:val="0"/>
          <w:bCs w:val="0"/>
          <w:kern w:val="2"/>
          <w:sz w:val="32"/>
          <w:szCs w:val="32"/>
          <w:lang w:val="en-US" w:eastAsia="zh-CN" w:bidi="ar-SA"/>
        </w:rPr>
        <w:t>、骨科、神经内科、泌尿外科、妇产科、麻醉科、儿科、呼吸与危重症医学科、重症医学科、消化内科、肿瘤科、感染病科、检验科等，力争成功创建市级重点专科9个以上，争创国家级重点（特色）专科1个。县中医院重点打造治未病中心、呼吸重症科、脑病科、肿瘤科、骨伤科、脾胃科、中医妇科、康复科、肺病科、老年病科等科室，力争成功创建市级重点专科（中医名科、特色）5个以上，争创国家级重点专科1个。县妇女儿童医院依托国家标准化代谢性疾病管理中心（MMC），建立完整的慢性病管理体系，布局建设标准化县域慢性病管理中心，重点建设儿科、妇产科、肾病专科、麻醉科、检验科等科室，打造儿童多动症康复训练中心、宫颈疾病防治中心、乳腺疾病防治中心、妇儒国医堂，力争创建市级重点专科2个以上。到2025年全县重点打造学科总量达到30个以上，</w:t>
      </w:r>
      <w:r>
        <w:rPr>
          <w:rFonts w:ascii="Times New Roman" w:hAnsi="Times New Roman" w:eastAsia="方正仿宋_GBK" w:cs="Times New Roman"/>
          <w:b w:val="0"/>
          <w:bCs w:val="0"/>
          <w:spacing w:val="4"/>
          <w:kern w:val="2"/>
          <w:sz w:val="32"/>
          <w:szCs w:val="32"/>
          <w:lang w:val="en-US" w:eastAsia="zh-CN" w:bidi="ar-SA"/>
        </w:rPr>
        <w:t>其中肺癌、心血管等5个以上专科达到市级领先水平，</w:t>
      </w:r>
      <w:r>
        <w:rPr>
          <w:rFonts w:ascii="Times New Roman" w:hAnsi="Times New Roman" w:eastAsia="方正仿宋_GBK" w:cs="Times New Roman"/>
          <w:b w:val="0"/>
          <w:bCs w:val="0"/>
          <w:kern w:val="2"/>
          <w:sz w:val="32"/>
          <w:szCs w:val="32"/>
          <w:lang w:val="en-US" w:eastAsia="zh-CN" w:bidi="ar-SA"/>
        </w:rPr>
        <w:t>5个以上学科达到渝东北领先水平。</w:t>
      </w:r>
    </w:p>
    <w:p w14:paraId="57C09898">
      <w:pPr>
        <w:spacing w:line="560" w:lineRule="exact"/>
        <w:ind w:firstLine="640"/>
        <w:rPr>
          <w:rFonts w:ascii="Times New Roman" w:hAnsi="Times New Roman" w:eastAsia="方正仿宋_GBK" w:cs="Times New Roman"/>
          <w:b w:val="0"/>
          <w:bCs w:val="0"/>
          <w:sz w:val="32"/>
          <w:szCs w:val="32"/>
        </w:rPr>
      </w:pPr>
      <w:r>
        <w:rPr>
          <w:rFonts w:ascii="Times New Roman" w:hAnsi="Times New Roman" w:eastAsia="方正仿宋_GBK" w:cs="Times New Roman"/>
          <w:b w:val="0"/>
          <w:bCs w:val="0"/>
          <w:sz w:val="32"/>
          <w:szCs w:val="32"/>
        </w:rPr>
        <w:t>15.</w:t>
      </w:r>
      <w:r>
        <w:rPr>
          <w:rFonts w:hint="eastAsia" w:ascii="Times New Roman" w:hAnsi="Times New Roman" w:eastAsia="方正仿宋_GBK" w:cs="Times New Roman"/>
          <w:b w:val="0"/>
          <w:bCs w:val="0"/>
          <w:sz w:val="32"/>
          <w:szCs w:val="32"/>
          <w:lang w:val="en-US" w:eastAsia="zh-CN"/>
        </w:rPr>
        <w:t xml:space="preserve"> </w:t>
      </w:r>
      <w:r>
        <w:rPr>
          <w:rFonts w:ascii="Times New Roman" w:hAnsi="Times New Roman" w:eastAsia="方正仿宋_GBK" w:cs="Times New Roman"/>
          <w:b w:val="0"/>
          <w:bCs w:val="0"/>
          <w:sz w:val="32"/>
          <w:szCs w:val="32"/>
        </w:rPr>
        <w:t>推进医疗服务模式创新。推广多学科诊疗模式，二级及以上医疗机构开设多学科诊疗门诊。在三级医院和有条件的二级医院大力推行日间手术，逐步提高日间手术占择期手术的比例。做实责任制整体护理，强化基础护理，开展延续护理服务。大力推动药学门诊、处方前置审核、临床药师驻科等工作，开展精准用药服务。大力推进院前医疗急救网络建设，完善120调度指挥信息系统，加强院前急救与院内救治的信息互通、工作衔接，提升院前医疗急救服务能力。</w:t>
      </w:r>
    </w:p>
    <w:p w14:paraId="5332AD8B">
      <w:pPr>
        <w:spacing w:line="560" w:lineRule="exact"/>
        <w:ind w:firstLine="640" w:firstLineChars="200"/>
        <w:rPr>
          <w:rFonts w:ascii="Times New Roman" w:hAnsi="Times New Roman" w:eastAsia="方正仿宋_GBK" w:cs="Times New Roman"/>
          <w:b w:val="0"/>
          <w:bCs w:val="0"/>
          <w:sz w:val="32"/>
          <w:szCs w:val="32"/>
        </w:rPr>
      </w:pPr>
      <w:r>
        <w:rPr>
          <w:rFonts w:ascii="Times New Roman" w:hAnsi="Times New Roman" w:eastAsia="方正仿宋_GBK" w:cs="Times New Roman"/>
          <w:b w:val="0"/>
          <w:bCs w:val="0"/>
          <w:sz w:val="32"/>
          <w:szCs w:val="32"/>
        </w:rPr>
        <w:t>16.</w:t>
      </w:r>
      <w:r>
        <w:rPr>
          <w:rFonts w:hint="eastAsia" w:ascii="Times New Roman" w:hAnsi="Times New Roman" w:eastAsia="方正仿宋_GBK" w:cs="Times New Roman"/>
          <w:b w:val="0"/>
          <w:bCs w:val="0"/>
          <w:sz w:val="32"/>
          <w:szCs w:val="32"/>
          <w:lang w:val="en-US" w:eastAsia="zh-CN"/>
        </w:rPr>
        <w:t xml:space="preserve"> </w:t>
      </w:r>
      <w:r>
        <w:rPr>
          <w:rFonts w:ascii="Times New Roman" w:hAnsi="Times New Roman" w:eastAsia="方正仿宋_GBK" w:cs="Times New Roman"/>
          <w:b w:val="0"/>
          <w:bCs w:val="0"/>
          <w:sz w:val="32"/>
          <w:szCs w:val="32"/>
        </w:rPr>
        <w:t>加强基层医疗服务能力提升。推进基层医疗卫生机构等级创建和村卫生室星级评定，甲级基层医疗卫生机构占比达到30%，乙级基层医疗卫生机构占比达到60%，丙级基层医疗卫生机构占比达到10%，五星村卫生室占比达到25%，四星村卫生室占比达到50%，其余村卫生室全部达到三星标准以上。提升基层医疗卫生机构急诊急救、内科、妇（产）科、儿科、中医、康复、二级以下常规手术等基本医疗服务能力，打造精品家庭医生服务团队，强化公共卫生服务能力，建成集公共卫生服务与基本医疗服务一体的基层医疗卫生服务示范机构，发挥其在渝东北地区的引领和示范作用。引导和鼓励发展基层内科、中医、风湿、骨伤、社区康复、慢性病、老年病等特色服务项目，到2025年基层医疗机构特色科室达到30%。</w:t>
      </w:r>
    </w:p>
    <w:tbl>
      <w:tblPr>
        <w:tblStyle w:val="9"/>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33461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8522" w:type="dxa"/>
            <w:noWrap w:val="0"/>
            <w:vAlign w:val="top"/>
          </w:tcPr>
          <w:p w14:paraId="450E4242">
            <w:pPr>
              <w:spacing w:line="560" w:lineRule="exact"/>
              <w:jc w:val="center"/>
              <w:rPr>
                <w:rFonts w:ascii="Times New Roman" w:hAnsi="Times New Roman" w:eastAsia="方正仿宋_GBK" w:cs="Times New Roman"/>
                <w:b w:val="0"/>
                <w:bCs w:val="0"/>
                <w:sz w:val="24"/>
                <w:szCs w:val="24"/>
              </w:rPr>
            </w:pPr>
            <w:r>
              <w:rPr>
                <w:rFonts w:hint="eastAsia" w:ascii="方正黑体_GBK" w:hAnsi="方正黑体_GBK" w:eastAsia="方正黑体_GBK" w:cs="方正黑体_GBK"/>
                <w:b w:val="0"/>
                <w:bCs w:val="0"/>
                <w:kern w:val="0"/>
                <w:sz w:val="28"/>
                <w:szCs w:val="28"/>
              </w:rPr>
              <w:t>专栏4   医疗服务能力提升项目</w:t>
            </w:r>
          </w:p>
        </w:tc>
      </w:tr>
      <w:tr w14:paraId="0E2BA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noWrap w:val="0"/>
            <w:vAlign w:val="top"/>
          </w:tcPr>
          <w:p w14:paraId="41A75383">
            <w:pPr>
              <w:spacing w:line="400" w:lineRule="exact"/>
              <w:ind w:firstLine="480" w:firstLineChars="200"/>
              <w:rPr>
                <w:rFonts w:ascii="Times New Roman" w:hAnsi="Times New Roman" w:eastAsia="方正仿宋_GBK" w:cs="Times New Roman"/>
                <w:b w:val="0"/>
                <w:bCs w:val="0"/>
                <w:sz w:val="24"/>
                <w:szCs w:val="24"/>
              </w:rPr>
            </w:pPr>
            <w:r>
              <w:rPr>
                <w:rFonts w:ascii="Times New Roman" w:hAnsi="Times New Roman" w:eastAsia="方正仿宋_GBK" w:cs="Times New Roman"/>
                <w:b w:val="0"/>
                <w:bCs w:val="0"/>
                <w:sz w:val="24"/>
                <w:szCs w:val="24"/>
              </w:rPr>
              <w:t>学科建设。到2025年，县人民医院感染性疾病科、心血管内科、麻醉科、儿科、呼吸与危重症医学科、重症医学科、消化内科、肿瘤科、检验科等9个学科创建市级重点专科，心血管内科争创国家级重点（特色）专科；县中医院治未病中心、脑病科、肿瘤科、脾胃科、中医妇科等5学科创建市级中医特色优势重点专科，骨伤科争创国家级重点专科；县妇女儿童医院儿科、妇产科等2个学科创建市级重点专科。</w:t>
            </w:r>
          </w:p>
          <w:p w14:paraId="66725551">
            <w:pPr>
              <w:spacing w:line="400" w:lineRule="exact"/>
              <w:ind w:firstLine="480" w:firstLineChars="200"/>
              <w:rPr>
                <w:rFonts w:ascii="Times New Roman" w:hAnsi="Times New Roman" w:eastAsia="方正仿宋_GBK" w:cs="Times New Roman"/>
                <w:b w:val="0"/>
                <w:bCs w:val="0"/>
                <w:sz w:val="24"/>
                <w:szCs w:val="24"/>
              </w:rPr>
            </w:pPr>
            <w:r>
              <w:rPr>
                <w:rFonts w:ascii="Times New Roman" w:hAnsi="Times New Roman" w:eastAsia="方正仿宋_GBK" w:cs="Times New Roman"/>
                <w:b w:val="0"/>
                <w:bCs w:val="0"/>
                <w:sz w:val="24"/>
                <w:szCs w:val="24"/>
              </w:rPr>
              <w:t>美丽医院建设。巩固县人民医院、县中医院、红狮镇中心卫生院市级</w:t>
            </w:r>
            <w:r>
              <w:rPr>
                <w:rFonts w:hint="eastAsia" w:ascii="Times New Roman" w:hAnsi="Times New Roman" w:eastAsia="方正仿宋_GBK" w:cs="Times New Roman"/>
                <w:b w:val="0"/>
                <w:bCs w:val="0"/>
                <w:sz w:val="24"/>
                <w:szCs w:val="24"/>
              </w:rPr>
              <w:t>“</w:t>
            </w:r>
            <w:r>
              <w:rPr>
                <w:rFonts w:ascii="Times New Roman" w:hAnsi="Times New Roman" w:eastAsia="方正仿宋_GBK" w:cs="Times New Roman"/>
                <w:b w:val="0"/>
                <w:bCs w:val="0"/>
                <w:sz w:val="24"/>
                <w:szCs w:val="24"/>
              </w:rPr>
              <w:t>美丽医院</w:t>
            </w:r>
            <w:r>
              <w:rPr>
                <w:rFonts w:hint="eastAsia" w:ascii="Times New Roman" w:hAnsi="Times New Roman" w:eastAsia="方正仿宋_GBK" w:cs="Times New Roman"/>
                <w:b w:val="0"/>
                <w:bCs w:val="0"/>
                <w:sz w:val="24"/>
                <w:szCs w:val="24"/>
              </w:rPr>
              <w:t>”</w:t>
            </w:r>
            <w:r>
              <w:rPr>
                <w:rFonts w:ascii="Times New Roman" w:hAnsi="Times New Roman" w:eastAsia="方正仿宋_GBK" w:cs="Times New Roman"/>
                <w:b w:val="0"/>
                <w:bCs w:val="0"/>
                <w:sz w:val="24"/>
                <w:szCs w:val="24"/>
              </w:rPr>
              <w:t>成果，县妇女儿童医院完成市级</w:t>
            </w:r>
            <w:r>
              <w:rPr>
                <w:rFonts w:hint="eastAsia" w:ascii="Times New Roman" w:hAnsi="Times New Roman" w:eastAsia="方正仿宋_GBK" w:cs="Times New Roman"/>
                <w:b w:val="0"/>
                <w:bCs w:val="0"/>
                <w:sz w:val="24"/>
                <w:szCs w:val="24"/>
              </w:rPr>
              <w:t>“</w:t>
            </w:r>
            <w:r>
              <w:rPr>
                <w:rFonts w:ascii="Times New Roman" w:hAnsi="Times New Roman" w:eastAsia="方正仿宋_GBK" w:cs="Times New Roman"/>
                <w:b w:val="0"/>
                <w:bCs w:val="0"/>
                <w:sz w:val="24"/>
                <w:szCs w:val="24"/>
              </w:rPr>
              <w:t>美丽医院</w:t>
            </w:r>
            <w:r>
              <w:rPr>
                <w:rFonts w:hint="eastAsia" w:ascii="Times New Roman" w:hAnsi="Times New Roman" w:eastAsia="方正仿宋_GBK" w:cs="Times New Roman"/>
                <w:b w:val="0"/>
                <w:bCs w:val="0"/>
                <w:sz w:val="24"/>
                <w:szCs w:val="24"/>
              </w:rPr>
              <w:t>”</w:t>
            </w:r>
            <w:r>
              <w:rPr>
                <w:rFonts w:ascii="Times New Roman" w:hAnsi="Times New Roman" w:eastAsia="方正仿宋_GBK" w:cs="Times New Roman"/>
                <w:b w:val="0"/>
                <w:bCs w:val="0"/>
                <w:sz w:val="24"/>
                <w:szCs w:val="24"/>
              </w:rPr>
              <w:t>创建，实施绿色医院、平安医院建设。县级公立医院万元收入能耗支出下降到95元以内。</w:t>
            </w:r>
          </w:p>
          <w:p w14:paraId="1B15AE9D">
            <w:pPr>
              <w:spacing w:line="400" w:lineRule="exact"/>
              <w:ind w:firstLine="436" w:firstLineChars="200"/>
              <w:rPr>
                <w:rFonts w:ascii="Times New Roman" w:hAnsi="Times New Roman" w:eastAsia="方正仿宋_GBK" w:cs="Times New Roman"/>
                <w:b w:val="0"/>
                <w:bCs w:val="0"/>
                <w:spacing w:val="-11"/>
                <w:sz w:val="24"/>
                <w:szCs w:val="24"/>
              </w:rPr>
            </w:pPr>
            <w:r>
              <w:rPr>
                <w:rFonts w:ascii="Times New Roman" w:hAnsi="Times New Roman" w:eastAsia="方正仿宋_GBK" w:cs="Times New Roman"/>
                <w:b w:val="0"/>
                <w:bCs w:val="0"/>
                <w:spacing w:val="-11"/>
                <w:sz w:val="24"/>
                <w:szCs w:val="24"/>
              </w:rPr>
              <w:t>智慧医院建设。县人民医院、县中医院、县妇女儿童医院创建市级</w:t>
            </w:r>
            <w:r>
              <w:rPr>
                <w:rFonts w:hint="eastAsia" w:ascii="Times New Roman" w:hAnsi="Times New Roman" w:eastAsia="方正仿宋_GBK" w:cs="Times New Roman"/>
                <w:b w:val="0"/>
                <w:bCs w:val="0"/>
                <w:spacing w:val="-11"/>
                <w:sz w:val="24"/>
                <w:szCs w:val="24"/>
              </w:rPr>
              <w:t>“</w:t>
            </w:r>
            <w:r>
              <w:rPr>
                <w:rFonts w:ascii="Times New Roman" w:hAnsi="Times New Roman" w:eastAsia="方正仿宋_GBK" w:cs="Times New Roman"/>
                <w:b w:val="0"/>
                <w:bCs w:val="0"/>
                <w:spacing w:val="-11"/>
                <w:sz w:val="24"/>
                <w:szCs w:val="24"/>
              </w:rPr>
              <w:t>智慧医院</w:t>
            </w:r>
            <w:r>
              <w:rPr>
                <w:rFonts w:hint="eastAsia" w:ascii="Times New Roman" w:hAnsi="Times New Roman" w:eastAsia="方正仿宋_GBK" w:cs="Times New Roman"/>
                <w:b w:val="0"/>
                <w:bCs w:val="0"/>
                <w:spacing w:val="-11"/>
                <w:sz w:val="24"/>
                <w:szCs w:val="24"/>
              </w:rPr>
              <w:t>”</w:t>
            </w:r>
            <w:r>
              <w:rPr>
                <w:rFonts w:ascii="Times New Roman" w:hAnsi="Times New Roman" w:eastAsia="方正仿宋_GBK" w:cs="Times New Roman"/>
                <w:b w:val="0"/>
                <w:bCs w:val="0"/>
                <w:spacing w:val="-11"/>
                <w:sz w:val="24"/>
                <w:szCs w:val="24"/>
              </w:rPr>
              <w:t>。</w:t>
            </w:r>
          </w:p>
          <w:p w14:paraId="3C39F910">
            <w:pPr>
              <w:spacing w:line="400" w:lineRule="exact"/>
              <w:ind w:firstLine="480" w:firstLineChars="200"/>
              <w:rPr>
                <w:rFonts w:ascii="Times New Roman" w:hAnsi="Times New Roman" w:eastAsia="方正仿宋_GBK" w:cs="Times New Roman"/>
                <w:b w:val="0"/>
                <w:bCs w:val="0"/>
                <w:sz w:val="24"/>
                <w:szCs w:val="24"/>
              </w:rPr>
            </w:pPr>
            <w:r>
              <w:rPr>
                <w:rFonts w:ascii="Times New Roman" w:hAnsi="Times New Roman" w:eastAsia="方正仿宋_GBK" w:cs="Times New Roman"/>
                <w:b w:val="0"/>
                <w:bCs w:val="0"/>
                <w:sz w:val="24"/>
                <w:szCs w:val="24"/>
              </w:rPr>
              <w:t>基层医疗服务能力提升。支持部分乡镇卫生院、社区卫生服务中心在原址增设床位，改善门诊和病房设施，推动环境美化和流程改造，提档升级诊疗设备。</w:t>
            </w:r>
          </w:p>
        </w:tc>
      </w:tr>
    </w:tbl>
    <w:p w14:paraId="21D1B0C1">
      <w:pPr>
        <w:keepNext/>
        <w:keepLines/>
        <w:widowControl w:val="0"/>
        <w:spacing w:before="0" w:after="0" w:line="590" w:lineRule="exact"/>
        <w:ind w:firstLine="640" w:firstLineChars="200"/>
        <w:jc w:val="both"/>
        <w:outlineLvl w:val="1"/>
        <w:rPr>
          <w:rFonts w:ascii="Times New Roman" w:hAnsi="Times New Roman" w:eastAsia="方正楷体_GBK" w:cs="方正楷体_GBK"/>
          <w:b w:val="0"/>
          <w:bCs w:val="0"/>
          <w:kern w:val="2"/>
          <w:sz w:val="32"/>
          <w:szCs w:val="32"/>
          <w:lang w:val="en-US" w:eastAsia="zh-CN" w:bidi="ar-SA"/>
        </w:rPr>
      </w:pPr>
      <w:bookmarkStart w:id="38" w:name="_Toc9842_WPSOffice_Level2"/>
      <w:bookmarkStart w:id="39" w:name="_Toc68265845"/>
      <w:bookmarkStart w:id="40" w:name="_Toc560"/>
      <w:bookmarkStart w:id="41" w:name="_Toc31505"/>
      <w:bookmarkStart w:id="42" w:name="_Toc27772"/>
      <w:r>
        <w:rPr>
          <w:rFonts w:hint="eastAsia" w:ascii="Times New Roman" w:hAnsi="Times New Roman" w:eastAsia="方正楷体_GBK" w:cs="方正楷体_GBK"/>
          <w:b w:val="0"/>
          <w:bCs w:val="0"/>
          <w:kern w:val="2"/>
          <w:sz w:val="32"/>
          <w:szCs w:val="32"/>
          <w:lang w:val="en-US" w:eastAsia="zh-CN" w:bidi="ar-SA"/>
        </w:rPr>
        <w:t>（五）大力发展中医药事业，提升传承与创新能力</w:t>
      </w:r>
      <w:bookmarkEnd w:id="38"/>
      <w:bookmarkEnd w:id="39"/>
      <w:bookmarkEnd w:id="40"/>
      <w:bookmarkEnd w:id="41"/>
      <w:bookmarkEnd w:id="42"/>
    </w:p>
    <w:p w14:paraId="304BCB43">
      <w:pPr>
        <w:spacing w:line="590" w:lineRule="exact"/>
        <w:ind w:firstLine="640" w:firstLineChars="200"/>
        <w:rPr>
          <w:rFonts w:ascii="Times New Roman" w:hAnsi="Times New Roman" w:eastAsia="方正仿宋_GBK" w:cs="Times New Roman"/>
          <w:b w:val="0"/>
          <w:bCs w:val="0"/>
          <w:sz w:val="32"/>
          <w:szCs w:val="32"/>
        </w:rPr>
      </w:pPr>
      <w:r>
        <w:rPr>
          <w:rFonts w:ascii="Times New Roman" w:hAnsi="Times New Roman" w:eastAsia="方正仿宋_GBK" w:cs="Times New Roman"/>
          <w:b w:val="0"/>
          <w:bCs w:val="0"/>
          <w:sz w:val="32"/>
          <w:szCs w:val="32"/>
        </w:rPr>
        <w:t>17.</w:t>
      </w:r>
      <w:r>
        <w:rPr>
          <w:rFonts w:hint="eastAsia" w:ascii="Times New Roman" w:hAnsi="Times New Roman" w:eastAsia="方正仿宋_GBK" w:cs="Times New Roman"/>
          <w:b w:val="0"/>
          <w:bCs w:val="0"/>
          <w:sz w:val="32"/>
          <w:szCs w:val="32"/>
          <w:lang w:val="en-US" w:eastAsia="zh-CN"/>
        </w:rPr>
        <w:t xml:space="preserve"> </w:t>
      </w:r>
      <w:r>
        <w:rPr>
          <w:rFonts w:ascii="Times New Roman" w:hAnsi="Times New Roman" w:eastAsia="方正仿宋_GBK" w:cs="Times New Roman"/>
          <w:b w:val="0"/>
          <w:bCs w:val="0"/>
          <w:sz w:val="32"/>
          <w:szCs w:val="32"/>
        </w:rPr>
        <w:t>完善中医药服务体系。</w:t>
      </w:r>
      <w:r>
        <w:rPr>
          <w:rFonts w:ascii="Times New Roman" w:hAnsi="Times New Roman" w:eastAsia="方正仿宋_GBK" w:cs="Times New Roman"/>
          <w:b w:val="0"/>
          <w:bCs w:val="0"/>
          <w:color w:val="000000"/>
          <w:sz w:val="32"/>
          <w:szCs w:val="32"/>
        </w:rPr>
        <w:t>加强县中医院</w:t>
      </w:r>
      <w:r>
        <w:rPr>
          <w:rFonts w:ascii="Times New Roman" w:hAnsi="Times New Roman" w:eastAsia="方正仿宋_GBK" w:cs="Times New Roman"/>
          <w:b w:val="0"/>
          <w:bCs w:val="0"/>
          <w:sz w:val="32"/>
          <w:szCs w:val="32"/>
        </w:rPr>
        <w:t>与市内外知名中医专业院校和知名三甲中医院合作，充分发挥中医龙头带动作用。开展中西医结合示范项目建设，鼓励综合医院、专科医院开设中医科，开展中西医结合诊疗技术。</w:t>
      </w:r>
      <w:r>
        <w:rPr>
          <w:rFonts w:ascii="Times New Roman" w:hAnsi="Times New Roman" w:eastAsia="方正仿宋_GBK" w:cs="Times New Roman"/>
          <w:b w:val="0"/>
          <w:bCs w:val="0"/>
          <w:color w:val="000000"/>
          <w:sz w:val="32"/>
          <w:szCs w:val="32"/>
        </w:rPr>
        <w:t>建立中医医共体，</w:t>
      </w:r>
      <w:r>
        <w:rPr>
          <w:rFonts w:ascii="Times New Roman" w:hAnsi="Times New Roman" w:eastAsia="方正仿宋_GBK" w:cs="Times New Roman"/>
          <w:b w:val="0"/>
          <w:bCs w:val="0"/>
          <w:sz w:val="32"/>
          <w:szCs w:val="32"/>
        </w:rPr>
        <w:t>采取开设联合病房，共建特色专科，推广适宜技术等方式，不断提升全县乡镇卫生院中医诊疗技术水平和中医科室发展，打造中医特色鲜明的乡镇卫生院。建立县乡两级乡村医生中医药学习培训制度，推动村卫生室中医药服务全覆盖。</w:t>
      </w:r>
    </w:p>
    <w:p w14:paraId="29426EBD">
      <w:pPr>
        <w:widowControl w:val="0"/>
        <w:spacing w:after="120" w:line="590" w:lineRule="exact"/>
        <w:ind w:firstLine="640" w:firstLineChars="200"/>
        <w:jc w:val="both"/>
        <w:rPr>
          <w:rFonts w:ascii="Times New Roman" w:hAnsi="Times New Roman" w:eastAsia="方正仿宋_GBK" w:cs="Times New Roman"/>
          <w:b w:val="0"/>
          <w:bCs w:val="0"/>
          <w:spacing w:val="6"/>
          <w:kern w:val="2"/>
          <w:sz w:val="32"/>
          <w:szCs w:val="32"/>
          <w:lang w:val="en-US" w:eastAsia="zh-CN" w:bidi="ar-SA"/>
        </w:rPr>
      </w:pPr>
      <w:r>
        <w:rPr>
          <w:rFonts w:ascii="Times New Roman" w:hAnsi="Times New Roman" w:eastAsia="方正仿宋_GBK" w:cs="Times New Roman"/>
          <w:b w:val="0"/>
          <w:bCs w:val="0"/>
          <w:kern w:val="2"/>
          <w:sz w:val="32"/>
          <w:szCs w:val="32"/>
          <w:lang w:val="en-US" w:eastAsia="zh-CN" w:bidi="ar-SA"/>
        </w:rPr>
        <w:t>18.</w:t>
      </w:r>
      <w:r>
        <w:rPr>
          <w:rFonts w:hint="eastAsia" w:ascii="Times New Roman" w:hAnsi="Times New Roman" w:eastAsia="方正仿宋_GBK" w:cs="Times New Roman"/>
          <w:b w:val="0"/>
          <w:bCs w:val="0"/>
          <w:kern w:val="2"/>
          <w:sz w:val="32"/>
          <w:szCs w:val="32"/>
          <w:lang w:val="en-US" w:eastAsia="zh-CN" w:bidi="ar-SA"/>
        </w:rPr>
        <w:t xml:space="preserve"> </w:t>
      </w:r>
      <w:r>
        <w:rPr>
          <w:rFonts w:ascii="Times New Roman" w:hAnsi="Times New Roman" w:eastAsia="方正仿宋_GBK" w:cs="Times New Roman"/>
          <w:b w:val="0"/>
          <w:bCs w:val="0"/>
          <w:kern w:val="2"/>
          <w:sz w:val="32"/>
          <w:szCs w:val="32"/>
          <w:lang w:val="en-US" w:eastAsia="zh-CN" w:bidi="ar-SA"/>
        </w:rPr>
        <w:t>提升中医药服务能力。</w:t>
      </w:r>
      <w:r>
        <w:rPr>
          <w:rFonts w:ascii="Times New Roman" w:hAnsi="Times New Roman" w:eastAsia="方正仿宋_GBK" w:cs="Times New Roman"/>
          <w:b w:val="0"/>
          <w:bCs w:val="0"/>
          <w:kern w:val="0"/>
          <w:sz w:val="32"/>
          <w:szCs w:val="32"/>
          <w:lang w:val="en-US" w:eastAsia="zh-CN" w:bidi="ar-SA"/>
        </w:rPr>
        <w:t>提升中医诊疗服务水平，完善中医医师多点多机构执业管理，积极鼓励和引导社会资本兴办中医医疗机构。采取内生培育与合作共建等方式，深入推进县中医院</w:t>
      </w:r>
      <w:r>
        <w:rPr>
          <w:rFonts w:hint="eastAsia" w:ascii="Times New Roman" w:hAnsi="Times New Roman" w:eastAsia="方正仿宋_GBK" w:cs="Times New Roman"/>
          <w:b w:val="0"/>
          <w:bCs w:val="0"/>
          <w:kern w:val="0"/>
          <w:sz w:val="32"/>
          <w:szCs w:val="32"/>
          <w:lang w:val="en-US" w:eastAsia="zh-CN" w:bidi="ar-SA"/>
        </w:rPr>
        <w:t>“</w:t>
      </w:r>
      <w:r>
        <w:rPr>
          <w:rFonts w:ascii="Times New Roman" w:hAnsi="Times New Roman" w:eastAsia="方正仿宋_GBK" w:cs="Times New Roman"/>
          <w:b w:val="0"/>
          <w:bCs w:val="0"/>
          <w:kern w:val="0"/>
          <w:sz w:val="32"/>
          <w:szCs w:val="32"/>
          <w:lang w:val="en-US" w:eastAsia="zh-CN" w:bidi="ar-SA"/>
        </w:rPr>
        <w:t>名医、名科、名院</w:t>
      </w:r>
      <w:r>
        <w:rPr>
          <w:rFonts w:hint="eastAsia" w:ascii="Times New Roman" w:hAnsi="Times New Roman" w:eastAsia="方正仿宋_GBK" w:cs="Times New Roman"/>
          <w:b w:val="0"/>
          <w:bCs w:val="0"/>
          <w:kern w:val="0"/>
          <w:sz w:val="32"/>
          <w:szCs w:val="32"/>
          <w:lang w:val="en-US" w:eastAsia="zh-CN" w:bidi="ar-SA"/>
        </w:rPr>
        <w:t>”</w:t>
      </w:r>
      <w:r>
        <w:rPr>
          <w:rFonts w:ascii="Times New Roman" w:hAnsi="Times New Roman" w:eastAsia="方正仿宋_GBK" w:cs="Times New Roman"/>
          <w:b w:val="0"/>
          <w:bCs w:val="0"/>
          <w:kern w:val="0"/>
          <w:sz w:val="32"/>
          <w:szCs w:val="32"/>
          <w:lang w:val="en-US" w:eastAsia="zh-CN" w:bidi="ar-SA"/>
        </w:rPr>
        <w:t>建设，以县中医院为龙头建立区域</w:t>
      </w:r>
      <w:r>
        <w:rPr>
          <w:rFonts w:hint="eastAsia" w:ascii="Times New Roman" w:hAnsi="Times New Roman" w:eastAsia="方正仿宋_GBK" w:cs="Times New Roman"/>
          <w:b w:val="0"/>
          <w:bCs w:val="0"/>
          <w:kern w:val="0"/>
          <w:sz w:val="32"/>
          <w:szCs w:val="32"/>
          <w:lang w:val="en-US" w:eastAsia="zh-CN" w:bidi="ar-SA"/>
        </w:rPr>
        <w:t>“</w:t>
      </w:r>
      <w:r>
        <w:rPr>
          <w:rFonts w:ascii="Times New Roman" w:hAnsi="Times New Roman" w:eastAsia="方正仿宋_GBK" w:cs="Times New Roman"/>
          <w:b w:val="0"/>
          <w:bCs w:val="0"/>
          <w:kern w:val="0"/>
          <w:sz w:val="32"/>
          <w:szCs w:val="32"/>
          <w:lang w:val="en-US" w:eastAsia="zh-CN" w:bidi="ar-SA"/>
        </w:rPr>
        <w:t>治未病</w:t>
      </w:r>
      <w:r>
        <w:rPr>
          <w:rFonts w:hint="eastAsia" w:ascii="Times New Roman" w:hAnsi="Times New Roman" w:eastAsia="方正仿宋_GBK" w:cs="Times New Roman"/>
          <w:b w:val="0"/>
          <w:bCs w:val="0"/>
          <w:kern w:val="0"/>
          <w:sz w:val="32"/>
          <w:szCs w:val="32"/>
          <w:lang w:val="en-US" w:eastAsia="zh-CN" w:bidi="ar-SA"/>
        </w:rPr>
        <w:t>”</w:t>
      </w:r>
      <w:r>
        <w:rPr>
          <w:rFonts w:ascii="Times New Roman" w:hAnsi="Times New Roman" w:eastAsia="方正仿宋_GBK" w:cs="Times New Roman"/>
          <w:b w:val="0"/>
          <w:bCs w:val="0"/>
          <w:kern w:val="0"/>
          <w:sz w:val="32"/>
          <w:szCs w:val="32"/>
          <w:lang w:val="en-US" w:eastAsia="zh-CN" w:bidi="ar-SA"/>
        </w:rPr>
        <w:t>中心，构建可复制推广的</w:t>
      </w:r>
      <w:r>
        <w:rPr>
          <w:rFonts w:hint="eastAsia" w:ascii="Times New Roman" w:hAnsi="Times New Roman" w:eastAsia="方正仿宋_GBK" w:cs="Times New Roman"/>
          <w:b w:val="0"/>
          <w:bCs w:val="0"/>
          <w:kern w:val="0"/>
          <w:sz w:val="32"/>
          <w:szCs w:val="32"/>
          <w:lang w:val="en-US" w:eastAsia="zh-CN" w:bidi="ar-SA"/>
        </w:rPr>
        <w:t>“</w:t>
      </w:r>
      <w:r>
        <w:rPr>
          <w:rFonts w:ascii="Times New Roman" w:hAnsi="Times New Roman" w:eastAsia="方正仿宋_GBK" w:cs="Times New Roman"/>
          <w:b w:val="0"/>
          <w:bCs w:val="0"/>
          <w:kern w:val="0"/>
          <w:sz w:val="32"/>
          <w:szCs w:val="32"/>
          <w:lang w:val="en-US" w:eastAsia="zh-CN" w:bidi="ar-SA"/>
        </w:rPr>
        <w:t>治未病</w:t>
      </w:r>
      <w:r>
        <w:rPr>
          <w:rFonts w:hint="eastAsia" w:ascii="Times New Roman" w:hAnsi="Times New Roman" w:eastAsia="方正仿宋_GBK" w:cs="Times New Roman"/>
          <w:b w:val="0"/>
          <w:bCs w:val="0"/>
          <w:kern w:val="0"/>
          <w:sz w:val="32"/>
          <w:szCs w:val="32"/>
          <w:lang w:val="en-US" w:eastAsia="zh-CN" w:bidi="ar-SA"/>
        </w:rPr>
        <w:t>”</w:t>
      </w:r>
      <w:r>
        <w:rPr>
          <w:rFonts w:ascii="Times New Roman" w:hAnsi="Times New Roman" w:eastAsia="方正仿宋_GBK" w:cs="Times New Roman"/>
          <w:b w:val="0"/>
          <w:bCs w:val="0"/>
          <w:kern w:val="0"/>
          <w:sz w:val="32"/>
          <w:szCs w:val="32"/>
          <w:lang w:val="en-US" w:eastAsia="zh-CN" w:bidi="ar-SA"/>
        </w:rPr>
        <w:t>中心服务体系。充分结合县级医疗卫生机构优势，建立云阳县中医诊疗六大会诊中心。推动</w:t>
      </w:r>
      <w:r>
        <w:rPr>
          <w:rFonts w:hint="eastAsia" w:ascii="Times New Roman" w:hAnsi="Times New Roman" w:eastAsia="方正仿宋_GBK" w:cs="Times New Roman"/>
          <w:b w:val="0"/>
          <w:bCs w:val="0"/>
          <w:kern w:val="0"/>
          <w:sz w:val="32"/>
          <w:szCs w:val="32"/>
          <w:lang w:val="en-US" w:eastAsia="zh-CN" w:bidi="ar-SA"/>
        </w:rPr>
        <w:t>“</w:t>
      </w:r>
      <w:r>
        <w:rPr>
          <w:rFonts w:ascii="Times New Roman" w:hAnsi="Times New Roman" w:eastAsia="方正仿宋_GBK" w:cs="Times New Roman"/>
          <w:b w:val="0"/>
          <w:bCs w:val="0"/>
          <w:kern w:val="0"/>
          <w:sz w:val="32"/>
          <w:szCs w:val="32"/>
          <w:lang w:val="en-US" w:eastAsia="zh-CN" w:bidi="ar-SA"/>
        </w:rPr>
        <w:t>互联网+中医药健康</w:t>
      </w:r>
      <w:r>
        <w:rPr>
          <w:rFonts w:hint="eastAsia" w:ascii="Times New Roman" w:hAnsi="Times New Roman" w:eastAsia="方正仿宋_GBK" w:cs="Times New Roman"/>
          <w:b w:val="0"/>
          <w:bCs w:val="0"/>
          <w:kern w:val="0"/>
          <w:sz w:val="32"/>
          <w:szCs w:val="32"/>
          <w:lang w:val="en-US" w:eastAsia="zh-CN" w:bidi="ar-SA"/>
        </w:rPr>
        <w:t>”</w:t>
      </w:r>
      <w:r>
        <w:rPr>
          <w:rFonts w:ascii="Times New Roman" w:hAnsi="Times New Roman" w:eastAsia="方正仿宋_GBK" w:cs="Times New Roman"/>
          <w:b w:val="0"/>
          <w:bCs w:val="0"/>
          <w:kern w:val="0"/>
          <w:sz w:val="32"/>
          <w:szCs w:val="32"/>
          <w:lang w:val="en-US" w:eastAsia="zh-CN" w:bidi="ar-SA"/>
        </w:rPr>
        <w:t>服务，促进中医药各领域与互联网全</w:t>
      </w:r>
      <w:r>
        <w:rPr>
          <w:rFonts w:ascii="Times New Roman" w:hAnsi="Times New Roman" w:eastAsia="方正仿宋_GBK" w:cs="Times New Roman"/>
          <w:b w:val="0"/>
          <w:bCs w:val="0"/>
          <w:spacing w:val="6"/>
          <w:kern w:val="0"/>
          <w:sz w:val="32"/>
          <w:szCs w:val="32"/>
          <w:lang w:val="en-US" w:eastAsia="zh-CN" w:bidi="ar-SA"/>
        </w:rPr>
        <w:t>面融合。</w:t>
      </w:r>
      <w:r>
        <w:rPr>
          <w:rFonts w:ascii="Times New Roman" w:hAnsi="Times New Roman" w:eastAsia="方正仿宋_GBK" w:cs="Times New Roman"/>
          <w:b w:val="0"/>
          <w:bCs w:val="0"/>
          <w:spacing w:val="6"/>
          <w:kern w:val="2"/>
          <w:sz w:val="32"/>
          <w:szCs w:val="32"/>
          <w:lang w:val="en-US" w:eastAsia="zh-CN" w:bidi="ar-SA"/>
        </w:rPr>
        <w:t>努力构建中医药应急体系，建立健全中医药参与公共卫生应急响应机制。充分发挥中医药在重大灾害事故和突发公共事件医疗应急救治作用。进一步构建和完善以中医药为主体的传染病防控体系，发挥中医药在重大疫情防控救治中的独特作用。</w:t>
      </w:r>
    </w:p>
    <w:p w14:paraId="6750AF2B">
      <w:pPr>
        <w:widowControl w:val="0"/>
        <w:spacing w:after="120" w:line="590" w:lineRule="exact"/>
        <w:ind w:firstLine="640" w:firstLineChars="200"/>
        <w:jc w:val="both"/>
        <w:rPr>
          <w:rFonts w:ascii="Times New Roman" w:hAnsi="Times New Roman" w:eastAsia="方正仿宋_GBK" w:cs="Times New Roman"/>
          <w:b w:val="0"/>
          <w:bCs w:val="0"/>
          <w:spacing w:val="6"/>
          <w:kern w:val="0"/>
          <w:sz w:val="32"/>
          <w:szCs w:val="32"/>
          <w:lang w:val="en-US" w:eastAsia="zh-CN" w:bidi="ar-SA"/>
        </w:rPr>
      </w:pPr>
      <w:r>
        <w:rPr>
          <w:rFonts w:ascii="Times New Roman" w:hAnsi="Times New Roman" w:eastAsia="方正仿宋_GBK" w:cs="Times New Roman"/>
          <w:b w:val="0"/>
          <w:bCs w:val="0"/>
          <w:kern w:val="2"/>
          <w:sz w:val="32"/>
          <w:szCs w:val="32"/>
          <w:lang w:val="en-US" w:eastAsia="zh-CN" w:bidi="ar-SA"/>
        </w:rPr>
        <w:t>19.</w:t>
      </w:r>
      <w:r>
        <w:rPr>
          <w:rFonts w:hint="eastAsia" w:ascii="Times New Roman" w:hAnsi="Times New Roman" w:eastAsia="方正仿宋_GBK" w:cs="Times New Roman"/>
          <w:b w:val="0"/>
          <w:bCs w:val="0"/>
          <w:kern w:val="2"/>
          <w:sz w:val="32"/>
          <w:szCs w:val="32"/>
          <w:lang w:val="en-US" w:eastAsia="zh-CN" w:bidi="ar-SA"/>
        </w:rPr>
        <w:t xml:space="preserve"> </w:t>
      </w:r>
      <w:r>
        <w:rPr>
          <w:rFonts w:ascii="Times New Roman" w:hAnsi="Times New Roman" w:eastAsia="方正仿宋_GBK" w:cs="Times New Roman"/>
          <w:b w:val="0"/>
          <w:bCs w:val="0"/>
          <w:spacing w:val="6"/>
          <w:kern w:val="2"/>
          <w:sz w:val="32"/>
          <w:szCs w:val="32"/>
          <w:lang w:val="en-US" w:eastAsia="zh-CN" w:bidi="ar-SA"/>
        </w:rPr>
        <w:t>大力开展中医药传承与创新。</w:t>
      </w:r>
      <w:r>
        <w:rPr>
          <w:rFonts w:ascii="Times New Roman" w:hAnsi="Times New Roman" w:eastAsia="方正仿宋_GBK" w:cs="Times New Roman"/>
          <w:b w:val="0"/>
          <w:bCs w:val="0"/>
          <w:spacing w:val="6"/>
          <w:kern w:val="0"/>
          <w:sz w:val="32"/>
          <w:szCs w:val="32"/>
          <w:lang w:val="en-US" w:eastAsia="zh-CN" w:bidi="ar-SA"/>
        </w:rPr>
        <w:t>围绕打造</w:t>
      </w:r>
      <w:r>
        <w:rPr>
          <w:rFonts w:hint="eastAsia" w:ascii="Times New Roman" w:hAnsi="Times New Roman" w:eastAsia="方正仿宋_GBK" w:cs="Times New Roman"/>
          <w:b w:val="0"/>
          <w:bCs w:val="0"/>
          <w:spacing w:val="6"/>
          <w:kern w:val="0"/>
          <w:sz w:val="32"/>
          <w:szCs w:val="32"/>
          <w:lang w:val="en-US" w:eastAsia="zh-CN" w:bidi="ar-SA"/>
        </w:rPr>
        <w:t>“</w:t>
      </w:r>
      <w:r>
        <w:rPr>
          <w:rFonts w:ascii="Times New Roman" w:hAnsi="Times New Roman" w:eastAsia="方正仿宋_GBK" w:cs="Times New Roman"/>
          <w:b w:val="0"/>
          <w:bCs w:val="0"/>
          <w:spacing w:val="6"/>
          <w:kern w:val="0"/>
          <w:sz w:val="32"/>
          <w:szCs w:val="32"/>
          <w:lang w:val="en-US" w:eastAsia="zh-CN" w:bidi="ar-SA"/>
        </w:rPr>
        <w:t>渝东北中医医学中心</w:t>
      </w:r>
      <w:r>
        <w:rPr>
          <w:rFonts w:hint="eastAsia" w:ascii="Times New Roman" w:hAnsi="Times New Roman" w:eastAsia="方正仿宋_GBK" w:cs="Times New Roman"/>
          <w:b w:val="0"/>
          <w:bCs w:val="0"/>
          <w:spacing w:val="6"/>
          <w:kern w:val="0"/>
          <w:sz w:val="32"/>
          <w:szCs w:val="32"/>
          <w:lang w:val="en-US" w:eastAsia="zh-CN" w:bidi="ar-SA"/>
        </w:rPr>
        <w:t>”</w:t>
      </w:r>
      <w:r>
        <w:rPr>
          <w:rFonts w:ascii="Times New Roman" w:hAnsi="Times New Roman" w:eastAsia="方正仿宋_GBK" w:cs="Times New Roman"/>
          <w:b w:val="0"/>
          <w:bCs w:val="0"/>
          <w:spacing w:val="6"/>
          <w:kern w:val="0"/>
          <w:sz w:val="32"/>
          <w:szCs w:val="32"/>
          <w:lang w:val="en-US" w:eastAsia="zh-CN" w:bidi="ar-SA"/>
        </w:rPr>
        <w:t>目标，充分发挥中医药在针灸、骨伤、皮肤、肛肠、妇科、肿瘤等领域的治疗优势，开展中医优势病种研究和中医适宜技术推广。重点推动基于肿瘤、心脑血管病、糖尿病及并发症、老年慢性病、免疫性疾病、感染性疾病等重大疑难疾病、优势病种的中医药防治临床与基础研究。大力推动县级医院建设中西医结合临床研究中心或基地，加快中西医重点研究室、中西医结合科研方法与评价平台以及中西医结合研究伦理认证平台建设。设立中医药</w:t>
      </w:r>
      <w:r>
        <w:rPr>
          <w:rFonts w:hint="eastAsia" w:ascii="Times New Roman" w:hAnsi="Times New Roman" w:eastAsia="方正仿宋_GBK" w:cs="Times New Roman"/>
          <w:b w:val="0"/>
          <w:bCs w:val="0"/>
          <w:spacing w:val="6"/>
          <w:kern w:val="0"/>
          <w:sz w:val="32"/>
          <w:szCs w:val="32"/>
          <w:lang w:val="en-US" w:eastAsia="zh-CN" w:bidi="ar-SA"/>
        </w:rPr>
        <w:t>“</w:t>
      </w:r>
      <w:r>
        <w:rPr>
          <w:rFonts w:ascii="Times New Roman" w:hAnsi="Times New Roman" w:eastAsia="方正仿宋_GBK" w:cs="Times New Roman"/>
          <w:b w:val="0"/>
          <w:bCs w:val="0"/>
          <w:spacing w:val="6"/>
          <w:kern w:val="0"/>
          <w:sz w:val="32"/>
          <w:szCs w:val="32"/>
          <w:lang w:val="en-US" w:eastAsia="zh-CN" w:bidi="ar-SA"/>
        </w:rPr>
        <w:t>守正创新</w:t>
      </w:r>
      <w:r>
        <w:rPr>
          <w:rFonts w:hint="eastAsia" w:ascii="Times New Roman" w:hAnsi="Times New Roman" w:eastAsia="方正仿宋_GBK" w:cs="Times New Roman"/>
          <w:b w:val="0"/>
          <w:bCs w:val="0"/>
          <w:spacing w:val="6"/>
          <w:kern w:val="0"/>
          <w:sz w:val="32"/>
          <w:szCs w:val="32"/>
          <w:lang w:val="en-US" w:eastAsia="zh-CN" w:bidi="ar-SA"/>
        </w:rPr>
        <w:t>”</w:t>
      </w:r>
      <w:r>
        <w:rPr>
          <w:rFonts w:ascii="Times New Roman" w:hAnsi="Times New Roman" w:eastAsia="方正仿宋_GBK" w:cs="Times New Roman"/>
          <w:b w:val="0"/>
          <w:bCs w:val="0"/>
          <w:spacing w:val="6"/>
          <w:kern w:val="0"/>
          <w:sz w:val="32"/>
          <w:szCs w:val="32"/>
          <w:lang w:val="en-US" w:eastAsia="zh-CN" w:bidi="ar-SA"/>
        </w:rPr>
        <w:t>重大专项，围绕中医药理论传承与创新、中医药防治重大疑难疾病基础与临床研究、中医药行业关键技术创新与突破、中医药标准化建设等，激励科技与产业创新，鼓励全县医疗工作者、药企等面向科学技术前沿，开展前瞻性、原创性的临床基础与应用研究、产业化研究等，全面培育和提升承担市级、国家级科研项目的能力和水平。</w:t>
      </w:r>
    </w:p>
    <w:p w14:paraId="2C660A1C">
      <w:pPr>
        <w:spacing w:line="590" w:lineRule="exact"/>
        <w:ind w:firstLine="640" w:firstLineChars="200"/>
        <w:rPr>
          <w:rFonts w:ascii="Times New Roman" w:hAnsi="Times New Roman" w:eastAsia="方正仿宋_GBK" w:cs="Times New Roman"/>
          <w:b w:val="0"/>
          <w:bCs w:val="0"/>
          <w:kern w:val="0"/>
          <w:sz w:val="32"/>
          <w:szCs w:val="32"/>
        </w:rPr>
      </w:pPr>
      <w:r>
        <w:rPr>
          <w:rFonts w:ascii="Times New Roman" w:hAnsi="Times New Roman" w:eastAsia="方正仿宋_GBK" w:cs="Times New Roman"/>
          <w:b w:val="0"/>
          <w:bCs w:val="0"/>
          <w:sz w:val="32"/>
          <w:szCs w:val="32"/>
        </w:rPr>
        <w:t>20.</w:t>
      </w:r>
      <w:r>
        <w:rPr>
          <w:rFonts w:hint="eastAsia" w:ascii="Times New Roman" w:hAnsi="Times New Roman" w:eastAsia="方正仿宋_GBK" w:cs="Times New Roman"/>
          <w:b w:val="0"/>
          <w:bCs w:val="0"/>
          <w:sz w:val="32"/>
          <w:szCs w:val="32"/>
          <w:lang w:val="en-US" w:eastAsia="zh-CN"/>
        </w:rPr>
        <w:t xml:space="preserve"> </w:t>
      </w:r>
      <w:r>
        <w:rPr>
          <w:rFonts w:ascii="Times New Roman" w:hAnsi="Times New Roman" w:eastAsia="方正仿宋_GBK" w:cs="Times New Roman"/>
          <w:b w:val="0"/>
          <w:bCs w:val="0"/>
          <w:sz w:val="32"/>
          <w:szCs w:val="32"/>
        </w:rPr>
        <w:t>推动中医药高素质人才队伍建设。</w:t>
      </w:r>
      <w:r>
        <w:rPr>
          <w:rFonts w:ascii="Times New Roman" w:hAnsi="Times New Roman" w:eastAsia="方正仿宋_GBK" w:cs="Times New Roman"/>
          <w:b w:val="0"/>
          <w:bCs w:val="0"/>
          <w:kern w:val="0"/>
          <w:sz w:val="32"/>
          <w:szCs w:val="32"/>
        </w:rPr>
        <w:t>推进全国和市级名老中医药传承工作室建设，加强名老中医药专家学术经验、特色技艺及地方特色中医药流派的整理与传承研究，收集筛选民间中医药验方、秘方和技法，建立合作开发和利益分享机制。积极参加市级名中医评选活动，开展县级名中医、基层名中医等评选活动，营造有利于优秀中医师脱颖而出的环境。到2025年，全县成立名老中医药传承工作室5个以上，培养市级名中医3名以上，县级名中医15名以上。制定中医药人才招聘计划，逐年提高中医师占比，到2025年每千人口中医类别执业（助理）医师数达到1人。制定中医药人才培养计划，每年遴选5名以上优秀的年轻中医师到成都中医药大学、山东省中医药大学、重庆医科大学中医药学院等高校培训学习，培养市、县中医药领军人才10人，学术学科带头人10人，高层次中西医结合人才20人，中医临床骨干50人；制定中医药高层次人才引进计划，根据重点专科建设需要，引进中医类博士1</w:t>
      </w:r>
      <w:r>
        <w:rPr>
          <w:rFonts w:hint="eastAsia" w:ascii="Times New Roman" w:hAnsi="Times New Roman" w:eastAsia="方正仿宋_GBK" w:cs="Times New Roman"/>
          <w:b w:val="0"/>
          <w:bCs w:val="0"/>
          <w:kern w:val="0"/>
          <w:sz w:val="32"/>
          <w:szCs w:val="32"/>
          <w:lang w:eastAsia="zh-CN"/>
        </w:rPr>
        <w:t>—</w:t>
      </w:r>
      <w:r>
        <w:rPr>
          <w:rFonts w:ascii="Times New Roman" w:hAnsi="Times New Roman" w:eastAsia="方正仿宋_GBK" w:cs="Times New Roman"/>
          <w:b w:val="0"/>
          <w:bCs w:val="0"/>
          <w:kern w:val="0"/>
          <w:sz w:val="32"/>
          <w:szCs w:val="32"/>
        </w:rPr>
        <w:t>2名、硕士研究生10名、市内知名学科带头人3人。</w:t>
      </w:r>
    </w:p>
    <w:p w14:paraId="26FB8B2C">
      <w:pPr>
        <w:widowControl w:val="0"/>
        <w:ind w:firstLine="0" w:firstLineChars="0"/>
        <w:jc w:val="both"/>
        <w:rPr>
          <w:rFonts w:ascii="Times New Roman" w:hAnsi="Times New Roman" w:eastAsia="方正仿宋_GBK" w:cs="Times New Roman"/>
          <w:b w:val="0"/>
          <w:bCs w:val="0"/>
          <w:kern w:val="0"/>
          <w:sz w:val="32"/>
          <w:szCs w:val="32"/>
          <w:lang w:val="en-US" w:eastAsia="zh-CN" w:bidi="ar-SA"/>
        </w:rPr>
      </w:pPr>
    </w:p>
    <w:tbl>
      <w:tblPr>
        <w:tblStyle w:val="9"/>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0B05E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8522" w:type="dxa"/>
            <w:noWrap w:val="0"/>
            <w:vAlign w:val="top"/>
          </w:tcPr>
          <w:p w14:paraId="78E93776">
            <w:pPr>
              <w:spacing w:line="560" w:lineRule="exact"/>
              <w:jc w:val="center"/>
              <w:rPr>
                <w:rFonts w:ascii="Times New Roman" w:hAnsi="Times New Roman" w:eastAsia="方正黑体_GBK" w:cs="Times New Roman"/>
                <w:b w:val="0"/>
                <w:bCs w:val="0"/>
                <w:sz w:val="24"/>
                <w:szCs w:val="24"/>
              </w:rPr>
            </w:pPr>
            <w:r>
              <w:rPr>
                <w:rFonts w:hint="eastAsia" w:ascii="方正黑体_GBK" w:hAnsi="方正黑体_GBK" w:eastAsia="方正黑体_GBK" w:cs="方正黑体_GBK"/>
                <w:b w:val="0"/>
                <w:bCs w:val="0"/>
                <w:kern w:val="0"/>
                <w:sz w:val="28"/>
                <w:szCs w:val="28"/>
              </w:rPr>
              <w:t>专栏5   中医药事业发展</w:t>
            </w:r>
          </w:p>
        </w:tc>
      </w:tr>
      <w:tr w14:paraId="2F402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noWrap w:val="0"/>
            <w:vAlign w:val="top"/>
          </w:tcPr>
          <w:p w14:paraId="4D7693F3">
            <w:pPr>
              <w:spacing w:line="400" w:lineRule="exact"/>
              <w:ind w:firstLine="480" w:firstLineChars="200"/>
              <w:rPr>
                <w:rFonts w:ascii="Times New Roman" w:hAnsi="Times New Roman" w:eastAsia="方正仿宋_GBK" w:cs="Times New Roman"/>
                <w:b w:val="0"/>
                <w:bCs w:val="0"/>
                <w:kern w:val="0"/>
                <w:sz w:val="24"/>
                <w:szCs w:val="24"/>
              </w:rPr>
            </w:pPr>
            <w:r>
              <w:rPr>
                <w:rFonts w:ascii="Times New Roman" w:hAnsi="Times New Roman" w:eastAsia="方正仿宋_GBK" w:cs="Times New Roman"/>
                <w:b w:val="0"/>
                <w:bCs w:val="0"/>
                <w:kern w:val="0"/>
                <w:sz w:val="24"/>
                <w:szCs w:val="24"/>
              </w:rPr>
              <w:t>中医药服务体系建设。县级公立医院、基层乡镇卫生院、民营医院开设中医科（中西医结合）实现全覆盖。推进乡镇卫生院（社区卫生服务中心）中医馆或国医堂全覆盖，打造旗舰中医馆5个以上，中医诊疗量占比达30%以上。</w:t>
            </w:r>
          </w:p>
          <w:p w14:paraId="4FB3350D">
            <w:pPr>
              <w:spacing w:line="400" w:lineRule="exact"/>
              <w:ind w:firstLine="480" w:firstLineChars="200"/>
              <w:rPr>
                <w:rFonts w:ascii="Times New Roman" w:hAnsi="Times New Roman" w:eastAsia="方正仿宋_GBK" w:cs="Times New Roman"/>
                <w:b w:val="0"/>
                <w:bCs w:val="0"/>
                <w:kern w:val="0"/>
                <w:sz w:val="24"/>
                <w:szCs w:val="24"/>
              </w:rPr>
            </w:pPr>
            <w:r>
              <w:rPr>
                <w:rFonts w:ascii="Times New Roman" w:hAnsi="Times New Roman" w:eastAsia="方正仿宋_GBK" w:cs="Times New Roman"/>
                <w:b w:val="0"/>
                <w:bCs w:val="0"/>
                <w:kern w:val="0"/>
                <w:sz w:val="24"/>
                <w:szCs w:val="24"/>
              </w:rPr>
              <w:t>中医药服务能力提升。县妇女儿童医院建立中医妇儿专科</w:t>
            </w:r>
            <w:r>
              <w:rPr>
                <w:rFonts w:hint="eastAsia" w:ascii="Times New Roman" w:hAnsi="Times New Roman" w:eastAsia="方正仿宋_GBK" w:cs="Times New Roman"/>
                <w:b w:val="0"/>
                <w:bCs w:val="0"/>
                <w:kern w:val="0"/>
                <w:sz w:val="24"/>
                <w:szCs w:val="24"/>
              </w:rPr>
              <w:t>“</w:t>
            </w:r>
            <w:r>
              <w:rPr>
                <w:rFonts w:ascii="Times New Roman" w:hAnsi="Times New Roman" w:eastAsia="方正仿宋_GBK" w:cs="Times New Roman"/>
                <w:b w:val="0"/>
                <w:bCs w:val="0"/>
                <w:kern w:val="0"/>
                <w:sz w:val="24"/>
                <w:szCs w:val="24"/>
              </w:rPr>
              <w:t>治未病</w:t>
            </w:r>
            <w:r>
              <w:rPr>
                <w:rFonts w:hint="eastAsia" w:ascii="Times New Roman" w:hAnsi="Times New Roman" w:eastAsia="方正仿宋_GBK" w:cs="Times New Roman"/>
                <w:b w:val="0"/>
                <w:bCs w:val="0"/>
                <w:kern w:val="0"/>
                <w:sz w:val="24"/>
                <w:szCs w:val="24"/>
              </w:rPr>
              <w:t>”</w:t>
            </w:r>
            <w:r>
              <w:rPr>
                <w:rFonts w:ascii="Times New Roman" w:hAnsi="Times New Roman" w:eastAsia="方正仿宋_GBK" w:cs="Times New Roman"/>
                <w:b w:val="0"/>
                <w:bCs w:val="0"/>
                <w:kern w:val="0"/>
                <w:sz w:val="24"/>
                <w:szCs w:val="24"/>
              </w:rPr>
              <w:t>中心，精神卫生保健院建立中医情志关怀</w:t>
            </w:r>
            <w:r>
              <w:rPr>
                <w:rFonts w:hint="eastAsia" w:ascii="Times New Roman" w:hAnsi="Times New Roman" w:eastAsia="方正仿宋_GBK" w:cs="Times New Roman"/>
                <w:b w:val="0"/>
                <w:bCs w:val="0"/>
                <w:kern w:val="0"/>
                <w:sz w:val="24"/>
                <w:szCs w:val="24"/>
              </w:rPr>
              <w:t>“</w:t>
            </w:r>
            <w:r>
              <w:rPr>
                <w:rFonts w:ascii="Times New Roman" w:hAnsi="Times New Roman" w:eastAsia="方正仿宋_GBK" w:cs="Times New Roman"/>
                <w:b w:val="0"/>
                <w:bCs w:val="0"/>
                <w:kern w:val="0"/>
                <w:sz w:val="24"/>
                <w:szCs w:val="24"/>
              </w:rPr>
              <w:t>治未病</w:t>
            </w:r>
            <w:r>
              <w:rPr>
                <w:rFonts w:hint="eastAsia" w:ascii="Times New Roman" w:hAnsi="Times New Roman" w:eastAsia="方正仿宋_GBK" w:cs="Times New Roman"/>
                <w:b w:val="0"/>
                <w:bCs w:val="0"/>
                <w:kern w:val="0"/>
                <w:sz w:val="24"/>
                <w:szCs w:val="24"/>
              </w:rPr>
              <w:t>”</w:t>
            </w:r>
            <w:r>
              <w:rPr>
                <w:rFonts w:ascii="Times New Roman" w:hAnsi="Times New Roman" w:eastAsia="方正仿宋_GBK" w:cs="Times New Roman"/>
                <w:b w:val="0"/>
                <w:bCs w:val="0"/>
                <w:kern w:val="0"/>
                <w:sz w:val="24"/>
                <w:szCs w:val="24"/>
              </w:rPr>
              <w:t>中心，各乡镇、社区卫生服务中心建立中医</w:t>
            </w:r>
            <w:r>
              <w:rPr>
                <w:rFonts w:hint="eastAsia" w:ascii="Times New Roman" w:hAnsi="Times New Roman" w:eastAsia="方正仿宋_GBK" w:cs="Times New Roman"/>
                <w:b w:val="0"/>
                <w:bCs w:val="0"/>
                <w:kern w:val="0"/>
                <w:sz w:val="24"/>
                <w:szCs w:val="24"/>
              </w:rPr>
              <w:t>“</w:t>
            </w:r>
            <w:r>
              <w:rPr>
                <w:rFonts w:ascii="Times New Roman" w:hAnsi="Times New Roman" w:eastAsia="方正仿宋_GBK" w:cs="Times New Roman"/>
                <w:b w:val="0"/>
                <w:bCs w:val="0"/>
                <w:kern w:val="0"/>
                <w:sz w:val="24"/>
                <w:szCs w:val="24"/>
              </w:rPr>
              <w:t>治未病</w:t>
            </w:r>
            <w:r>
              <w:rPr>
                <w:rFonts w:hint="eastAsia" w:ascii="Times New Roman" w:hAnsi="Times New Roman" w:eastAsia="方正仿宋_GBK" w:cs="Times New Roman"/>
                <w:b w:val="0"/>
                <w:bCs w:val="0"/>
                <w:kern w:val="0"/>
                <w:sz w:val="24"/>
                <w:szCs w:val="24"/>
              </w:rPr>
              <w:t>”</w:t>
            </w:r>
            <w:r>
              <w:rPr>
                <w:rFonts w:ascii="Times New Roman" w:hAnsi="Times New Roman" w:eastAsia="方正仿宋_GBK" w:cs="Times New Roman"/>
                <w:b w:val="0"/>
                <w:bCs w:val="0"/>
                <w:kern w:val="0"/>
                <w:sz w:val="24"/>
                <w:szCs w:val="24"/>
              </w:rPr>
              <w:t>示范站。</w:t>
            </w:r>
          </w:p>
          <w:p w14:paraId="10DB1301">
            <w:pPr>
              <w:widowControl w:val="0"/>
              <w:spacing w:after="120" w:line="400" w:lineRule="exact"/>
              <w:ind w:firstLine="480" w:firstLineChars="200"/>
              <w:jc w:val="both"/>
              <w:rPr>
                <w:rFonts w:ascii="Times New Roman" w:hAnsi="Times New Roman" w:eastAsia="方正仿宋_GBK" w:cs="Times New Roman"/>
                <w:b w:val="0"/>
                <w:bCs w:val="0"/>
                <w:kern w:val="2"/>
                <w:sz w:val="24"/>
                <w:szCs w:val="24"/>
                <w:lang w:val="en-US" w:eastAsia="zh-CN" w:bidi="ar-SA"/>
              </w:rPr>
            </w:pPr>
            <w:r>
              <w:rPr>
                <w:rFonts w:ascii="Times New Roman" w:hAnsi="Times New Roman" w:eastAsia="方正仿宋_GBK" w:cs="Times New Roman"/>
                <w:b w:val="0"/>
                <w:bCs w:val="0"/>
                <w:kern w:val="0"/>
                <w:sz w:val="24"/>
                <w:szCs w:val="24"/>
                <w:lang w:val="en-US" w:eastAsia="zh-CN" w:bidi="ar-SA"/>
              </w:rPr>
              <w:t>中医药传承与创新。制定中医药适宜技术开展5年计划，县中医院每年新开展至少10项以上适宜技术，结合医院就诊病种，分批次将国家已公布的适宜技术应开尽开。5年内，每个基层卫生院开展适宜技术至少达10项以上。县人民医院建成中西医结合临床研究中心或基地。</w:t>
            </w:r>
          </w:p>
        </w:tc>
      </w:tr>
    </w:tbl>
    <w:p w14:paraId="0098814D">
      <w:pPr>
        <w:spacing w:line="578" w:lineRule="exact"/>
        <w:ind w:firstLine="640" w:firstLineChars="200"/>
        <w:rPr>
          <w:rFonts w:ascii="Times New Roman" w:hAnsi="Times New Roman" w:eastAsia="方正楷体_GBK" w:cs="方正楷体_GBK"/>
          <w:b w:val="0"/>
          <w:bCs w:val="0"/>
          <w:sz w:val="32"/>
          <w:szCs w:val="32"/>
        </w:rPr>
      </w:pPr>
      <w:bookmarkStart w:id="43" w:name="_Toc27509_WPSOffice_Level2"/>
      <w:r>
        <w:rPr>
          <w:rFonts w:hint="eastAsia" w:ascii="Times New Roman" w:hAnsi="Times New Roman" w:eastAsia="方正楷体_GBK" w:cs="方正楷体_GBK"/>
          <w:b w:val="0"/>
          <w:bCs w:val="0"/>
          <w:sz w:val="32"/>
          <w:szCs w:val="32"/>
        </w:rPr>
        <w:t>（六）促进大健康产业高质量发展</w:t>
      </w:r>
      <w:bookmarkEnd w:id="43"/>
    </w:p>
    <w:p w14:paraId="7C926AE5">
      <w:pPr>
        <w:spacing w:line="578" w:lineRule="exact"/>
        <w:ind w:firstLine="640" w:firstLineChars="200"/>
        <w:rPr>
          <w:rFonts w:ascii="Times New Roman" w:hAnsi="Times New Roman" w:eastAsia="方正仿宋_GBK" w:cs="Times New Roman"/>
          <w:b w:val="0"/>
          <w:bCs w:val="0"/>
          <w:sz w:val="32"/>
          <w:szCs w:val="32"/>
        </w:rPr>
      </w:pPr>
      <w:r>
        <w:rPr>
          <w:rFonts w:ascii="Times New Roman" w:hAnsi="Times New Roman" w:eastAsia="方正仿宋_GBK" w:cs="Times New Roman"/>
          <w:b w:val="0"/>
          <w:bCs w:val="0"/>
          <w:sz w:val="32"/>
          <w:szCs w:val="32"/>
        </w:rPr>
        <w:t>21.</w:t>
      </w:r>
      <w:r>
        <w:rPr>
          <w:rFonts w:hint="eastAsia" w:ascii="Times New Roman" w:hAnsi="Times New Roman" w:eastAsia="方正仿宋_GBK" w:cs="Times New Roman"/>
          <w:b w:val="0"/>
          <w:bCs w:val="0"/>
          <w:sz w:val="32"/>
          <w:szCs w:val="32"/>
          <w:lang w:val="en-US" w:eastAsia="zh-CN"/>
        </w:rPr>
        <w:t xml:space="preserve"> </w:t>
      </w:r>
      <w:r>
        <w:rPr>
          <w:rFonts w:ascii="Times New Roman" w:hAnsi="Times New Roman" w:eastAsia="方正仿宋_GBK" w:cs="Times New Roman"/>
          <w:b w:val="0"/>
          <w:bCs w:val="0"/>
          <w:sz w:val="32"/>
          <w:szCs w:val="32"/>
        </w:rPr>
        <w:t>优化多元社会办医格局。鼓励和支持社会资本发展高水平、差异化、规模化的社会办专科医疗机构，培育壮大现有民营医院，坚持与公立医院错位发展的理念，把专科做大做强，打造辐射万开云、在渝东北地区有影响力的现代化民营专科医院。支持社会资本举办精神、口腔、眼科、康复、护理等医疗服务机构。加强对社会办医疗机构规范化管理和质量控制，提高同质化水平。推进行业自律和社会监督。</w:t>
      </w:r>
    </w:p>
    <w:p w14:paraId="7B53E9D3">
      <w:pPr>
        <w:spacing w:line="578" w:lineRule="exact"/>
        <w:ind w:firstLine="640" w:firstLineChars="200"/>
        <w:rPr>
          <w:rFonts w:ascii="Times New Roman" w:hAnsi="Times New Roman" w:eastAsia="方正仿宋_GBK" w:cs="Times New Roman"/>
          <w:b w:val="0"/>
          <w:bCs w:val="0"/>
          <w:sz w:val="32"/>
          <w:szCs w:val="32"/>
        </w:rPr>
      </w:pPr>
      <w:r>
        <w:rPr>
          <w:rFonts w:ascii="Times New Roman" w:hAnsi="Times New Roman" w:eastAsia="方正仿宋_GBK" w:cs="Times New Roman"/>
          <w:b w:val="0"/>
          <w:bCs w:val="0"/>
          <w:sz w:val="32"/>
          <w:szCs w:val="32"/>
        </w:rPr>
        <w:t>22.</w:t>
      </w:r>
      <w:r>
        <w:rPr>
          <w:rFonts w:hint="eastAsia" w:ascii="Times New Roman" w:hAnsi="Times New Roman" w:eastAsia="方正仿宋_GBK" w:cs="Times New Roman"/>
          <w:b w:val="0"/>
          <w:bCs w:val="0"/>
          <w:sz w:val="32"/>
          <w:szCs w:val="32"/>
          <w:lang w:val="en-US" w:eastAsia="zh-CN"/>
        </w:rPr>
        <w:t xml:space="preserve"> </w:t>
      </w:r>
      <w:r>
        <w:rPr>
          <w:rFonts w:ascii="Times New Roman" w:hAnsi="Times New Roman" w:eastAsia="方正仿宋_GBK" w:cs="Times New Roman"/>
          <w:b w:val="0"/>
          <w:bCs w:val="0"/>
          <w:sz w:val="32"/>
          <w:szCs w:val="32"/>
        </w:rPr>
        <w:t>促进中医药产业发展。以优势中药材资源为依托，以引进和培育龙头企业为重点，建立完整化、规范化、科学化的道地中药材种植基地和加工生产基地，把中医药产业培育成优势产业。以中药标准体系建设和推广应用为核心，加速规范化中药材基地建设，推动道地中药材优良品种的选育和无公害规范种植。大力发展2</w:t>
      </w:r>
      <w:r>
        <w:rPr>
          <w:rFonts w:hint="eastAsia" w:ascii="Times New Roman" w:hAnsi="Times New Roman" w:eastAsia="方正仿宋_GBK" w:cs="Times New Roman"/>
          <w:b w:val="0"/>
          <w:bCs w:val="0"/>
          <w:sz w:val="32"/>
          <w:szCs w:val="32"/>
          <w:lang w:eastAsia="zh-CN"/>
        </w:rPr>
        <w:t>—</w:t>
      </w:r>
      <w:r>
        <w:rPr>
          <w:rFonts w:ascii="Times New Roman" w:hAnsi="Times New Roman" w:eastAsia="方正仿宋_GBK" w:cs="Times New Roman"/>
          <w:b w:val="0"/>
          <w:bCs w:val="0"/>
          <w:sz w:val="32"/>
          <w:szCs w:val="32"/>
        </w:rPr>
        <w:t>3种标准化、规模化的道地药材，建设道地中药材种植基地，打造云阳绿色中药材和有机中药材品牌，力争成为</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渝字号</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主要特色药材。通过引进和培育中药材加工企业，建设一批中药材加工和仓储示范基地，大力发展中药饮片、中成药生产加工产业，努力培育单品产值过亿元的中医药拳头产品，打造中医药全产业链基地。建成符合CMA认证和CNAS认证要求的三峡库区中药材质量检测中心，服务于三峡库区中药材企业、专业合作社和家庭农场，提升中医药区域影响力。建设集药膳、药浴、药疗、中药材观光、休闲避暑、养生等于一体的中药材种植生态园旅游基地，建成上坝和清水中医药休闲避暑养生度假胜地，推动中药产业与旅游产业融合发展。深化与重庆三峡医药高等专科学校、重庆市中药研究院、重庆市药物种植研究所等合作，健全中药材研发创新技术服务体系。鼓励中药材企业开展GAP认证、国家有机产品认证和绿色产品认证，积极举办中药材展销会，健全</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天生药乡</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品牌标准体系。推动线上交易、线下物流同步发展，健全中医药市场营销体系。</w:t>
      </w:r>
    </w:p>
    <w:p w14:paraId="29DBB243">
      <w:pPr>
        <w:spacing w:line="578" w:lineRule="exact"/>
        <w:ind w:firstLine="640" w:firstLineChars="200"/>
        <w:rPr>
          <w:rFonts w:ascii="Times New Roman" w:hAnsi="Times New Roman" w:eastAsia="方正仿宋_GBK" w:cs="Times New Roman"/>
          <w:b w:val="0"/>
          <w:bCs w:val="0"/>
          <w:sz w:val="32"/>
          <w:szCs w:val="32"/>
        </w:rPr>
      </w:pPr>
      <w:r>
        <w:rPr>
          <w:rFonts w:ascii="Times New Roman" w:hAnsi="Times New Roman" w:eastAsia="方正仿宋_GBK" w:cs="Times New Roman"/>
          <w:b w:val="0"/>
          <w:bCs w:val="0"/>
          <w:sz w:val="32"/>
          <w:szCs w:val="32"/>
        </w:rPr>
        <w:t>23.</w:t>
      </w:r>
      <w:r>
        <w:rPr>
          <w:rFonts w:hint="eastAsia" w:ascii="Times New Roman" w:hAnsi="Times New Roman" w:eastAsia="方正仿宋_GBK" w:cs="Times New Roman"/>
          <w:b w:val="0"/>
          <w:bCs w:val="0"/>
          <w:sz w:val="32"/>
          <w:szCs w:val="32"/>
          <w:lang w:val="en-US" w:eastAsia="zh-CN"/>
        </w:rPr>
        <w:t xml:space="preserve"> </w:t>
      </w:r>
      <w:r>
        <w:rPr>
          <w:rFonts w:ascii="Times New Roman" w:hAnsi="Times New Roman" w:eastAsia="方正仿宋_GBK" w:cs="Times New Roman"/>
          <w:b w:val="0"/>
          <w:bCs w:val="0"/>
          <w:sz w:val="32"/>
          <w:szCs w:val="32"/>
        </w:rPr>
        <w:t>拓展健康服务新业态。优化健康产业结构，增加健康服务和产品供给，不断完善大健康产业体系，建设全市大健康产业融合发展示范区，打造</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三峡健康城</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。推动观光旅游向度假旅游、养生旅游转变，打造避世养心高端酒店度假村，开发</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森林食品、森林观光、森林休闲、森林康养</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等森林旅游产品，打造一批森林旅游康养度假基地、休闲避暑基地、康复理疗基地。发展健身康体产业，完善城市体育健身功能布局，提升大型体育赛事、户外赛事品牌影响力，发展山水林田运动产业，打造全国户外运动首选目的地。支持发展基地养老、社区养老、生态养老、康复养老，创新医养融合发展和智慧养老新模式，构建高端养老有供给、中端养老有市场、基本养老有保障的健康养老新格局，</w:t>
      </w:r>
      <w:r>
        <w:rPr>
          <w:rFonts w:ascii="Times New Roman" w:hAnsi="Times New Roman" w:eastAsia="方正仿宋_GBK" w:cs="Times New Roman"/>
          <w:b w:val="0"/>
          <w:bCs w:val="0"/>
          <w:spacing w:val="4"/>
          <w:sz w:val="32"/>
          <w:szCs w:val="32"/>
        </w:rPr>
        <w:t>创建</w:t>
      </w:r>
      <w:r>
        <w:rPr>
          <w:rFonts w:hint="eastAsia" w:ascii="Times New Roman" w:hAnsi="Times New Roman" w:eastAsia="方正仿宋_GBK" w:cs="Times New Roman"/>
          <w:b w:val="0"/>
          <w:bCs w:val="0"/>
          <w:spacing w:val="4"/>
          <w:sz w:val="32"/>
          <w:szCs w:val="32"/>
        </w:rPr>
        <w:t>“</w:t>
      </w:r>
      <w:r>
        <w:rPr>
          <w:rFonts w:ascii="Times New Roman" w:hAnsi="Times New Roman" w:eastAsia="方正仿宋_GBK" w:cs="Times New Roman"/>
          <w:b w:val="0"/>
          <w:bCs w:val="0"/>
          <w:spacing w:val="4"/>
          <w:sz w:val="32"/>
          <w:szCs w:val="32"/>
        </w:rPr>
        <w:t>重庆市医养结合示范基地</w:t>
      </w:r>
      <w:r>
        <w:rPr>
          <w:rFonts w:hint="eastAsia" w:ascii="Times New Roman" w:hAnsi="Times New Roman" w:eastAsia="方正仿宋_GBK" w:cs="Times New Roman"/>
          <w:b w:val="0"/>
          <w:bCs w:val="0"/>
          <w:spacing w:val="4"/>
          <w:sz w:val="32"/>
          <w:szCs w:val="32"/>
        </w:rPr>
        <w:t>”</w:t>
      </w:r>
      <w:r>
        <w:rPr>
          <w:rFonts w:ascii="Times New Roman" w:hAnsi="Times New Roman" w:eastAsia="方正仿宋_GBK" w:cs="Times New Roman"/>
          <w:b w:val="0"/>
          <w:bCs w:val="0"/>
          <w:sz w:val="32"/>
          <w:szCs w:val="32"/>
        </w:rPr>
        <w:t>。探索发展全生命周期健康管理服务模式，推动向个性化、专业化、智慧化发展。支持增加商业健康保险供给，发展商业长期护理保险、医疗责任险、医疗意外保险。支持规范化发展外科整形、中医美容、妇幼保健医学美容等医美产业。支持发展以母婴照护、家庭护理等为主要内容的家庭服务业，鼓励引导社会资本在康复、护理和安宁疗护等供给缺口大的领域增加投入。</w:t>
      </w:r>
    </w:p>
    <w:tbl>
      <w:tblPr>
        <w:tblStyle w:val="9"/>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5FB6F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8522" w:type="dxa"/>
            <w:noWrap w:val="0"/>
            <w:vAlign w:val="top"/>
          </w:tcPr>
          <w:p w14:paraId="0BF70AD5">
            <w:pPr>
              <w:spacing w:line="560" w:lineRule="exact"/>
              <w:jc w:val="center"/>
              <w:rPr>
                <w:rFonts w:ascii="Times New Roman" w:hAnsi="Times New Roman" w:eastAsia="方正黑体_GBK" w:cs="Times New Roman"/>
                <w:b w:val="0"/>
                <w:bCs w:val="0"/>
                <w:sz w:val="24"/>
                <w:szCs w:val="24"/>
              </w:rPr>
            </w:pPr>
            <w:r>
              <w:rPr>
                <w:rFonts w:hint="eastAsia" w:ascii="方正黑体_GBK" w:hAnsi="方正黑体_GBK" w:eastAsia="方正黑体_GBK" w:cs="方正黑体_GBK"/>
                <w:b w:val="0"/>
                <w:bCs w:val="0"/>
                <w:kern w:val="0"/>
                <w:sz w:val="28"/>
                <w:szCs w:val="28"/>
              </w:rPr>
              <w:t>专栏6  健康产业发展</w:t>
            </w:r>
          </w:p>
        </w:tc>
      </w:tr>
      <w:tr w14:paraId="74374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noWrap w:val="0"/>
            <w:vAlign w:val="top"/>
          </w:tcPr>
          <w:p w14:paraId="4EFDB8CC">
            <w:pPr>
              <w:spacing w:line="400" w:lineRule="exact"/>
              <w:ind w:firstLine="480" w:firstLineChars="200"/>
              <w:rPr>
                <w:rFonts w:ascii="Times New Roman" w:hAnsi="Times New Roman" w:eastAsia="方正仿宋_GBK" w:cs="Times New Roman"/>
                <w:b w:val="0"/>
                <w:bCs w:val="0"/>
                <w:sz w:val="24"/>
                <w:szCs w:val="24"/>
              </w:rPr>
            </w:pPr>
            <w:r>
              <w:rPr>
                <w:rFonts w:ascii="Times New Roman" w:hAnsi="Times New Roman" w:eastAsia="方正仿宋_GBK" w:cs="Times New Roman"/>
                <w:b w:val="0"/>
                <w:bCs w:val="0"/>
                <w:sz w:val="24"/>
                <w:szCs w:val="24"/>
              </w:rPr>
              <w:t>社会办医。错位发展和培育民营专科医院。</w:t>
            </w:r>
          </w:p>
          <w:p w14:paraId="5839892C">
            <w:pPr>
              <w:spacing w:line="400" w:lineRule="exact"/>
              <w:ind w:firstLine="480" w:firstLineChars="200"/>
              <w:rPr>
                <w:rFonts w:ascii="Times New Roman" w:hAnsi="Times New Roman" w:eastAsia="方正仿宋_GBK" w:cs="Times New Roman"/>
                <w:b w:val="0"/>
                <w:bCs w:val="0"/>
                <w:sz w:val="24"/>
                <w:szCs w:val="24"/>
              </w:rPr>
            </w:pPr>
            <w:r>
              <w:rPr>
                <w:rFonts w:ascii="Times New Roman" w:hAnsi="Times New Roman" w:eastAsia="方正仿宋_GBK" w:cs="Times New Roman"/>
                <w:b w:val="0"/>
                <w:bCs w:val="0"/>
                <w:sz w:val="24"/>
                <w:szCs w:val="24"/>
              </w:rPr>
              <w:t>中医药产业。以云奉毗邻沿线中高山区域为主，在上坝、农坝、江口、南溪、桑坪、双土、大阳、石门、红狮、盘龙、堰坪、普安、龙角、泥溪等地重点布局中药材种植产业。重点发展乌天麻、菊花、枳壳、小茴香、佛手、艾草等中药材种植、精深加工产业。打造中医药全产业链。</w:t>
            </w:r>
          </w:p>
          <w:p w14:paraId="7BA0D79B">
            <w:pPr>
              <w:spacing w:line="400" w:lineRule="exact"/>
              <w:ind w:firstLine="480" w:firstLineChars="200"/>
              <w:rPr>
                <w:rFonts w:ascii="Times New Roman" w:hAnsi="Times New Roman" w:eastAsia="方正仿宋_GBK" w:cs="Times New Roman"/>
                <w:b w:val="0"/>
                <w:bCs w:val="0"/>
                <w:sz w:val="24"/>
                <w:szCs w:val="24"/>
              </w:rPr>
            </w:pPr>
            <w:r>
              <w:rPr>
                <w:rFonts w:ascii="Times New Roman" w:hAnsi="Times New Roman" w:eastAsia="方正仿宋_GBK" w:cs="Times New Roman"/>
                <w:b w:val="0"/>
                <w:bCs w:val="0"/>
                <w:sz w:val="24"/>
                <w:szCs w:val="24"/>
              </w:rPr>
              <w:t>康养旅游。以</w:t>
            </w:r>
            <w:r>
              <w:rPr>
                <w:rFonts w:hint="eastAsia" w:ascii="Times New Roman" w:hAnsi="Times New Roman" w:eastAsia="方正仿宋_GBK" w:cs="Times New Roman"/>
                <w:b w:val="0"/>
                <w:bCs w:val="0"/>
                <w:sz w:val="24"/>
                <w:szCs w:val="24"/>
              </w:rPr>
              <w:t>“</w:t>
            </w:r>
            <w:r>
              <w:rPr>
                <w:rFonts w:ascii="Times New Roman" w:hAnsi="Times New Roman" w:eastAsia="方正仿宋_GBK" w:cs="Times New Roman"/>
                <w:b w:val="0"/>
                <w:bCs w:val="0"/>
                <w:sz w:val="24"/>
                <w:szCs w:val="24"/>
              </w:rPr>
              <w:t>盘龙、凤鸣、清水</w:t>
            </w:r>
            <w:r>
              <w:rPr>
                <w:rFonts w:hint="eastAsia" w:ascii="Times New Roman" w:hAnsi="Times New Roman" w:eastAsia="方正仿宋_GBK" w:cs="Times New Roman"/>
                <w:b w:val="0"/>
                <w:bCs w:val="0"/>
                <w:sz w:val="24"/>
                <w:szCs w:val="24"/>
              </w:rPr>
              <w:t>”</w:t>
            </w:r>
            <w:r>
              <w:rPr>
                <w:rFonts w:ascii="Times New Roman" w:hAnsi="Times New Roman" w:eastAsia="方正仿宋_GBK" w:cs="Times New Roman"/>
                <w:b w:val="0"/>
                <w:bCs w:val="0"/>
                <w:sz w:val="24"/>
                <w:szCs w:val="24"/>
              </w:rPr>
              <w:t>为备选区域规划引进国际知名酒店运营商打造避世养心的高端酒店度假村。</w:t>
            </w:r>
            <w:r>
              <w:rPr>
                <w:rFonts w:hint="eastAsia" w:ascii="Times New Roman" w:hAnsi="Times New Roman" w:eastAsia="方正仿宋_GBK" w:cs="Times New Roman"/>
                <w:b w:val="0"/>
                <w:bCs w:val="0"/>
                <w:sz w:val="24"/>
                <w:szCs w:val="24"/>
              </w:rPr>
              <w:t>“</w:t>
            </w:r>
            <w:r>
              <w:rPr>
                <w:rFonts w:ascii="Times New Roman" w:hAnsi="Times New Roman" w:eastAsia="方正仿宋_GBK" w:cs="Times New Roman"/>
                <w:b w:val="0"/>
                <w:bCs w:val="0"/>
                <w:sz w:val="24"/>
                <w:szCs w:val="24"/>
              </w:rPr>
              <w:t>龙角—普安</w:t>
            </w:r>
            <w:r>
              <w:rPr>
                <w:rFonts w:hint="eastAsia" w:ascii="Times New Roman" w:hAnsi="Times New Roman" w:eastAsia="方正仿宋_GBK" w:cs="Times New Roman"/>
                <w:b w:val="0"/>
                <w:bCs w:val="0"/>
                <w:sz w:val="24"/>
                <w:szCs w:val="24"/>
              </w:rPr>
              <w:t>”</w:t>
            </w:r>
            <w:r>
              <w:rPr>
                <w:rFonts w:ascii="Times New Roman" w:hAnsi="Times New Roman" w:eastAsia="方正仿宋_GBK" w:cs="Times New Roman"/>
                <w:b w:val="0"/>
                <w:bCs w:val="0"/>
                <w:sz w:val="24"/>
                <w:szCs w:val="24"/>
              </w:rPr>
              <w:t>南部文旅融合发展增长极重点发展休闲旅游、康养度假、农旅融合。上坝、农坝、双土等地重点发展高山休闲旅游。</w:t>
            </w:r>
          </w:p>
          <w:p w14:paraId="03A7D1D4">
            <w:pPr>
              <w:spacing w:line="400" w:lineRule="exact"/>
              <w:ind w:firstLine="480" w:firstLineChars="200"/>
              <w:rPr>
                <w:rFonts w:ascii="Times New Roman" w:hAnsi="Times New Roman" w:eastAsia="方正仿宋_GBK" w:cs="Times New Roman"/>
                <w:b w:val="0"/>
                <w:bCs w:val="0"/>
                <w:sz w:val="24"/>
                <w:szCs w:val="24"/>
              </w:rPr>
            </w:pPr>
            <w:r>
              <w:rPr>
                <w:rFonts w:ascii="Times New Roman" w:hAnsi="Times New Roman" w:eastAsia="方正仿宋_GBK" w:cs="Times New Roman"/>
                <w:b w:val="0"/>
                <w:bCs w:val="0"/>
                <w:sz w:val="24"/>
                <w:szCs w:val="24"/>
              </w:rPr>
              <w:t>康体健身。依托环湖绿道、滨江公园、阳光沙滩、体育公园等发展休闲旅游、体育健身产业，打造体育品牌赛事和户外运动赛事。依托龙缸景区发展极限运动，依托盘龙休闲健康产业示范区发展户外休闲运动。在城区打造智慧健身公园。</w:t>
            </w:r>
          </w:p>
          <w:p w14:paraId="783758BF">
            <w:pPr>
              <w:spacing w:line="400" w:lineRule="exact"/>
              <w:ind w:firstLine="480" w:firstLineChars="200"/>
              <w:rPr>
                <w:rFonts w:ascii="Times New Roman" w:hAnsi="Times New Roman" w:eastAsia="方正仿宋_GBK" w:cs="Times New Roman"/>
                <w:b w:val="0"/>
                <w:bCs w:val="0"/>
                <w:sz w:val="24"/>
                <w:szCs w:val="24"/>
              </w:rPr>
            </w:pPr>
            <w:r>
              <w:rPr>
                <w:rFonts w:ascii="Times New Roman" w:hAnsi="Times New Roman" w:eastAsia="方正仿宋_GBK" w:cs="Times New Roman"/>
                <w:b w:val="0"/>
                <w:bCs w:val="0"/>
                <w:sz w:val="24"/>
                <w:szCs w:val="24"/>
              </w:rPr>
              <w:t>健康养老。在县城内盘龙街道、北部新区、两江广场、黄石高铁新区等区位布局发展中高端机构养老，依托滨江公园、月光草坪、环湖绿道发展社区养老，依托清水国际旅游度假区、上坝、农坝、双土等地发展生态度假型养老、高山避暑休闲型养老等。</w:t>
            </w:r>
          </w:p>
        </w:tc>
      </w:tr>
    </w:tbl>
    <w:p w14:paraId="6D81FBE3">
      <w:pPr>
        <w:keepNext/>
        <w:keepLines/>
        <w:widowControl w:val="0"/>
        <w:spacing w:before="0" w:after="0" w:line="560" w:lineRule="exact"/>
        <w:ind w:firstLine="640" w:firstLineChars="200"/>
        <w:jc w:val="both"/>
        <w:outlineLvl w:val="1"/>
        <w:rPr>
          <w:rFonts w:ascii="Times New Roman" w:hAnsi="Times New Roman" w:eastAsia="楷体" w:cs="Times New Roman"/>
          <w:b w:val="0"/>
          <w:bCs w:val="0"/>
          <w:kern w:val="2"/>
          <w:sz w:val="32"/>
          <w:szCs w:val="32"/>
          <w:lang w:val="en-US" w:eastAsia="zh-CN" w:bidi="ar-SA"/>
        </w:rPr>
      </w:pPr>
      <w:bookmarkStart w:id="44" w:name="_Toc25918_WPSOffice_Level2"/>
      <w:bookmarkStart w:id="45" w:name="_Toc11855"/>
      <w:r>
        <w:rPr>
          <w:rFonts w:hint="eastAsia" w:ascii="Times New Roman" w:hAnsi="Times New Roman" w:eastAsia="方正楷体_GBK" w:cs="方正楷体_GBK"/>
          <w:b w:val="0"/>
          <w:bCs w:val="0"/>
          <w:kern w:val="2"/>
          <w:sz w:val="32"/>
          <w:szCs w:val="32"/>
          <w:lang w:val="en-US" w:eastAsia="zh-CN" w:bidi="ar-SA"/>
        </w:rPr>
        <w:t>（七）加快全民健康信息化建设，智能化赋能管理和应用</w:t>
      </w:r>
      <w:bookmarkEnd w:id="44"/>
      <w:bookmarkEnd w:id="45"/>
    </w:p>
    <w:p w14:paraId="04333C26">
      <w:pPr>
        <w:spacing w:line="560" w:lineRule="exact"/>
        <w:ind w:firstLine="640" w:firstLineChars="200"/>
        <w:rPr>
          <w:rFonts w:ascii="Times New Roman" w:hAnsi="Times New Roman" w:eastAsia="方正仿宋_GBK" w:cs="Times New Roman"/>
          <w:b w:val="0"/>
          <w:bCs w:val="0"/>
          <w:sz w:val="32"/>
          <w:szCs w:val="32"/>
          <w:lang w:val="zh-CN"/>
        </w:rPr>
      </w:pPr>
      <w:r>
        <w:rPr>
          <w:rFonts w:ascii="Times New Roman" w:hAnsi="Times New Roman" w:eastAsia="方正仿宋_GBK" w:cs="Times New Roman"/>
          <w:b w:val="0"/>
          <w:bCs w:val="0"/>
          <w:sz w:val="32"/>
          <w:szCs w:val="32"/>
        </w:rPr>
        <w:t>24.</w:t>
      </w:r>
      <w:r>
        <w:rPr>
          <w:rFonts w:hint="eastAsia" w:ascii="Times New Roman" w:hAnsi="Times New Roman" w:eastAsia="方正仿宋_GBK" w:cs="Times New Roman"/>
          <w:b w:val="0"/>
          <w:bCs w:val="0"/>
          <w:sz w:val="32"/>
          <w:szCs w:val="32"/>
          <w:lang w:val="en-US" w:eastAsia="zh-CN"/>
        </w:rPr>
        <w:t xml:space="preserve"> </w:t>
      </w:r>
      <w:r>
        <w:rPr>
          <w:rFonts w:ascii="Times New Roman" w:hAnsi="Times New Roman" w:eastAsia="方正仿宋_GBK" w:cs="Times New Roman"/>
          <w:b w:val="0"/>
          <w:bCs w:val="0"/>
          <w:sz w:val="32"/>
          <w:szCs w:val="32"/>
          <w:lang w:val="zh-CN"/>
        </w:rPr>
        <w:t>夯实一体化全民健康信息服务支撑体系。完善健康医疗数据中心主题资源池，优化全民健康信息平台，打造基于5G技术的卫生健康网络，完善区域医疗健康信息系统，夯实一中心、一平台、一专网、一系统的智慧医疗基础架构，实现区域内不同级别类别、不同部门机构的信息系统互联互通和协同共享。</w:t>
      </w:r>
    </w:p>
    <w:p w14:paraId="2A8F3768">
      <w:pPr>
        <w:spacing w:line="560" w:lineRule="exact"/>
        <w:ind w:firstLine="640" w:firstLineChars="200"/>
        <w:rPr>
          <w:rFonts w:ascii="Times New Roman" w:hAnsi="Times New Roman" w:eastAsia="方正仿宋_GBK" w:cs="Times New Roman"/>
          <w:b w:val="0"/>
          <w:bCs w:val="0"/>
          <w:sz w:val="32"/>
          <w:szCs w:val="32"/>
          <w:lang w:val="zh-CN"/>
        </w:rPr>
      </w:pPr>
      <w:r>
        <w:rPr>
          <w:rFonts w:ascii="Times New Roman" w:hAnsi="Times New Roman" w:eastAsia="方正仿宋_GBK" w:cs="Times New Roman"/>
          <w:b w:val="0"/>
          <w:bCs w:val="0"/>
          <w:sz w:val="32"/>
          <w:szCs w:val="32"/>
        </w:rPr>
        <w:t>25.</w:t>
      </w:r>
      <w:r>
        <w:rPr>
          <w:rFonts w:hint="eastAsia" w:ascii="Times New Roman" w:hAnsi="Times New Roman" w:eastAsia="方正仿宋_GBK" w:cs="Times New Roman"/>
          <w:b w:val="0"/>
          <w:bCs w:val="0"/>
          <w:sz w:val="32"/>
          <w:szCs w:val="32"/>
          <w:lang w:val="en-US" w:eastAsia="zh-CN"/>
        </w:rPr>
        <w:t xml:space="preserve"> </w:t>
      </w:r>
      <w:r>
        <w:rPr>
          <w:rFonts w:ascii="Times New Roman" w:hAnsi="Times New Roman" w:eastAsia="方正仿宋_GBK" w:cs="Times New Roman"/>
          <w:b w:val="0"/>
          <w:bCs w:val="0"/>
          <w:sz w:val="32"/>
          <w:szCs w:val="32"/>
        </w:rPr>
        <w:t>健全</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互联网+健康医疗</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服务体系。</w:t>
      </w:r>
      <w:r>
        <w:rPr>
          <w:rFonts w:ascii="Times New Roman" w:hAnsi="Times New Roman" w:eastAsia="方正仿宋_GBK" w:cs="Times New Roman"/>
          <w:b w:val="0"/>
          <w:bCs w:val="0"/>
          <w:sz w:val="32"/>
          <w:szCs w:val="32"/>
          <w:lang w:val="zh-CN"/>
        </w:rPr>
        <w:t>汇聚线上服务资源，打造</w:t>
      </w:r>
      <w:r>
        <w:rPr>
          <w:rFonts w:hint="eastAsia" w:ascii="Times New Roman" w:hAnsi="Times New Roman" w:eastAsia="方正仿宋_GBK" w:cs="Times New Roman"/>
          <w:b w:val="0"/>
          <w:bCs w:val="0"/>
          <w:sz w:val="32"/>
          <w:szCs w:val="32"/>
          <w:lang w:val="zh-CN"/>
        </w:rPr>
        <w:t>“</w:t>
      </w:r>
      <w:r>
        <w:rPr>
          <w:rFonts w:ascii="Times New Roman" w:hAnsi="Times New Roman" w:eastAsia="方正仿宋_GBK" w:cs="Times New Roman"/>
          <w:b w:val="0"/>
          <w:bCs w:val="0"/>
          <w:sz w:val="32"/>
          <w:szCs w:val="32"/>
          <w:lang w:val="zh-CN"/>
        </w:rPr>
        <w:t>健康云阳</w:t>
      </w:r>
      <w:r>
        <w:rPr>
          <w:rFonts w:hint="eastAsia" w:ascii="Times New Roman" w:hAnsi="Times New Roman" w:eastAsia="方正仿宋_GBK" w:cs="Times New Roman"/>
          <w:b w:val="0"/>
          <w:bCs w:val="0"/>
          <w:sz w:val="32"/>
          <w:szCs w:val="32"/>
          <w:lang w:val="zh-CN"/>
        </w:rPr>
        <w:t>”</w:t>
      </w:r>
      <w:r>
        <w:rPr>
          <w:rFonts w:ascii="Times New Roman" w:hAnsi="Times New Roman" w:eastAsia="方正仿宋_GBK" w:cs="Times New Roman"/>
          <w:b w:val="0"/>
          <w:bCs w:val="0"/>
          <w:sz w:val="32"/>
          <w:szCs w:val="32"/>
          <w:lang w:val="zh-CN"/>
        </w:rPr>
        <w:t>应用</w:t>
      </w:r>
      <w:r>
        <w:rPr>
          <w:rFonts w:ascii="Times New Roman" w:hAnsi="Times New Roman" w:eastAsia="方正仿宋_GBK" w:cs="Times New Roman"/>
          <w:b w:val="0"/>
          <w:bCs w:val="0"/>
          <w:sz w:val="32"/>
          <w:szCs w:val="32"/>
        </w:rPr>
        <w:t>APP</w:t>
      </w:r>
      <w:r>
        <w:rPr>
          <w:rFonts w:ascii="Times New Roman" w:hAnsi="Times New Roman" w:eastAsia="方正仿宋_GBK" w:cs="Times New Roman"/>
          <w:b w:val="0"/>
          <w:bCs w:val="0"/>
          <w:sz w:val="32"/>
          <w:szCs w:val="32"/>
          <w:lang w:val="zh-CN"/>
        </w:rPr>
        <w:t>。整合预约挂号、家医签约、健康咨询、慢病随访等功能，深入推进居民电子健康卡应用，推动居民电子健康档案在线查询和规范使用，提升居民自我健康管理水平。不断拓展远程医疗服务渠道、提高服务能力、提升服务质量，满足群众就近就医需求。加强线上医学教育与科普服务。</w:t>
      </w:r>
    </w:p>
    <w:p w14:paraId="03D40633">
      <w:pPr>
        <w:spacing w:line="560" w:lineRule="exact"/>
        <w:ind w:firstLine="640" w:firstLineChars="200"/>
        <w:rPr>
          <w:rFonts w:ascii="Times New Roman" w:hAnsi="Times New Roman" w:eastAsia="方正仿宋_GBK" w:cs="Times New Roman"/>
          <w:b w:val="0"/>
          <w:bCs w:val="0"/>
          <w:sz w:val="32"/>
          <w:szCs w:val="32"/>
          <w:lang w:val="zh-CN"/>
        </w:rPr>
      </w:pPr>
      <w:r>
        <w:rPr>
          <w:rFonts w:ascii="Times New Roman" w:hAnsi="Times New Roman" w:eastAsia="方正仿宋_GBK" w:cs="Times New Roman"/>
          <w:b w:val="0"/>
          <w:bCs w:val="0"/>
          <w:sz w:val="32"/>
          <w:szCs w:val="32"/>
        </w:rPr>
        <w:t>26.</w:t>
      </w:r>
      <w:r>
        <w:rPr>
          <w:rFonts w:hint="eastAsia" w:ascii="Times New Roman" w:hAnsi="Times New Roman" w:eastAsia="方正仿宋_GBK" w:cs="Times New Roman"/>
          <w:b w:val="0"/>
          <w:bCs w:val="0"/>
          <w:sz w:val="32"/>
          <w:szCs w:val="32"/>
          <w:lang w:val="en-US" w:eastAsia="zh-CN"/>
        </w:rPr>
        <w:t xml:space="preserve"> </w:t>
      </w:r>
      <w:r>
        <w:rPr>
          <w:rFonts w:ascii="Times New Roman" w:hAnsi="Times New Roman" w:eastAsia="方正仿宋_GBK" w:cs="Times New Roman"/>
          <w:b w:val="0"/>
          <w:bCs w:val="0"/>
          <w:sz w:val="32"/>
          <w:szCs w:val="32"/>
          <w:lang w:val="zh-CN"/>
        </w:rPr>
        <w:t>打造数据驱动的智能化监管体系。建立完善公共卫生服务系统和卫生应急指挥调度平台，提高重大疾病防控和突发公共卫生事件监测预警与应急响应智能化水平。健全药品使用监测机制，建立覆盖各级医疗卫生机构的药品使用监测网络，推进信息化审方、区域处方审核及点评，加强合理用药监管。加强医疗服务质量管理和运行监测，建立数据驱动的行业治理新模式。开展</w:t>
      </w:r>
      <w:r>
        <w:rPr>
          <w:rFonts w:hint="eastAsia" w:ascii="Times New Roman" w:hAnsi="Times New Roman" w:eastAsia="方正仿宋_GBK" w:cs="Times New Roman"/>
          <w:b w:val="0"/>
          <w:bCs w:val="0"/>
          <w:sz w:val="32"/>
          <w:szCs w:val="32"/>
          <w:lang w:val="zh-CN"/>
        </w:rPr>
        <w:t>“</w:t>
      </w:r>
      <w:r>
        <w:rPr>
          <w:rFonts w:ascii="Times New Roman" w:hAnsi="Times New Roman" w:eastAsia="方正仿宋_GBK" w:cs="Times New Roman"/>
          <w:b w:val="0"/>
          <w:bCs w:val="0"/>
          <w:sz w:val="32"/>
          <w:szCs w:val="32"/>
          <w:lang w:val="zh-CN"/>
        </w:rPr>
        <w:t>智慧卫监</w:t>
      </w:r>
      <w:r>
        <w:rPr>
          <w:rFonts w:hint="eastAsia" w:ascii="Times New Roman" w:hAnsi="Times New Roman" w:eastAsia="方正仿宋_GBK" w:cs="Times New Roman"/>
          <w:b w:val="0"/>
          <w:bCs w:val="0"/>
          <w:sz w:val="32"/>
          <w:szCs w:val="32"/>
          <w:lang w:val="zh-CN"/>
        </w:rPr>
        <w:t>”</w:t>
      </w:r>
      <w:r>
        <w:rPr>
          <w:rFonts w:ascii="Times New Roman" w:hAnsi="Times New Roman" w:eastAsia="方正仿宋_GBK" w:cs="Times New Roman"/>
          <w:b w:val="0"/>
          <w:bCs w:val="0"/>
          <w:sz w:val="32"/>
          <w:szCs w:val="32"/>
          <w:lang w:val="zh-CN"/>
        </w:rPr>
        <w:t>建设，构建</w:t>
      </w:r>
      <w:r>
        <w:rPr>
          <w:rFonts w:hint="eastAsia" w:ascii="Times New Roman" w:hAnsi="Times New Roman" w:eastAsia="方正仿宋_GBK" w:cs="Times New Roman"/>
          <w:b w:val="0"/>
          <w:bCs w:val="0"/>
          <w:sz w:val="32"/>
          <w:szCs w:val="32"/>
          <w:lang w:val="zh-CN"/>
        </w:rPr>
        <w:t>“</w:t>
      </w:r>
      <w:r>
        <w:rPr>
          <w:rFonts w:ascii="Times New Roman" w:hAnsi="Times New Roman" w:eastAsia="方正仿宋_GBK" w:cs="Times New Roman"/>
          <w:b w:val="0"/>
          <w:bCs w:val="0"/>
          <w:sz w:val="32"/>
          <w:szCs w:val="32"/>
          <w:lang w:val="zh-CN"/>
        </w:rPr>
        <w:t>互联网</w:t>
      </w:r>
      <w:r>
        <w:rPr>
          <w:rFonts w:ascii="Times New Roman" w:hAnsi="Times New Roman" w:eastAsia="方正仿宋_GBK" w:cs="Times New Roman"/>
          <w:b w:val="0"/>
          <w:bCs w:val="0"/>
          <w:sz w:val="32"/>
          <w:szCs w:val="32"/>
        </w:rPr>
        <w:t>+</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lang w:val="zh-CN"/>
        </w:rPr>
        <w:t>监管体系。</w:t>
      </w:r>
    </w:p>
    <w:p w14:paraId="726F8337">
      <w:pPr>
        <w:spacing w:line="560" w:lineRule="exact"/>
        <w:ind w:firstLine="640" w:firstLineChars="200"/>
        <w:rPr>
          <w:rFonts w:ascii="Times New Roman" w:hAnsi="Times New Roman" w:eastAsia="方正仿宋_GBK" w:cs="Times New Roman"/>
          <w:b w:val="0"/>
          <w:bCs w:val="0"/>
          <w:sz w:val="32"/>
          <w:szCs w:val="32"/>
        </w:rPr>
      </w:pPr>
      <w:r>
        <w:rPr>
          <w:rFonts w:ascii="Times New Roman" w:hAnsi="Times New Roman" w:eastAsia="方正仿宋_GBK" w:cs="Times New Roman"/>
          <w:b w:val="0"/>
          <w:bCs w:val="0"/>
          <w:sz w:val="32"/>
          <w:szCs w:val="32"/>
        </w:rPr>
        <w:t>27.</w:t>
      </w:r>
      <w:r>
        <w:rPr>
          <w:rFonts w:hint="eastAsia" w:ascii="Times New Roman" w:hAnsi="Times New Roman" w:eastAsia="方正仿宋_GBK" w:cs="Times New Roman"/>
          <w:b w:val="0"/>
          <w:bCs w:val="0"/>
          <w:sz w:val="32"/>
          <w:szCs w:val="32"/>
          <w:lang w:val="en-US" w:eastAsia="zh-CN"/>
        </w:rPr>
        <w:t xml:space="preserve"> </w:t>
      </w:r>
      <w:r>
        <w:rPr>
          <w:rFonts w:ascii="Times New Roman" w:hAnsi="Times New Roman" w:eastAsia="方正仿宋_GBK" w:cs="Times New Roman"/>
          <w:b w:val="0"/>
          <w:bCs w:val="0"/>
          <w:sz w:val="32"/>
          <w:szCs w:val="32"/>
          <w:lang w:val="zh-CN"/>
        </w:rPr>
        <w:t>构建健康医疗大数据共享、开放与应用环境。规范数据协同采集和共享交换机制，推动健康医疗大数据在行业内部及其他政府部门、科研机构的共享。搭建健康医疗大数据挖掘应用平台，加强与其它专业机构的合作，开展医药卫生体制改革监测评估、卫生管理部门和医疗机构的绩效评估，加强居民健康行为、状况等分析评价。积极探索人工智能技术在智能导医、辅助诊断、医疗影像识别、健康管理等领域的应用。</w:t>
      </w:r>
    </w:p>
    <w:p w14:paraId="04369B85">
      <w:pPr>
        <w:spacing w:line="560" w:lineRule="exact"/>
        <w:ind w:firstLine="640" w:firstLineChars="200"/>
        <w:rPr>
          <w:rFonts w:ascii="Times New Roman" w:hAnsi="Times New Roman" w:eastAsia="方正仿宋_GBK" w:cs="Times New Roman"/>
          <w:b w:val="0"/>
          <w:bCs w:val="0"/>
          <w:sz w:val="32"/>
          <w:szCs w:val="32"/>
          <w:lang w:val="zh-CN"/>
        </w:rPr>
      </w:pPr>
      <w:r>
        <w:rPr>
          <w:rFonts w:ascii="Times New Roman" w:hAnsi="Times New Roman" w:eastAsia="方正仿宋_GBK" w:cs="Times New Roman"/>
          <w:b w:val="0"/>
          <w:bCs w:val="0"/>
          <w:sz w:val="32"/>
          <w:szCs w:val="32"/>
        </w:rPr>
        <w:t>28.</w:t>
      </w:r>
      <w:r>
        <w:rPr>
          <w:rFonts w:hint="eastAsia" w:ascii="Times New Roman" w:hAnsi="Times New Roman" w:eastAsia="方正仿宋_GBK" w:cs="Times New Roman"/>
          <w:b w:val="0"/>
          <w:bCs w:val="0"/>
          <w:sz w:val="32"/>
          <w:szCs w:val="32"/>
          <w:lang w:val="en-US" w:eastAsia="zh-CN"/>
        </w:rPr>
        <w:t xml:space="preserve"> </w:t>
      </w:r>
      <w:r>
        <w:rPr>
          <w:rFonts w:ascii="Times New Roman" w:hAnsi="Times New Roman" w:eastAsia="方正仿宋_GBK" w:cs="Times New Roman"/>
          <w:b w:val="0"/>
          <w:bCs w:val="0"/>
          <w:sz w:val="32"/>
          <w:szCs w:val="32"/>
          <w:lang w:val="zh-CN"/>
        </w:rPr>
        <w:t>保障良好的网络信息安全环境。严格落实国家和我市网络信息安全规划和数据保密规定。按照国家网络安全等级保护制度要求，加强医疗卫生机构、互联网医疗健康服务平台、智能医疗设备及关键信息基础设施、数据应用服务的安全防护，定期开展信息安全隐患排查、监测和预警，加强数据安全管理及权限控制。</w:t>
      </w:r>
    </w:p>
    <w:tbl>
      <w:tblPr>
        <w:tblStyle w:val="9"/>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1A641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22" w:type="dxa"/>
            <w:noWrap w:val="0"/>
            <w:vAlign w:val="top"/>
          </w:tcPr>
          <w:p w14:paraId="2F1891B4">
            <w:pPr>
              <w:spacing w:line="560" w:lineRule="exact"/>
              <w:jc w:val="center"/>
              <w:rPr>
                <w:rFonts w:ascii="Times New Roman" w:hAnsi="Times New Roman" w:eastAsia="方正黑体_GBK" w:cs="Times New Roman"/>
                <w:b w:val="0"/>
                <w:bCs w:val="0"/>
                <w:sz w:val="24"/>
                <w:szCs w:val="24"/>
              </w:rPr>
            </w:pPr>
            <w:r>
              <w:rPr>
                <w:rFonts w:hint="eastAsia" w:ascii="方正黑体_GBK" w:hAnsi="方正黑体_GBK" w:eastAsia="方正黑体_GBK" w:cs="方正黑体_GBK"/>
                <w:b w:val="0"/>
                <w:bCs w:val="0"/>
                <w:kern w:val="0"/>
                <w:sz w:val="28"/>
                <w:szCs w:val="28"/>
              </w:rPr>
              <w:t>专栏7  智慧医疗建设</w:t>
            </w:r>
          </w:p>
        </w:tc>
      </w:tr>
      <w:tr w14:paraId="1B7E2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4" w:hRule="atLeast"/>
          <w:jc w:val="center"/>
        </w:trPr>
        <w:tc>
          <w:tcPr>
            <w:tcW w:w="8522" w:type="dxa"/>
            <w:noWrap w:val="0"/>
            <w:vAlign w:val="top"/>
          </w:tcPr>
          <w:p w14:paraId="4BBDAEDF">
            <w:pPr>
              <w:widowControl w:val="0"/>
              <w:spacing w:after="120" w:line="400" w:lineRule="exact"/>
              <w:ind w:firstLine="480" w:firstLineChars="200"/>
              <w:jc w:val="both"/>
              <w:rPr>
                <w:rFonts w:ascii="Times New Roman" w:hAnsi="Times New Roman" w:eastAsia="方正仿宋_GBK" w:cs="Times New Roman"/>
                <w:b w:val="0"/>
                <w:bCs w:val="0"/>
                <w:kern w:val="2"/>
                <w:sz w:val="24"/>
                <w:szCs w:val="24"/>
                <w:lang w:val="en-US" w:eastAsia="zh-CN" w:bidi="ar-SA"/>
              </w:rPr>
            </w:pPr>
            <w:r>
              <w:rPr>
                <w:rFonts w:ascii="Times New Roman" w:hAnsi="Times New Roman" w:eastAsia="方正仿宋_GBK" w:cs="Times New Roman"/>
                <w:b w:val="0"/>
                <w:bCs w:val="0"/>
                <w:kern w:val="0"/>
                <w:sz w:val="24"/>
                <w:szCs w:val="24"/>
                <w:lang w:val="en-US" w:eastAsia="zh-CN" w:bidi="ar"/>
              </w:rPr>
              <w:t>建立健康医疗大数据中心，构建全民健康信息平台，建设区域医疗健康信息系统；升级虚拟专网，建设5G智慧医疗示范网；开发</w:t>
            </w:r>
            <w:r>
              <w:rPr>
                <w:rFonts w:hint="eastAsia" w:ascii="Times New Roman" w:hAnsi="Times New Roman" w:eastAsia="方正仿宋_GBK" w:cs="Times New Roman"/>
                <w:b w:val="0"/>
                <w:bCs w:val="0"/>
                <w:kern w:val="0"/>
                <w:sz w:val="24"/>
                <w:szCs w:val="24"/>
                <w:lang w:val="en-US" w:eastAsia="zh-CN" w:bidi="ar"/>
              </w:rPr>
              <w:t>“</w:t>
            </w:r>
            <w:r>
              <w:rPr>
                <w:rFonts w:ascii="Times New Roman" w:hAnsi="Times New Roman" w:eastAsia="方正仿宋_GBK" w:cs="Times New Roman"/>
                <w:b w:val="0"/>
                <w:bCs w:val="0"/>
                <w:kern w:val="0"/>
                <w:sz w:val="24"/>
                <w:szCs w:val="24"/>
                <w:lang w:val="en-US" w:eastAsia="zh-CN" w:bidi="ar"/>
              </w:rPr>
              <w:t>健康云阳</w:t>
            </w:r>
            <w:r>
              <w:rPr>
                <w:rFonts w:hint="eastAsia" w:ascii="Times New Roman" w:hAnsi="Times New Roman" w:eastAsia="方正仿宋_GBK" w:cs="Times New Roman"/>
                <w:b w:val="0"/>
                <w:bCs w:val="0"/>
                <w:kern w:val="0"/>
                <w:sz w:val="24"/>
                <w:szCs w:val="24"/>
                <w:lang w:val="en-US" w:eastAsia="zh-CN" w:bidi="ar"/>
              </w:rPr>
              <w:t>”</w:t>
            </w:r>
            <w:r>
              <w:rPr>
                <w:rFonts w:ascii="Times New Roman" w:hAnsi="Times New Roman" w:eastAsia="方正仿宋_GBK" w:cs="Times New Roman"/>
                <w:b w:val="0"/>
                <w:bCs w:val="0"/>
                <w:kern w:val="0"/>
                <w:sz w:val="24"/>
                <w:szCs w:val="24"/>
                <w:lang w:val="en-US" w:eastAsia="zh-CN" w:bidi="ar"/>
              </w:rPr>
              <w:t>APP或微信公众号；打造</w:t>
            </w:r>
            <w:r>
              <w:rPr>
                <w:rFonts w:hint="eastAsia" w:ascii="Times New Roman" w:hAnsi="Times New Roman" w:eastAsia="方正仿宋_GBK" w:cs="Times New Roman"/>
                <w:b w:val="0"/>
                <w:bCs w:val="0"/>
                <w:kern w:val="0"/>
                <w:sz w:val="24"/>
                <w:szCs w:val="24"/>
                <w:lang w:val="en-US" w:eastAsia="zh-CN" w:bidi="ar"/>
              </w:rPr>
              <w:t>“</w:t>
            </w:r>
            <w:r>
              <w:rPr>
                <w:rFonts w:ascii="Times New Roman" w:hAnsi="Times New Roman" w:eastAsia="方正仿宋_GBK" w:cs="Times New Roman"/>
                <w:b w:val="0"/>
                <w:bCs w:val="0"/>
                <w:kern w:val="0"/>
                <w:sz w:val="24"/>
                <w:szCs w:val="24"/>
                <w:lang w:val="en-US" w:eastAsia="zh-CN" w:bidi="ar"/>
              </w:rPr>
              <w:t>智慧医院</w:t>
            </w:r>
            <w:r>
              <w:rPr>
                <w:rFonts w:hint="eastAsia" w:ascii="Times New Roman" w:hAnsi="Times New Roman" w:eastAsia="方正仿宋_GBK" w:cs="Times New Roman"/>
                <w:b w:val="0"/>
                <w:bCs w:val="0"/>
                <w:kern w:val="0"/>
                <w:sz w:val="24"/>
                <w:szCs w:val="24"/>
                <w:lang w:val="en-US" w:eastAsia="zh-CN" w:bidi="ar"/>
              </w:rPr>
              <w:t>”</w:t>
            </w:r>
            <w:r>
              <w:rPr>
                <w:rFonts w:ascii="Times New Roman" w:hAnsi="Times New Roman" w:eastAsia="方正仿宋_GBK" w:cs="Times New Roman"/>
                <w:b w:val="0"/>
                <w:bCs w:val="0"/>
                <w:kern w:val="0"/>
                <w:sz w:val="24"/>
                <w:szCs w:val="24"/>
                <w:lang w:val="en-US" w:eastAsia="zh-CN" w:bidi="ar"/>
              </w:rPr>
              <w:t>，搭建远程医疗服务体系；建立5G急救系统和卫生健康应急指挥平台。</w:t>
            </w:r>
          </w:p>
        </w:tc>
      </w:tr>
    </w:tbl>
    <w:p w14:paraId="4389D203">
      <w:pPr>
        <w:keepNext/>
        <w:keepLines/>
        <w:widowControl w:val="0"/>
        <w:spacing w:before="0" w:after="0" w:line="560" w:lineRule="exact"/>
        <w:ind w:firstLine="320" w:firstLineChars="100"/>
        <w:jc w:val="both"/>
        <w:outlineLvl w:val="1"/>
        <w:rPr>
          <w:rFonts w:ascii="Times New Roman" w:hAnsi="Times New Roman" w:eastAsia="楷体" w:cs="Times New Roman"/>
          <w:b w:val="0"/>
          <w:bCs w:val="0"/>
          <w:kern w:val="2"/>
          <w:sz w:val="32"/>
          <w:szCs w:val="32"/>
          <w:lang w:val="en-US" w:eastAsia="zh-CN" w:bidi="ar-SA"/>
        </w:rPr>
      </w:pPr>
      <w:bookmarkStart w:id="46" w:name="_Toc12498"/>
      <w:bookmarkStart w:id="47" w:name="_Toc13272_WPSOffice_Level2"/>
      <w:r>
        <w:rPr>
          <w:rFonts w:hint="eastAsia" w:ascii="Times New Roman" w:hAnsi="Times New Roman" w:eastAsia="方正楷体_GBK" w:cs="方正楷体_GBK"/>
          <w:b w:val="0"/>
          <w:bCs w:val="0"/>
          <w:kern w:val="2"/>
          <w:sz w:val="32"/>
          <w:szCs w:val="32"/>
          <w:lang w:val="en-US" w:eastAsia="zh-CN" w:bidi="ar-SA"/>
        </w:rPr>
        <w:t>（八）坚持深化医药卫生体制改革，促进公立医院高质量发展</w:t>
      </w:r>
      <w:bookmarkEnd w:id="46"/>
      <w:bookmarkEnd w:id="47"/>
    </w:p>
    <w:p w14:paraId="3AD76062">
      <w:pPr>
        <w:spacing w:line="560" w:lineRule="exact"/>
        <w:ind w:firstLine="640" w:firstLineChars="200"/>
        <w:rPr>
          <w:rFonts w:ascii="Times New Roman" w:hAnsi="Times New Roman" w:eastAsia="方正仿宋_GBK" w:cs="Times New Roman"/>
          <w:b w:val="0"/>
          <w:bCs w:val="0"/>
          <w:sz w:val="32"/>
          <w:szCs w:val="32"/>
        </w:rPr>
      </w:pPr>
      <w:r>
        <w:rPr>
          <w:rFonts w:ascii="Times New Roman" w:hAnsi="Times New Roman" w:eastAsia="方正仿宋_GBK" w:cs="Times New Roman"/>
          <w:b w:val="0"/>
          <w:bCs w:val="0"/>
          <w:sz w:val="32"/>
          <w:szCs w:val="32"/>
        </w:rPr>
        <w:t>29.</w:t>
      </w:r>
      <w:r>
        <w:rPr>
          <w:rFonts w:hint="eastAsia" w:ascii="Times New Roman" w:hAnsi="Times New Roman" w:eastAsia="方正仿宋_GBK" w:cs="Times New Roman"/>
          <w:b w:val="0"/>
          <w:bCs w:val="0"/>
          <w:sz w:val="32"/>
          <w:szCs w:val="32"/>
          <w:lang w:val="en-US" w:eastAsia="zh-CN"/>
        </w:rPr>
        <w:t xml:space="preserve"> </w:t>
      </w:r>
      <w:r>
        <w:rPr>
          <w:rFonts w:ascii="Times New Roman" w:hAnsi="Times New Roman" w:eastAsia="方正仿宋_GBK" w:cs="Times New Roman"/>
          <w:b w:val="0"/>
          <w:bCs w:val="0"/>
          <w:sz w:val="32"/>
          <w:szCs w:val="32"/>
        </w:rPr>
        <w:t>持续深化医共体</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三通</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建设。健全医共体管理体制，完善符合医共体特点的机构编制、岗位管理、职称薪酬、财政投入等政策措施。建成覆盖县乡的医学影像中心、远程心电中心、检查检验中心、病理诊断中心、远程超声中心、消毒供应中心，推进县域内医疗资源共享。建立医共体内人员流动和技术帮扶机制，用好</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基层医疗卫生发展</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和</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县级技术服务协作</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两个资金池，解决全县医疗机构可持续发展问题。完善分级诊疗和双向转诊工作制度，加快推进居民电子健康档案和电子病历等信息共享，为患者提供连续诊疗和顺畅转诊。规范基层卫生院</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两部一馆一专区</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设置，形成以全科医生为主体、全科专科有效联动、医防深度融合的家庭医生签约服务新模式。到2025年，医共体发展模式及制度体系更加成熟完善。</w:t>
      </w:r>
    </w:p>
    <w:p w14:paraId="23F7CB5F">
      <w:pPr>
        <w:spacing w:line="560" w:lineRule="exact"/>
        <w:ind w:firstLine="640" w:firstLineChars="200"/>
        <w:rPr>
          <w:rFonts w:ascii="Times New Roman" w:hAnsi="Times New Roman" w:eastAsia="方正仿宋_GBK" w:cs="Times New Roman"/>
          <w:b w:val="0"/>
          <w:bCs w:val="0"/>
          <w:sz w:val="32"/>
          <w:szCs w:val="32"/>
        </w:rPr>
      </w:pPr>
      <w:r>
        <w:rPr>
          <w:rFonts w:ascii="Times New Roman" w:hAnsi="Times New Roman" w:eastAsia="方正仿宋_GBK" w:cs="Times New Roman"/>
          <w:b w:val="0"/>
          <w:bCs w:val="0"/>
          <w:sz w:val="32"/>
          <w:szCs w:val="32"/>
        </w:rPr>
        <w:t>30.</w:t>
      </w:r>
      <w:r>
        <w:rPr>
          <w:rFonts w:hint="eastAsia" w:ascii="Times New Roman" w:hAnsi="Times New Roman" w:eastAsia="方正仿宋_GBK" w:cs="Times New Roman"/>
          <w:b w:val="0"/>
          <w:bCs w:val="0"/>
          <w:sz w:val="32"/>
          <w:szCs w:val="32"/>
          <w:lang w:val="en-US" w:eastAsia="zh-CN"/>
        </w:rPr>
        <w:t xml:space="preserve"> </w:t>
      </w:r>
      <w:r>
        <w:rPr>
          <w:rFonts w:ascii="Times New Roman" w:hAnsi="Times New Roman" w:eastAsia="方正仿宋_GBK" w:cs="Times New Roman"/>
          <w:b w:val="0"/>
          <w:bCs w:val="0"/>
          <w:sz w:val="32"/>
          <w:szCs w:val="32"/>
        </w:rPr>
        <w:t>推动公立医院高质量发展。全面加强公立医院党的建设，落实政府对公立医院的领导责任、保障责任、管理责任和监督责任。健全现代医院管理制度，强化体系创新、技术创新、模式创新、管理创新。完善公立医院法人治理结构，落实公立医院经营管理自主权。落实</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两个允许</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全面推开公立医院薪酬制度改革。探索公立医院编制备案制管理，实施区域编制总量核定、行业统筹调剂使用的机制。全面开展公立医院绩效考核，推动公立医院更加注重公益导向、质量效益、精细管理和调动医务人员积极性。支持公立医院开展互联网诊疗，规范互联网诊疗运营模式。</w:t>
      </w:r>
    </w:p>
    <w:p w14:paraId="515F0CD7">
      <w:pPr>
        <w:keepNext/>
        <w:keepLines/>
        <w:widowControl w:val="0"/>
        <w:spacing w:before="0" w:after="0" w:line="560" w:lineRule="exact"/>
        <w:ind w:firstLine="640" w:firstLineChars="200"/>
        <w:jc w:val="both"/>
        <w:outlineLvl w:val="1"/>
        <w:rPr>
          <w:rFonts w:ascii="Times New Roman" w:hAnsi="Times New Roman" w:eastAsia="楷体" w:cs="Times New Roman"/>
          <w:b w:val="0"/>
          <w:bCs w:val="0"/>
          <w:kern w:val="2"/>
          <w:sz w:val="32"/>
          <w:szCs w:val="32"/>
          <w:lang w:val="en-US" w:eastAsia="zh-CN" w:bidi="ar-SA"/>
        </w:rPr>
      </w:pPr>
      <w:bookmarkStart w:id="48" w:name="_Toc4309_WPSOffice_Level2"/>
      <w:bookmarkStart w:id="49" w:name="_Toc23427"/>
      <w:r>
        <w:rPr>
          <w:rFonts w:hint="eastAsia" w:ascii="Times New Roman" w:hAnsi="Times New Roman" w:eastAsia="方正楷体_GBK" w:cs="方正楷体_GBK"/>
          <w:b w:val="0"/>
          <w:bCs w:val="0"/>
          <w:kern w:val="2"/>
          <w:sz w:val="32"/>
          <w:szCs w:val="32"/>
          <w:lang w:val="en-US" w:eastAsia="zh-CN" w:bidi="ar-SA"/>
        </w:rPr>
        <w:t>（九）促进人口与家庭发展，积极应对人口老龄化</w:t>
      </w:r>
      <w:bookmarkEnd w:id="48"/>
      <w:bookmarkEnd w:id="49"/>
    </w:p>
    <w:p w14:paraId="09904802">
      <w:pPr>
        <w:spacing w:line="560" w:lineRule="exact"/>
        <w:ind w:firstLine="640" w:firstLineChars="200"/>
        <w:rPr>
          <w:rFonts w:ascii="Times New Roman" w:hAnsi="Times New Roman" w:eastAsia="方正仿宋_GBK" w:cs="Times New Roman"/>
          <w:b w:val="0"/>
          <w:bCs w:val="0"/>
          <w:sz w:val="32"/>
          <w:szCs w:val="32"/>
        </w:rPr>
      </w:pPr>
      <w:r>
        <w:rPr>
          <w:rFonts w:ascii="Times New Roman" w:hAnsi="Times New Roman" w:eastAsia="方正仿宋_GBK" w:cs="Times New Roman"/>
          <w:b w:val="0"/>
          <w:bCs w:val="0"/>
          <w:sz w:val="32"/>
          <w:szCs w:val="32"/>
        </w:rPr>
        <w:t>认真贯彻落实积极应对人口老龄化国家战略，坚持政府主导、社会参与、全民行动，坚持积极、科学、综合应对，协调推进积极应对人口老龄化重大政策举措，促进人口均衡发展。</w:t>
      </w:r>
    </w:p>
    <w:p w14:paraId="15696816">
      <w:pPr>
        <w:numPr>
          <w:ilvl w:val="0"/>
          <w:numId w:val="3"/>
        </w:numPr>
        <w:spacing w:line="578" w:lineRule="exact"/>
        <w:ind w:firstLine="641"/>
        <w:rPr>
          <w:rFonts w:ascii="Times New Roman" w:hAnsi="Times New Roman" w:eastAsia="方正仿宋_GBK" w:cs="Times New Roman"/>
          <w:b w:val="0"/>
          <w:bCs w:val="0"/>
          <w:sz w:val="32"/>
          <w:szCs w:val="32"/>
        </w:rPr>
      </w:pPr>
      <w:r>
        <w:rPr>
          <w:rFonts w:ascii="Times New Roman" w:hAnsi="Times New Roman" w:eastAsia="方正仿宋_GBK" w:cs="Times New Roman"/>
          <w:b w:val="0"/>
          <w:bCs w:val="0"/>
          <w:sz w:val="32"/>
          <w:szCs w:val="32"/>
        </w:rPr>
        <w:t>完善支持生育的政策和环境。依法组织实施三孩生育政策，促进生育政策和相关经济社会政策配套衔接。增强生育政策包容性，降低生育、养育成本，引导生育水平稳定在合理区间。全面落实生育延长产假和生育保险等政策，完善生育补贴津贴制度。积极推进健康家庭建设，对全面两孩政策调整前的独生子女家庭和农村计划生育双女家庭，继续实行现行各项奖励扶助制度和优惠政策。落实计划生育特殊家庭全方位帮扶保障制度，完善政府主导、社会组织参与的扶助关怀工作机制，维护好计划生育家庭合法权益，营造生育友好的家庭环境。深化计划生育管理服务改革，推动生育政策从管理向服务转变，加强计划生育技术服务和生育全程基本医疗保健服务，综合治理出生人口性别比，提高出生人口素质，促进人口结构改善。</w:t>
      </w:r>
    </w:p>
    <w:p w14:paraId="547574F9">
      <w:pPr>
        <w:numPr>
          <w:ilvl w:val="0"/>
          <w:numId w:val="3"/>
        </w:numPr>
        <w:spacing w:line="560" w:lineRule="exact"/>
        <w:ind w:firstLine="641" w:firstLineChars="0"/>
        <w:rPr>
          <w:rFonts w:ascii="Times New Roman" w:hAnsi="Times New Roman" w:eastAsia="方正仿宋_GBK" w:cs="Times New Roman"/>
          <w:b w:val="0"/>
          <w:bCs w:val="0"/>
          <w:sz w:val="32"/>
          <w:szCs w:val="32"/>
        </w:rPr>
      </w:pPr>
      <w:r>
        <w:rPr>
          <w:rFonts w:ascii="Times New Roman" w:hAnsi="Times New Roman" w:eastAsia="方正仿宋_GBK" w:cs="Times New Roman"/>
          <w:b w:val="0"/>
          <w:bCs w:val="0"/>
          <w:sz w:val="32"/>
          <w:szCs w:val="32"/>
        </w:rPr>
        <w:t>多元化增加托育服务供给。增强家庭抚幼功能，构建完善</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家庭为主、托育补充</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的婴幼儿照护服务体系。调动社会力量的积极性，多种形式开展婴幼儿照护服务。支持托幼一体化发展，鼓励有条件的幼儿园开展托育服务。加强对家庭照护婴幼儿的支持和指导，增强家庭科学育儿能力。实施城企联动普惠托育专项行动，大力发展普惠性托育服务。推动托育机构规范发展，开展托育服务试点示范活动，发挥示范引领和辐射带动作用。加强托育人才队伍建设，提升托育服务能力。到2025年，多元化、多样化、覆盖城乡的婴幼儿照护服务体系基本形成，婴幼儿照护服务水平明显提升。每千常住人口拥有3岁以下婴幼儿托位数达到4.5个以上。</w:t>
      </w:r>
    </w:p>
    <w:p w14:paraId="662F34FF">
      <w:pPr>
        <w:numPr>
          <w:ilvl w:val="0"/>
          <w:numId w:val="3"/>
        </w:numPr>
        <w:spacing w:line="560" w:lineRule="exact"/>
        <w:ind w:firstLine="641" w:firstLineChars="0"/>
        <w:rPr>
          <w:rFonts w:ascii="Times New Roman" w:hAnsi="Times New Roman" w:eastAsia="方正仿宋_GBK" w:cs="Times New Roman"/>
          <w:b w:val="0"/>
          <w:bCs w:val="0"/>
          <w:sz w:val="32"/>
          <w:szCs w:val="32"/>
        </w:rPr>
      </w:pPr>
      <w:r>
        <w:rPr>
          <w:rFonts w:ascii="Times New Roman" w:hAnsi="Times New Roman" w:eastAsia="方正仿宋_GBK" w:cs="Times New Roman"/>
          <w:b w:val="0"/>
          <w:bCs w:val="0"/>
          <w:sz w:val="32"/>
          <w:szCs w:val="32"/>
        </w:rPr>
        <w:t>深入实施医养结合，推进健康老龄化。拓展医疗机构老年健康服务功能，强化二级及以上综合医院老年医学科能力，巩固县中医院康复科和治未病科能力。支持凤鸣镇中心卫生院、江口镇中心卫生院、南溪镇中心卫生院等医疗机构规划建设老年医院、康复医院、护理院、安宁疗护机构，鼓励康悦养老中心、双江人民医院医养护理分院创建市级医养结合示范单位。支持资源丰富的公办医疗机构开设康复、护理、安宁疗护病床和养老床位，提高为老年患者服务的能力。加强医疗机构与养老机构签约协作，提升签约服务质量。推进医疗卫生服务向家庭延伸，为辖区内老年人提供老龄健康与医养结合服务，做实做细家庭医生签约服务，家庭医生团队对重病、失能、部分失能等重点老年人群开展上门巡诊、家庭病床、康复护理、安宁疗护等医疗卫生服务。实施老年人素养和老年人信息化建设提升行动。加强常态化疫情防控下对老年人的疫情防控和各类季节性传染病的知识宣传，重视留守、空巢、失能老年人的心理健康，为老年人提供心理疏导和健康评估。支持开展健康养老关键共性技术攻关和适老化研究，积极探索</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互联网+老年健康</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服务模式。</w:t>
      </w:r>
    </w:p>
    <w:p w14:paraId="64606C8F">
      <w:pPr>
        <w:keepNext/>
        <w:keepLines/>
        <w:widowControl w:val="0"/>
        <w:spacing w:before="0" w:after="0" w:line="560" w:lineRule="exact"/>
        <w:ind w:firstLine="640" w:firstLineChars="200"/>
        <w:jc w:val="both"/>
        <w:outlineLvl w:val="1"/>
        <w:rPr>
          <w:rFonts w:ascii="Times New Roman" w:hAnsi="Times New Roman" w:eastAsia="方正楷体_GBK" w:cs="方正楷体_GBK"/>
          <w:b w:val="0"/>
          <w:bCs w:val="0"/>
          <w:kern w:val="2"/>
          <w:sz w:val="32"/>
          <w:szCs w:val="32"/>
          <w:lang w:val="en-US" w:eastAsia="zh-CN" w:bidi="ar-SA"/>
        </w:rPr>
      </w:pPr>
      <w:bookmarkStart w:id="50" w:name="_Toc26162"/>
      <w:bookmarkStart w:id="51" w:name="_Toc26994_WPSOffice_Level2"/>
      <w:r>
        <w:rPr>
          <w:rFonts w:hint="eastAsia" w:ascii="Times New Roman" w:hAnsi="Times New Roman" w:eastAsia="方正楷体_GBK" w:cs="方正楷体_GBK"/>
          <w:b w:val="0"/>
          <w:bCs w:val="0"/>
          <w:kern w:val="2"/>
          <w:sz w:val="32"/>
          <w:szCs w:val="32"/>
          <w:lang w:val="en-US" w:eastAsia="zh-CN" w:bidi="ar-SA"/>
        </w:rPr>
        <w:t>（十）完善卫生健康综合监管体系，推进治理能力现代化</w:t>
      </w:r>
      <w:bookmarkEnd w:id="50"/>
      <w:bookmarkEnd w:id="51"/>
    </w:p>
    <w:p w14:paraId="75961F47">
      <w:pPr>
        <w:spacing w:line="560" w:lineRule="exact"/>
        <w:ind w:firstLine="640" w:firstLineChars="200"/>
        <w:rPr>
          <w:rFonts w:ascii="Times New Roman" w:hAnsi="Times New Roman" w:eastAsia="方正仿宋_GBK" w:cs="Times New Roman"/>
          <w:b w:val="0"/>
          <w:bCs w:val="0"/>
          <w:sz w:val="32"/>
          <w:szCs w:val="32"/>
        </w:rPr>
      </w:pPr>
      <w:bookmarkStart w:id="52" w:name="_Toc56418088"/>
      <w:r>
        <w:rPr>
          <w:rFonts w:ascii="Times New Roman" w:hAnsi="Times New Roman" w:eastAsia="方正仿宋_GBK" w:cs="Times New Roman"/>
          <w:b w:val="0"/>
          <w:bCs w:val="0"/>
          <w:sz w:val="32"/>
          <w:szCs w:val="32"/>
        </w:rPr>
        <w:t>34.</w:t>
      </w:r>
      <w:r>
        <w:rPr>
          <w:rFonts w:hint="eastAsia" w:ascii="Times New Roman" w:hAnsi="Times New Roman" w:eastAsia="方正仿宋_GBK" w:cs="Times New Roman"/>
          <w:b w:val="0"/>
          <w:bCs w:val="0"/>
          <w:sz w:val="32"/>
          <w:szCs w:val="32"/>
          <w:lang w:val="en-US" w:eastAsia="zh-CN"/>
        </w:rPr>
        <w:t xml:space="preserve"> </w:t>
      </w:r>
      <w:r>
        <w:rPr>
          <w:rFonts w:ascii="Times New Roman" w:hAnsi="Times New Roman" w:eastAsia="方正仿宋_GBK" w:cs="Times New Roman"/>
          <w:b w:val="0"/>
          <w:bCs w:val="0"/>
          <w:sz w:val="32"/>
          <w:szCs w:val="32"/>
        </w:rPr>
        <w:t>健全综合监管制度。进一步健全政府主导、部门协作的综合监管协调机制，健全多元化综合监管体系。加强全行业全过程监管，重点加强医疗卫生服务要素准入、从业人员、质量与安全、相关产品采购使用、综合绩效、医疗机构分类、行业秩序、公共卫生服务和健康产业新业态新模式监管。落实医疗卫生机构在依法执业等方面的主体责任，加强社会监督和行业自律。建立健全信用监管、依法联合惩戒机制，推进综合监管结果协同运用。</w:t>
      </w:r>
    </w:p>
    <w:p w14:paraId="00318274">
      <w:pPr>
        <w:spacing w:line="560" w:lineRule="exact"/>
        <w:ind w:firstLine="640" w:firstLineChars="200"/>
        <w:rPr>
          <w:rFonts w:ascii="Times New Roman" w:hAnsi="Times New Roman" w:eastAsia="方正仿宋_GBK" w:cs="Times New Roman"/>
          <w:b w:val="0"/>
          <w:bCs w:val="0"/>
          <w:sz w:val="32"/>
          <w:szCs w:val="32"/>
        </w:rPr>
      </w:pPr>
      <w:r>
        <w:rPr>
          <w:rFonts w:ascii="Times New Roman" w:hAnsi="Times New Roman" w:eastAsia="方正仿宋_GBK" w:cs="Times New Roman"/>
          <w:b w:val="0"/>
          <w:bCs w:val="0"/>
          <w:sz w:val="32"/>
          <w:szCs w:val="32"/>
        </w:rPr>
        <w:t>35.</w:t>
      </w:r>
      <w:r>
        <w:rPr>
          <w:rFonts w:hint="eastAsia" w:ascii="Times New Roman" w:hAnsi="Times New Roman" w:eastAsia="方正仿宋_GBK" w:cs="Times New Roman"/>
          <w:b w:val="0"/>
          <w:bCs w:val="0"/>
          <w:sz w:val="32"/>
          <w:szCs w:val="32"/>
          <w:lang w:val="en-US" w:eastAsia="zh-CN"/>
        </w:rPr>
        <w:t xml:space="preserve"> </w:t>
      </w:r>
      <w:r>
        <w:rPr>
          <w:rFonts w:ascii="Times New Roman" w:hAnsi="Times New Roman" w:eastAsia="方正仿宋_GBK" w:cs="Times New Roman"/>
          <w:b w:val="0"/>
          <w:bCs w:val="0"/>
          <w:sz w:val="32"/>
          <w:szCs w:val="32"/>
        </w:rPr>
        <w:t>加强卫生健康监督执法能力建设。根据《重庆市规范化卫生健康监督执法机构建设标准》要求，完善监督执法机构业务用房、执法用车、设备购置、执法经费等保障政策，开展规范化卫生健康监督执法机构创建工作。强化卫生监督执法人员法治、业务和纪律作风教育，打造一支专业高效、统一规范、文明公正的卫生健康监督执法队伍。实施卫生监督智能化监管，建成</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智慧卫监</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平台。推进执法办案质量提升行动，重点加强传染病防控等领域监督执法。</w:t>
      </w:r>
    </w:p>
    <w:p w14:paraId="3A940DBE">
      <w:pPr>
        <w:spacing w:line="560" w:lineRule="exact"/>
        <w:ind w:firstLine="640" w:firstLineChars="200"/>
        <w:rPr>
          <w:rFonts w:ascii="Times New Roman" w:hAnsi="Times New Roman" w:eastAsia="方正楷体_GBK" w:cs="方正楷体_GBK"/>
          <w:b w:val="0"/>
          <w:bCs w:val="0"/>
          <w:sz w:val="32"/>
          <w:szCs w:val="32"/>
        </w:rPr>
      </w:pPr>
      <w:bookmarkStart w:id="53" w:name="_Toc29456_WPSOffice_Level2"/>
      <w:r>
        <w:rPr>
          <w:rFonts w:hint="eastAsia" w:ascii="Times New Roman" w:hAnsi="Times New Roman" w:eastAsia="方正楷体_GBK" w:cs="方正楷体_GBK"/>
          <w:b w:val="0"/>
          <w:bCs w:val="0"/>
          <w:sz w:val="32"/>
          <w:szCs w:val="32"/>
        </w:rPr>
        <w:t>（十一）完善人才引进培养体系，打造渝东北医学人才集聚高地</w:t>
      </w:r>
      <w:bookmarkEnd w:id="53"/>
    </w:p>
    <w:p w14:paraId="7320F6EE">
      <w:pPr>
        <w:spacing w:line="560" w:lineRule="exact"/>
        <w:ind w:firstLine="640" w:firstLineChars="200"/>
        <w:rPr>
          <w:rFonts w:ascii="Times New Roman" w:hAnsi="Times New Roman" w:eastAsia="方正仿宋_GBK" w:cs="Times New Roman"/>
          <w:b w:val="0"/>
          <w:bCs w:val="0"/>
          <w:sz w:val="32"/>
          <w:szCs w:val="32"/>
        </w:rPr>
      </w:pPr>
      <w:r>
        <w:rPr>
          <w:rFonts w:ascii="Times New Roman" w:hAnsi="Times New Roman" w:eastAsia="方正仿宋_GBK" w:cs="Times New Roman"/>
          <w:b w:val="0"/>
          <w:bCs w:val="0"/>
          <w:sz w:val="32"/>
          <w:szCs w:val="32"/>
        </w:rPr>
        <w:t>36.</w:t>
      </w:r>
      <w:r>
        <w:rPr>
          <w:rFonts w:hint="eastAsia" w:ascii="Times New Roman" w:hAnsi="Times New Roman" w:eastAsia="方正仿宋_GBK" w:cs="Times New Roman"/>
          <w:b w:val="0"/>
          <w:bCs w:val="0"/>
          <w:sz w:val="32"/>
          <w:szCs w:val="32"/>
          <w:lang w:val="en-US" w:eastAsia="zh-CN"/>
        </w:rPr>
        <w:t xml:space="preserve"> </w:t>
      </w:r>
      <w:r>
        <w:rPr>
          <w:rFonts w:ascii="Times New Roman" w:hAnsi="Times New Roman" w:eastAsia="方正仿宋_GBK" w:cs="Times New Roman"/>
          <w:b w:val="0"/>
          <w:bCs w:val="0"/>
          <w:sz w:val="32"/>
          <w:szCs w:val="32"/>
        </w:rPr>
        <w:t>加大人才引进力度。实施县级医院高层次人才工程和基层卫生院全科医师工程，为卫生健康行业高质量发展提供人才支撑和保障。依托重庆英才培养项目、云阳县</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梯城英才</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实施办法积极引进各重点学科所需的高层次人才，特别是国家级、市级的专家学者或工作站。引导县级医院在一般性医学人才（全日制本科生）引进的基础上，引进硕士研究生及以上的高学历医学人才、市级重点专科的学科带头人、博士工作站、国家级专家学者等。全面建设基层全科医生队伍，在医共体内，县级医院按照新进临床医生的2%安排到乡镇卫生院工作2年，将绩效考核、职称评级与基层服务经历和效果挂钩，乡镇卫生院根据辖区村卫生室缺额情况招聘专科及以上的医学生，安排到村卫生室工作。以订单定向生为依托，为乡镇卫生院引进全日制本科生15人，引进专科生100名；依托基层属地化医学生引进项目和急需紧缺人才考核招聘项目，为基层卫生院考核引进属地化医学生20名，急需紧缺实用人才80名。</w:t>
      </w:r>
      <w:r>
        <w:rPr>
          <w:rFonts w:ascii="Times New Roman" w:hAnsi="Times New Roman" w:eastAsia="方正仿宋_GBK" w:cs="Times New Roman"/>
          <w:b w:val="0"/>
          <w:bCs w:val="0"/>
          <w:sz w:val="32"/>
          <w:szCs w:val="32"/>
        </w:rPr>
        <w:br w:type="textWrapping"/>
      </w:r>
      <w:r>
        <w:rPr>
          <w:rFonts w:ascii="Times New Roman" w:hAnsi="Times New Roman" w:eastAsia="方正仿宋_GBK" w:cs="Times New Roman"/>
          <w:b w:val="0"/>
          <w:bCs w:val="0"/>
          <w:sz w:val="32"/>
          <w:szCs w:val="32"/>
        </w:rPr>
        <w:t xml:space="preserve">    37.</w:t>
      </w:r>
      <w:r>
        <w:rPr>
          <w:rFonts w:hint="eastAsia" w:ascii="Times New Roman" w:hAnsi="Times New Roman" w:eastAsia="方正仿宋_GBK" w:cs="Times New Roman"/>
          <w:b w:val="0"/>
          <w:bCs w:val="0"/>
          <w:sz w:val="32"/>
          <w:szCs w:val="32"/>
          <w:lang w:val="en-US" w:eastAsia="zh-CN"/>
        </w:rPr>
        <w:t xml:space="preserve"> </w:t>
      </w:r>
      <w:r>
        <w:rPr>
          <w:rFonts w:ascii="Times New Roman" w:hAnsi="Times New Roman" w:eastAsia="方正仿宋_GBK" w:cs="Times New Roman"/>
          <w:b w:val="0"/>
          <w:bCs w:val="0"/>
          <w:sz w:val="32"/>
          <w:szCs w:val="32"/>
        </w:rPr>
        <w:t>完善人才培养体系。大力培养和集聚高端医学人才，加强短缺领域和基层人才建设，打造一批在市内领先的医学领航人才梯队。县级医院以学科团队建设和业务骨干医师建设为重点，开展团队式进修学习，根据医院学科建设规划，每年至少安排一个团队到国内相关领域领先水平的三甲医院进修学习。从薪酬、培训等方面出台政策，打造一支高水平高质量高素质的骨干医师队伍。实施优秀医学青年攀登计划，遴选20名中青年医学骨干，力争培养市级人才1</w:t>
      </w:r>
      <w:r>
        <w:rPr>
          <w:rFonts w:hint="eastAsia" w:ascii="Times New Roman" w:hAnsi="Times New Roman" w:eastAsia="方正仿宋_GBK" w:cs="Times New Roman"/>
          <w:b w:val="0"/>
          <w:bCs w:val="0"/>
          <w:sz w:val="32"/>
          <w:szCs w:val="32"/>
          <w:lang w:eastAsia="zh-CN"/>
        </w:rPr>
        <w:t>—</w:t>
      </w:r>
      <w:r>
        <w:rPr>
          <w:rFonts w:ascii="Times New Roman" w:hAnsi="Times New Roman" w:eastAsia="方正仿宋_GBK" w:cs="Times New Roman"/>
          <w:b w:val="0"/>
          <w:bCs w:val="0"/>
          <w:sz w:val="32"/>
          <w:szCs w:val="32"/>
        </w:rPr>
        <w:t>2 名。依托区县医学头雁人才培养项目，实施县级医疗卫生学术技术带头人培养计划，遴选20名骨干人才进行培养。实施护理人才培养项目。加快建立临床药师工作制度，二级及以上医疗机构实现药学专业技术人员不少于本机构卫生专业技术人员总数的8%。加强管理人才培养，遴选20名基层医疗卫生管理人员进行培训。探索建立万开云医学人才协同发展机制。</w:t>
      </w:r>
      <w:r>
        <w:rPr>
          <w:rFonts w:ascii="Times New Roman" w:hAnsi="Times New Roman" w:eastAsia="方正仿宋_GBK" w:cs="Times New Roman"/>
          <w:b w:val="0"/>
          <w:bCs w:val="0"/>
          <w:sz w:val="32"/>
          <w:szCs w:val="32"/>
        </w:rPr>
        <w:br w:type="textWrapping"/>
      </w:r>
      <w:r>
        <w:rPr>
          <w:rFonts w:ascii="Times New Roman" w:hAnsi="Times New Roman" w:eastAsia="方正仿宋_GBK" w:cs="Times New Roman"/>
          <w:b w:val="0"/>
          <w:bCs w:val="0"/>
          <w:sz w:val="32"/>
          <w:szCs w:val="32"/>
        </w:rPr>
        <w:t xml:space="preserve">    38.</w:t>
      </w:r>
      <w:r>
        <w:rPr>
          <w:rFonts w:hint="eastAsia" w:ascii="Times New Roman" w:hAnsi="Times New Roman" w:eastAsia="方正仿宋_GBK" w:cs="Times New Roman"/>
          <w:b w:val="0"/>
          <w:bCs w:val="0"/>
          <w:sz w:val="32"/>
          <w:szCs w:val="32"/>
          <w:lang w:val="en-US" w:eastAsia="zh-CN"/>
        </w:rPr>
        <w:t xml:space="preserve"> </w:t>
      </w:r>
      <w:r>
        <w:rPr>
          <w:rFonts w:ascii="Times New Roman" w:hAnsi="Times New Roman" w:eastAsia="方正仿宋_GBK" w:cs="Times New Roman"/>
          <w:b w:val="0"/>
          <w:bCs w:val="0"/>
          <w:sz w:val="32"/>
          <w:szCs w:val="32"/>
        </w:rPr>
        <w:t>加强公共卫生人才引进。在云阳县高层次人才引进计划卫生领域内增设公共卫生人才专项，重点支持公共卫生人才引进，对引进硕士研究生及以上的公共卫生人才给予安家费补助，力</w:t>
      </w:r>
      <w:r>
        <w:rPr>
          <w:rFonts w:ascii="Times New Roman" w:hAnsi="Times New Roman" w:eastAsia="方正仿宋_GBK" w:cs="Times New Roman"/>
          <w:b w:val="0"/>
          <w:bCs w:val="0"/>
          <w:spacing w:val="-6"/>
          <w:sz w:val="32"/>
          <w:szCs w:val="32"/>
        </w:rPr>
        <w:t>争 5 年引进公共卫生相关领域硕士研究生及以上公共卫生人才3</w:t>
      </w:r>
      <w:r>
        <w:rPr>
          <w:rFonts w:hint="eastAsia" w:ascii="Times New Roman" w:hAnsi="Times New Roman" w:eastAsia="方正仿宋_GBK" w:cs="Times New Roman"/>
          <w:b w:val="0"/>
          <w:bCs w:val="0"/>
          <w:spacing w:val="-6"/>
          <w:sz w:val="32"/>
          <w:szCs w:val="32"/>
          <w:lang w:val="en-US" w:eastAsia="zh-CN"/>
        </w:rPr>
        <w:t>—</w:t>
      </w:r>
      <w:r>
        <w:rPr>
          <w:rFonts w:ascii="Times New Roman" w:hAnsi="Times New Roman" w:eastAsia="方正仿宋_GBK" w:cs="Times New Roman"/>
          <w:b w:val="0"/>
          <w:bCs w:val="0"/>
          <w:spacing w:val="-6"/>
          <w:sz w:val="32"/>
          <w:szCs w:val="32"/>
        </w:rPr>
        <w:t>5</w:t>
      </w:r>
      <w:r>
        <w:rPr>
          <w:rFonts w:ascii="Times New Roman" w:hAnsi="Times New Roman" w:eastAsia="方正仿宋_GBK" w:cs="Times New Roman"/>
          <w:b w:val="0"/>
          <w:bCs w:val="0"/>
          <w:sz w:val="32"/>
          <w:szCs w:val="32"/>
        </w:rPr>
        <w:t>名，实现硕士研究生及以上公共卫生人才零的突破。实施公共卫生人才引进专项，依托</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重庆英才大会</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、赴高校招聘等平台，开展公共卫生人才专场招聘，力争在5年之内引进公共卫生专业人才50名。造就一批妇幼学科带头人，加大妇幼保健机构人员编制保障和高端人才引进政策支持。</w:t>
      </w:r>
      <w:r>
        <w:rPr>
          <w:rFonts w:ascii="Times New Roman" w:hAnsi="Times New Roman" w:eastAsia="方正仿宋_GBK" w:cs="Times New Roman"/>
          <w:b w:val="0"/>
          <w:bCs w:val="0"/>
          <w:sz w:val="32"/>
          <w:szCs w:val="32"/>
        </w:rPr>
        <w:br w:type="textWrapping"/>
      </w:r>
      <w:r>
        <w:rPr>
          <w:rFonts w:ascii="Times New Roman" w:hAnsi="Times New Roman" w:eastAsia="方正仿宋_GBK" w:cs="Times New Roman"/>
          <w:b w:val="0"/>
          <w:bCs w:val="0"/>
          <w:sz w:val="32"/>
          <w:szCs w:val="32"/>
        </w:rPr>
        <w:t xml:space="preserve">    39.</w:t>
      </w:r>
      <w:r>
        <w:rPr>
          <w:rFonts w:hint="eastAsia" w:ascii="Times New Roman" w:hAnsi="Times New Roman" w:eastAsia="方正仿宋_GBK" w:cs="Times New Roman"/>
          <w:b w:val="0"/>
          <w:bCs w:val="0"/>
          <w:sz w:val="32"/>
          <w:szCs w:val="32"/>
          <w:lang w:val="en-US" w:eastAsia="zh-CN"/>
        </w:rPr>
        <w:t xml:space="preserve"> </w:t>
      </w:r>
      <w:r>
        <w:rPr>
          <w:rFonts w:ascii="Times New Roman" w:hAnsi="Times New Roman" w:eastAsia="方正仿宋_GBK" w:cs="Times New Roman"/>
          <w:b w:val="0"/>
          <w:bCs w:val="0"/>
          <w:sz w:val="32"/>
          <w:szCs w:val="32"/>
        </w:rPr>
        <w:t>加强基层</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守门人才</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培养。面向基层医疗卫生机构遴选20</w:t>
      </w:r>
      <w:r>
        <w:rPr>
          <w:rFonts w:hint="eastAsia" w:ascii="Times New Roman" w:hAnsi="Times New Roman" w:eastAsia="方正仿宋_GBK" w:cs="Times New Roman"/>
          <w:b w:val="0"/>
          <w:bCs w:val="0"/>
          <w:sz w:val="32"/>
          <w:szCs w:val="32"/>
          <w:lang w:eastAsia="zh-CN"/>
        </w:rPr>
        <w:t>—</w:t>
      </w:r>
      <w:r>
        <w:rPr>
          <w:rFonts w:ascii="Times New Roman" w:hAnsi="Times New Roman" w:eastAsia="方正仿宋_GBK" w:cs="Times New Roman"/>
          <w:b w:val="0"/>
          <w:bCs w:val="0"/>
          <w:sz w:val="32"/>
          <w:szCs w:val="32"/>
        </w:rPr>
        <w:t>30名优秀人才进行培养。培养基层业务骨干500名、基层管理骨干300名。继续开展乡村医生全覆盖轮训，提升技术能力，解决能力不足的问题，乡村医生具备执业（助理）医师资格占比达到30%。重新构建基层人才教育培训体系，根据市级继续教育培训项目，统筹设置全年的继教培训，每季度指定县级医院安排不同科目内容教育培训，各基层医疗卫生单位根据所需派员参加培训。</w:t>
      </w:r>
    </w:p>
    <w:tbl>
      <w:tblPr>
        <w:tblStyle w:val="9"/>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566B7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8522" w:type="dxa"/>
            <w:noWrap w:val="0"/>
            <w:vAlign w:val="top"/>
          </w:tcPr>
          <w:p w14:paraId="15184723">
            <w:pPr>
              <w:spacing w:line="560" w:lineRule="exact"/>
              <w:jc w:val="center"/>
              <w:rPr>
                <w:rFonts w:ascii="Times New Roman" w:hAnsi="Times New Roman" w:eastAsia="方正黑体_GBK" w:cs="Times New Roman"/>
                <w:b w:val="0"/>
                <w:bCs w:val="0"/>
                <w:sz w:val="24"/>
                <w:szCs w:val="24"/>
              </w:rPr>
            </w:pPr>
            <w:r>
              <w:rPr>
                <w:rFonts w:hint="eastAsia" w:ascii="方正黑体_GBK" w:hAnsi="方正黑体_GBK" w:eastAsia="方正黑体_GBK" w:cs="方正黑体_GBK"/>
                <w:b w:val="0"/>
                <w:bCs w:val="0"/>
                <w:kern w:val="0"/>
                <w:sz w:val="28"/>
                <w:szCs w:val="28"/>
              </w:rPr>
              <w:t>专栏8  人才引进培养</w:t>
            </w:r>
          </w:p>
        </w:tc>
      </w:tr>
      <w:tr w14:paraId="69E3B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5" w:hRule="atLeast"/>
          <w:jc w:val="center"/>
        </w:trPr>
        <w:tc>
          <w:tcPr>
            <w:tcW w:w="8522" w:type="dxa"/>
            <w:noWrap w:val="0"/>
            <w:vAlign w:val="top"/>
          </w:tcPr>
          <w:p w14:paraId="198CC315">
            <w:pPr>
              <w:spacing w:line="440" w:lineRule="exact"/>
              <w:ind w:firstLine="480" w:firstLineChars="200"/>
              <w:rPr>
                <w:rFonts w:ascii="Times New Roman" w:hAnsi="Times New Roman" w:eastAsia="方正仿宋_GBK" w:cs="Times New Roman"/>
                <w:b w:val="0"/>
                <w:bCs w:val="0"/>
                <w:sz w:val="24"/>
                <w:szCs w:val="24"/>
              </w:rPr>
            </w:pPr>
            <w:r>
              <w:rPr>
                <w:rFonts w:ascii="Times New Roman" w:hAnsi="Times New Roman" w:eastAsia="方正仿宋_GBK" w:cs="Times New Roman"/>
                <w:b w:val="0"/>
                <w:bCs w:val="0"/>
                <w:sz w:val="24"/>
                <w:szCs w:val="24"/>
              </w:rPr>
              <w:t>人才引进。</w:t>
            </w:r>
            <w:r>
              <w:rPr>
                <w:rFonts w:hint="eastAsia" w:ascii="Times New Roman" w:hAnsi="Times New Roman" w:eastAsia="方正仿宋_GBK" w:cs="Times New Roman"/>
                <w:b w:val="0"/>
                <w:bCs w:val="0"/>
                <w:sz w:val="24"/>
                <w:szCs w:val="24"/>
                <w:lang w:eastAsia="zh-CN"/>
              </w:rPr>
              <w:t>“</w:t>
            </w:r>
            <w:r>
              <w:rPr>
                <w:rFonts w:ascii="Times New Roman" w:hAnsi="Times New Roman" w:eastAsia="方正仿宋_GBK" w:cs="Times New Roman"/>
                <w:b w:val="0"/>
                <w:bCs w:val="0"/>
                <w:sz w:val="24"/>
                <w:szCs w:val="24"/>
              </w:rPr>
              <w:t>十四五</w:t>
            </w:r>
            <w:r>
              <w:rPr>
                <w:rFonts w:hint="eastAsia" w:ascii="Times New Roman" w:hAnsi="Times New Roman" w:eastAsia="方正仿宋_GBK" w:cs="Times New Roman"/>
                <w:b w:val="0"/>
                <w:bCs w:val="0"/>
                <w:sz w:val="24"/>
                <w:szCs w:val="24"/>
                <w:lang w:eastAsia="zh-CN"/>
              </w:rPr>
              <w:t>”</w:t>
            </w:r>
            <w:r>
              <w:rPr>
                <w:rFonts w:ascii="Times New Roman" w:hAnsi="Times New Roman" w:eastAsia="方正仿宋_GBK" w:cs="Times New Roman"/>
                <w:b w:val="0"/>
                <w:bCs w:val="0"/>
                <w:sz w:val="24"/>
                <w:szCs w:val="24"/>
              </w:rPr>
              <w:t>期间，县级公立医院力争再引进研究生20名，专家工作站2个，柔性引进一批市级重点专科学科带头人。基层医疗卫生机构引进全日制本科生15人，引进专科生100名，到2025年底，每个乡镇卫生院和社区卫生服务中心至少配备1名全科医生，每万城乡居民全科医生达到3.5人。力争引进公共卫生相关领域卫生人才50名，其中硕士研究生及以上公共卫生人才3</w:t>
            </w:r>
            <w:r>
              <w:rPr>
                <w:rFonts w:hint="eastAsia" w:ascii="Times New Roman" w:hAnsi="Times New Roman" w:eastAsia="方正仿宋_GBK" w:cs="Times New Roman"/>
                <w:b w:val="0"/>
                <w:bCs w:val="0"/>
                <w:sz w:val="24"/>
                <w:szCs w:val="24"/>
                <w:lang w:eastAsia="zh-CN"/>
              </w:rPr>
              <w:t>—</w:t>
            </w:r>
            <w:r>
              <w:rPr>
                <w:rFonts w:ascii="Times New Roman" w:hAnsi="Times New Roman" w:eastAsia="方正仿宋_GBK" w:cs="Times New Roman"/>
                <w:b w:val="0"/>
                <w:bCs w:val="0"/>
                <w:sz w:val="24"/>
                <w:szCs w:val="24"/>
              </w:rPr>
              <w:t>5名。</w:t>
            </w:r>
          </w:p>
          <w:p w14:paraId="34FD3814">
            <w:pPr>
              <w:spacing w:line="440" w:lineRule="exact"/>
              <w:ind w:firstLine="480" w:firstLineChars="200"/>
              <w:rPr>
                <w:rFonts w:ascii="Times New Roman" w:hAnsi="Times New Roman" w:eastAsia="方正仿宋_GBK" w:cs="Times New Roman"/>
                <w:b w:val="0"/>
                <w:bCs w:val="0"/>
                <w:sz w:val="24"/>
                <w:szCs w:val="24"/>
              </w:rPr>
            </w:pPr>
            <w:r>
              <w:rPr>
                <w:rFonts w:ascii="Times New Roman" w:hAnsi="Times New Roman" w:eastAsia="方正仿宋_GBK" w:cs="Times New Roman"/>
                <w:b w:val="0"/>
                <w:bCs w:val="0"/>
                <w:sz w:val="24"/>
                <w:szCs w:val="24"/>
              </w:rPr>
              <w:t>人才培养。实施优秀医学青年攀登计划，遴选20名中青年医学骨干，力争培养市级人才1</w:t>
            </w:r>
            <w:r>
              <w:rPr>
                <w:rFonts w:hint="eastAsia" w:ascii="Times New Roman" w:hAnsi="Times New Roman" w:eastAsia="方正仿宋_GBK" w:cs="Times New Roman"/>
                <w:b w:val="0"/>
                <w:bCs w:val="0"/>
                <w:sz w:val="24"/>
                <w:szCs w:val="24"/>
                <w:lang w:eastAsia="zh-CN"/>
              </w:rPr>
              <w:t>—</w:t>
            </w:r>
            <w:r>
              <w:rPr>
                <w:rFonts w:ascii="Times New Roman" w:hAnsi="Times New Roman" w:eastAsia="方正仿宋_GBK" w:cs="Times New Roman"/>
                <w:b w:val="0"/>
                <w:bCs w:val="0"/>
                <w:sz w:val="24"/>
                <w:szCs w:val="24"/>
              </w:rPr>
              <w:t>2名。实施县级医疗卫生学术技术带头人培养计划，遴选20名骨干人才进行培养。培养基层医疗卫生机构基层优秀人才20</w:t>
            </w:r>
            <w:r>
              <w:rPr>
                <w:rFonts w:hint="eastAsia" w:ascii="Times New Roman" w:hAnsi="Times New Roman" w:eastAsia="方正仿宋_GBK" w:cs="Times New Roman"/>
                <w:b w:val="0"/>
                <w:bCs w:val="0"/>
                <w:sz w:val="24"/>
                <w:szCs w:val="24"/>
                <w:lang w:eastAsia="zh-CN"/>
              </w:rPr>
              <w:t>—</w:t>
            </w:r>
            <w:r>
              <w:rPr>
                <w:rFonts w:ascii="Times New Roman" w:hAnsi="Times New Roman" w:eastAsia="方正仿宋_GBK" w:cs="Times New Roman"/>
                <w:b w:val="0"/>
                <w:bCs w:val="0"/>
                <w:sz w:val="24"/>
                <w:szCs w:val="24"/>
              </w:rPr>
              <w:t>30名，培养基层业务骨干500名、基层管理骨干300名。</w:t>
            </w:r>
          </w:p>
        </w:tc>
      </w:tr>
    </w:tbl>
    <w:p w14:paraId="219902B3">
      <w:pPr>
        <w:spacing w:line="560" w:lineRule="exact"/>
        <w:ind w:firstLine="640" w:firstLineChars="200"/>
        <w:rPr>
          <w:rFonts w:ascii="Times New Roman" w:hAnsi="Times New Roman" w:eastAsia="方正楷体_GBK" w:cs="方正楷体_GBK"/>
          <w:b w:val="0"/>
          <w:bCs w:val="0"/>
          <w:sz w:val="32"/>
          <w:szCs w:val="32"/>
        </w:rPr>
      </w:pPr>
      <w:bookmarkStart w:id="54" w:name="_Toc13632_WPSOffice_Level2"/>
      <w:bookmarkStart w:id="55" w:name="_Toc397"/>
      <w:r>
        <w:rPr>
          <w:rFonts w:hint="eastAsia" w:ascii="Times New Roman" w:hAnsi="Times New Roman" w:eastAsia="方正楷体_GBK" w:cs="方正楷体_GBK"/>
          <w:b w:val="0"/>
          <w:bCs w:val="0"/>
          <w:sz w:val="32"/>
          <w:szCs w:val="32"/>
        </w:rPr>
        <w:t>（十二）加强万开云卫生健康联动协作</w:t>
      </w:r>
      <w:bookmarkEnd w:id="54"/>
    </w:p>
    <w:p w14:paraId="07607E51">
      <w:pPr>
        <w:spacing w:line="560" w:lineRule="exact"/>
        <w:ind w:firstLine="640" w:firstLineChars="200"/>
        <w:rPr>
          <w:rFonts w:ascii="Times New Roman" w:hAnsi="Times New Roman" w:eastAsia="方正仿宋_GBK" w:cs="Times New Roman"/>
          <w:b w:val="0"/>
          <w:bCs w:val="0"/>
          <w:sz w:val="32"/>
          <w:szCs w:val="32"/>
        </w:rPr>
      </w:pPr>
      <w:r>
        <w:rPr>
          <w:rFonts w:ascii="Times New Roman" w:hAnsi="Times New Roman" w:eastAsia="方正仿宋_GBK" w:cs="Times New Roman"/>
          <w:b w:val="0"/>
          <w:bCs w:val="0"/>
          <w:sz w:val="32"/>
          <w:szCs w:val="32"/>
        </w:rPr>
        <w:t>40.</w:t>
      </w:r>
      <w:r>
        <w:rPr>
          <w:rFonts w:hint="eastAsia" w:ascii="Times New Roman" w:hAnsi="Times New Roman" w:eastAsia="方正仿宋_GBK" w:cs="Times New Roman"/>
          <w:b w:val="0"/>
          <w:bCs w:val="0"/>
          <w:sz w:val="32"/>
          <w:szCs w:val="32"/>
          <w:lang w:val="en-US" w:eastAsia="zh-CN"/>
        </w:rPr>
        <w:t xml:space="preserve"> </w:t>
      </w:r>
      <w:r>
        <w:rPr>
          <w:rFonts w:ascii="Times New Roman" w:hAnsi="Times New Roman" w:eastAsia="方正仿宋_GBK" w:cs="Times New Roman"/>
          <w:b w:val="0"/>
          <w:bCs w:val="0"/>
          <w:sz w:val="32"/>
          <w:szCs w:val="32"/>
        </w:rPr>
        <w:t>立足万开云同城化发展，错位打造中医、中药、心血管、肿瘤、慢病管理等重点学科、特色专科，全面提高县级医院综合能力，建设渝东北中医医学中心和渝东北肿瘤防治中心。加强县级医院与重庆三峡医药高等专科学校的合作交流，建设重庆三峡医药高等专科学校直属附属医院。加强医疗卫生合作，加快三地互通的智慧医疗系统建设，搭建信息共享、远程协作、协同转诊等应用服务平台，探索建立区域分级诊疗、检验结果互认等合作机制。规范发展医疗联合体，推动医疗机构合作，推进远程会诊应用，组建区域医学会、中医学会等学术联络研讨平台，探索医院领导、骨干医生跨区域任职、挂职。探索建立跨区域基本公共卫生服务、家庭医生签约服务交流机制和基层医务人员培训机制。加强公共卫生风险防控体系建设，建立区域突发公共卫生事件联防联控机制。</w:t>
      </w:r>
    </w:p>
    <w:p w14:paraId="40E25B0E">
      <w:pPr>
        <w:keepNext/>
        <w:keepLines/>
        <w:widowControl w:val="0"/>
        <w:spacing w:before="0" w:after="0" w:line="560" w:lineRule="exact"/>
        <w:ind w:firstLine="640" w:firstLineChars="200"/>
        <w:jc w:val="both"/>
        <w:outlineLvl w:val="1"/>
        <w:rPr>
          <w:rFonts w:ascii="Times New Roman" w:hAnsi="Times New Roman" w:eastAsia="方正黑体_GBK" w:cs="Times New Roman"/>
          <w:b w:val="0"/>
          <w:bCs w:val="0"/>
          <w:kern w:val="44"/>
          <w:sz w:val="32"/>
          <w:szCs w:val="32"/>
          <w:lang w:val="en-US" w:eastAsia="zh-CN" w:bidi="ar-SA"/>
        </w:rPr>
      </w:pPr>
      <w:bookmarkStart w:id="56" w:name="_Toc3498_WPSOffice_Level1"/>
      <w:r>
        <w:rPr>
          <w:rFonts w:ascii="Times New Roman" w:hAnsi="Times New Roman" w:eastAsia="方正黑体_GBK" w:cs="Times New Roman"/>
          <w:b w:val="0"/>
          <w:bCs w:val="0"/>
          <w:kern w:val="44"/>
          <w:sz w:val="32"/>
          <w:szCs w:val="32"/>
          <w:lang w:val="en-US" w:eastAsia="zh-CN" w:bidi="ar-SA"/>
        </w:rPr>
        <w:t>四、保障措施</w:t>
      </w:r>
      <w:bookmarkEnd w:id="52"/>
      <w:bookmarkEnd w:id="55"/>
      <w:bookmarkEnd w:id="56"/>
    </w:p>
    <w:p w14:paraId="79BF6497">
      <w:pPr>
        <w:keepNext/>
        <w:keepLines/>
        <w:widowControl w:val="0"/>
        <w:spacing w:before="0" w:after="0" w:line="560" w:lineRule="exact"/>
        <w:ind w:firstLine="640" w:firstLineChars="200"/>
        <w:jc w:val="both"/>
        <w:outlineLvl w:val="1"/>
        <w:rPr>
          <w:rFonts w:ascii="Times New Roman" w:hAnsi="Times New Roman" w:eastAsia="方正楷体_GBK" w:cs="方正楷体_GBK"/>
          <w:b w:val="0"/>
          <w:bCs w:val="0"/>
          <w:kern w:val="2"/>
          <w:sz w:val="32"/>
          <w:szCs w:val="32"/>
          <w:lang w:val="en-US" w:eastAsia="zh-CN" w:bidi="ar-SA"/>
        </w:rPr>
      </w:pPr>
      <w:bookmarkStart w:id="57" w:name="_Toc10807"/>
      <w:bookmarkStart w:id="58" w:name="_Toc17734_WPSOffice_Level2"/>
      <w:bookmarkStart w:id="59" w:name="_Toc56418089"/>
      <w:r>
        <w:rPr>
          <w:rFonts w:hint="eastAsia" w:ascii="Times New Roman" w:hAnsi="Times New Roman" w:eastAsia="方正楷体_GBK" w:cs="方正楷体_GBK"/>
          <w:b w:val="0"/>
          <w:bCs w:val="0"/>
          <w:kern w:val="2"/>
          <w:sz w:val="32"/>
          <w:szCs w:val="32"/>
          <w:lang w:val="en-US" w:eastAsia="zh-CN" w:bidi="ar-SA"/>
        </w:rPr>
        <w:t>（一）强化组织领导</w:t>
      </w:r>
      <w:bookmarkEnd w:id="57"/>
      <w:bookmarkEnd w:id="58"/>
      <w:bookmarkEnd w:id="59"/>
    </w:p>
    <w:p w14:paraId="700B1C2D">
      <w:pPr>
        <w:spacing w:line="560" w:lineRule="exact"/>
        <w:ind w:firstLine="640" w:firstLineChars="200"/>
        <w:rPr>
          <w:rFonts w:ascii="Times New Roman" w:hAnsi="Times New Roman" w:eastAsia="方正仿宋_GBK" w:cs="Times New Roman"/>
          <w:b w:val="0"/>
          <w:bCs w:val="0"/>
          <w:sz w:val="32"/>
          <w:szCs w:val="32"/>
        </w:rPr>
      </w:pPr>
      <w:r>
        <w:rPr>
          <w:rFonts w:ascii="Times New Roman" w:hAnsi="Times New Roman" w:eastAsia="方正仿宋_GBK" w:cs="Times New Roman"/>
          <w:b w:val="0"/>
          <w:bCs w:val="0"/>
          <w:sz w:val="32"/>
          <w:szCs w:val="32"/>
        </w:rPr>
        <w:t>从推进成渝地区卫生健康一体化发展、万开云同城化发展的高度，进一步提高认识，加强领导，将卫生健康事业发展列入全县经济社会发展规划。对主要指标设置年度目标，明确职责，认真组织落实，有序推进各项重点任务完成。各有关部门要各负其责、密切配合、形成合力，县卫生健康委要建立工作目标责任制，强化规划落实，切实维护规划的权威性和严肃性。</w:t>
      </w:r>
    </w:p>
    <w:p w14:paraId="41C321C8">
      <w:pPr>
        <w:keepNext/>
        <w:keepLines/>
        <w:widowControl w:val="0"/>
        <w:spacing w:before="0" w:after="0" w:line="560" w:lineRule="exact"/>
        <w:ind w:firstLine="640" w:firstLineChars="200"/>
        <w:jc w:val="both"/>
        <w:outlineLvl w:val="1"/>
        <w:rPr>
          <w:rFonts w:ascii="Times New Roman" w:hAnsi="Times New Roman" w:eastAsia="方正楷体_GBK" w:cs="方正楷体_GBK"/>
          <w:b w:val="0"/>
          <w:bCs w:val="0"/>
          <w:kern w:val="2"/>
          <w:sz w:val="32"/>
          <w:szCs w:val="32"/>
          <w:lang w:val="en-US" w:eastAsia="zh-CN" w:bidi="ar-SA"/>
        </w:rPr>
      </w:pPr>
      <w:bookmarkStart w:id="60" w:name="_Toc31028"/>
      <w:bookmarkStart w:id="61" w:name="_Toc30309_WPSOffice_Level2"/>
      <w:bookmarkStart w:id="62" w:name="_Toc56418090"/>
      <w:r>
        <w:rPr>
          <w:rFonts w:hint="eastAsia" w:ascii="Times New Roman" w:hAnsi="Times New Roman" w:eastAsia="方正楷体_GBK" w:cs="方正楷体_GBK"/>
          <w:b w:val="0"/>
          <w:bCs w:val="0"/>
          <w:kern w:val="2"/>
          <w:sz w:val="32"/>
          <w:szCs w:val="32"/>
          <w:lang w:val="en-US" w:eastAsia="zh-CN" w:bidi="ar-SA"/>
        </w:rPr>
        <w:t>（二）完善配套保障政策</w:t>
      </w:r>
      <w:bookmarkEnd w:id="60"/>
      <w:bookmarkEnd w:id="61"/>
      <w:bookmarkEnd w:id="62"/>
    </w:p>
    <w:p w14:paraId="192F2C33">
      <w:pPr>
        <w:spacing w:line="560" w:lineRule="exact"/>
        <w:ind w:firstLine="640" w:firstLineChars="200"/>
        <w:rPr>
          <w:rFonts w:ascii="Times New Roman" w:hAnsi="Times New Roman" w:eastAsia="方正仿宋_GBK" w:cs="Times New Roman"/>
          <w:b w:val="0"/>
          <w:bCs w:val="0"/>
          <w:sz w:val="32"/>
          <w:szCs w:val="32"/>
        </w:rPr>
      </w:pPr>
      <w:r>
        <w:rPr>
          <w:rFonts w:ascii="Times New Roman" w:hAnsi="Times New Roman" w:eastAsia="方正仿宋_GBK" w:cs="Times New Roman"/>
          <w:b w:val="0"/>
          <w:bCs w:val="0"/>
          <w:sz w:val="32"/>
          <w:szCs w:val="32"/>
        </w:rPr>
        <w:t>完善政府主导的多元化卫生健康筹资机制，强化政府对卫生健康基本公共服务的投入责任，建立稳定的公共卫生事业投入机制，引导社会资金参与发展卫生健康事业。政府要落实好各项卫生健康投入政策，建立适应医药卫生体制改革的投入机制，保障卫生健康改革发展顺利推进。合理确定政府投入责任，进一步强化政府在提供基本医疗、公共卫生、计生惠民等服务中的主导地位，加大政府卫生健康事业投入力度。完善各类公立和公益性医疗卫生健康机构的财政补偿政策，健全政府购买卫生健康服务的机制。调整和完善政府卫生投入结构，重点支持基层卫生、公共卫生、基本医疗保障等，切实加强卫生健康基础设施建设、卫生健康科技创新和卫生健康人才培养等工作。</w:t>
      </w:r>
    </w:p>
    <w:p w14:paraId="4F539EEA">
      <w:pPr>
        <w:keepNext/>
        <w:keepLines/>
        <w:widowControl w:val="0"/>
        <w:spacing w:before="0" w:after="0" w:line="520" w:lineRule="exact"/>
        <w:ind w:firstLine="640" w:firstLineChars="200"/>
        <w:jc w:val="both"/>
        <w:outlineLvl w:val="1"/>
        <w:rPr>
          <w:rFonts w:ascii="Times New Roman" w:hAnsi="Times New Roman" w:eastAsia="方正楷体_GBK" w:cs="方正楷体_GBK"/>
          <w:b w:val="0"/>
          <w:bCs w:val="0"/>
          <w:kern w:val="2"/>
          <w:sz w:val="32"/>
          <w:szCs w:val="32"/>
          <w:lang w:val="en-US" w:eastAsia="zh-CN" w:bidi="ar-SA"/>
        </w:rPr>
      </w:pPr>
      <w:bookmarkStart w:id="63" w:name="_Toc17855"/>
      <w:bookmarkStart w:id="64" w:name="_Toc56418091"/>
      <w:bookmarkStart w:id="65" w:name="_Toc20642_WPSOffice_Level2"/>
      <w:r>
        <w:rPr>
          <w:rFonts w:hint="eastAsia" w:ascii="Times New Roman" w:hAnsi="Times New Roman" w:eastAsia="方正楷体_GBK" w:cs="方正楷体_GBK"/>
          <w:b w:val="0"/>
          <w:bCs w:val="0"/>
          <w:kern w:val="2"/>
          <w:sz w:val="32"/>
          <w:szCs w:val="32"/>
          <w:lang w:val="en-US" w:eastAsia="zh-CN" w:bidi="ar-SA"/>
        </w:rPr>
        <w:t>（三）营造良好发展环境</w:t>
      </w:r>
      <w:bookmarkEnd w:id="63"/>
      <w:bookmarkEnd w:id="64"/>
      <w:bookmarkEnd w:id="65"/>
    </w:p>
    <w:p w14:paraId="4D7141A7">
      <w:pPr>
        <w:spacing w:line="520" w:lineRule="exact"/>
        <w:ind w:firstLine="640" w:firstLineChars="200"/>
        <w:rPr>
          <w:rFonts w:ascii="Times New Roman" w:hAnsi="Times New Roman" w:eastAsia="方正仿宋_GBK" w:cs="Times New Roman"/>
          <w:b w:val="0"/>
          <w:bCs w:val="0"/>
          <w:sz w:val="32"/>
          <w:szCs w:val="32"/>
        </w:rPr>
      </w:pPr>
      <w:r>
        <w:rPr>
          <w:rFonts w:ascii="Times New Roman" w:hAnsi="Times New Roman" w:eastAsia="方正仿宋_GBK" w:cs="Times New Roman"/>
          <w:b w:val="0"/>
          <w:bCs w:val="0"/>
          <w:sz w:val="32"/>
          <w:szCs w:val="32"/>
        </w:rPr>
        <w:t>加强党的全面领导，加强行风建设，完善重大案件问责、违规事件通报、不良执业行为记录等制度。弘扬和践行社会主义核心价值观，强化医德医风建设和行业自律，规范诊疗服务行为。加强行业信用制度建设，完善行风评议和患者就医体验满意度第三方评价机制。加强宣传引导，提高居民科学就医意识和能力，引导公众合理利用医疗卫生资源。从提升薪酬待遇、发展空间、执业环境、社会地位等方面入手，关心爱护医务人员身心健康，通过多种形式增强医务人员职业荣誉感，营造全社会尊医重卫的良好风气。严厉依法打击涉医违法犯罪行为特别是伤害医务人员的暴力犯罪行为，保护医务人员安全。全面推进</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三调解一保险</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（院内调解、人民调解、司法调解、医疗责任险）机制建设，妥善化解医疗纠纷，构建和谐医患关系。</w:t>
      </w:r>
    </w:p>
    <w:p w14:paraId="0090E51C">
      <w:pPr>
        <w:keepNext/>
        <w:keepLines/>
        <w:widowControl w:val="0"/>
        <w:spacing w:before="0" w:after="0" w:line="520" w:lineRule="exact"/>
        <w:ind w:firstLine="640" w:firstLineChars="200"/>
        <w:jc w:val="both"/>
        <w:outlineLvl w:val="1"/>
        <w:rPr>
          <w:rFonts w:ascii="Times New Roman" w:hAnsi="Times New Roman" w:eastAsia="方正楷体_GBK" w:cs="方正楷体_GBK"/>
          <w:b w:val="0"/>
          <w:bCs w:val="0"/>
          <w:kern w:val="2"/>
          <w:sz w:val="32"/>
          <w:szCs w:val="32"/>
          <w:lang w:val="en-US" w:eastAsia="zh-CN" w:bidi="ar-SA"/>
        </w:rPr>
      </w:pPr>
      <w:bookmarkStart w:id="66" w:name="_Toc56418092"/>
      <w:bookmarkStart w:id="67" w:name="_Toc1426_WPSOffice_Level2"/>
      <w:bookmarkStart w:id="68" w:name="_Toc13900"/>
      <w:r>
        <w:rPr>
          <w:rFonts w:hint="eastAsia" w:ascii="Times New Roman" w:hAnsi="Times New Roman" w:eastAsia="方正楷体_GBK" w:cs="方正楷体_GBK"/>
          <w:b w:val="0"/>
          <w:bCs w:val="0"/>
          <w:kern w:val="2"/>
          <w:sz w:val="32"/>
          <w:szCs w:val="32"/>
          <w:lang w:val="en-US" w:eastAsia="zh-CN" w:bidi="ar-SA"/>
        </w:rPr>
        <w:t>（四）加强监测评估</w:t>
      </w:r>
      <w:bookmarkEnd w:id="66"/>
      <w:bookmarkEnd w:id="67"/>
      <w:bookmarkEnd w:id="68"/>
    </w:p>
    <w:p w14:paraId="70BF921A">
      <w:pPr>
        <w:spacing w:line="520" w:lineRule="exact"/>
        <w:ind w:firstLine="640" w:firstLineChars="200"/>
        <w:rPr>
          <w:rFonts w:ascii="Times New Roman" w:hAnsi="Times New Roman" w:eastAsia="方正仿宋_GBK" w:cs="Times New Roman"/>
          <w:b w:val="0"/>
          <w:bCs w:val="0"/>
          <w:sz w:val="32"/>
          <w:szCs w:val="32"/>
        </w:rPr>
      </w:pPr>
      <w:r>
        <w:rPr>
          <w:rFonts w:ascii="Times New Roman" w:hAnsi="Times New Roman" w:eastAsia="方正仿宋_GBK" w:cs="Times New Roman"/>
          <w:b w:val="0"/>
          <w:bCs w:val="0"/>
          <w:sz w:val="32"/>
          <w:szCs w:val="32"/>
        </w:rPr>
        <w:t>完善规划监测评估机制，定期对规划实施进度及效果开展全面评估。监督重大项目的执行情况。完善规划中期、终期评估制度，对监测评估中发现的问题，加强督导和纠偏，认真研究解决办法，确保规划目标的实现。充分发挥规划引领作用，在重大项目审批、医疗卫生要素准入等方面严格管理，强化规划的约束力。规范项目准入与实施，建立</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规划带项目，项目带资金</w:t>
      </w:r>
      <w:r>
        <w:rPr>
          <w:rFonts w:hint="eastAsia" w:ascii="Times New Roman" w:hAnsi="Times New Roman" w:eastAsia="方正仿宋_GBK" w:cs="Times New Roman"/>
          <w:b w:val="0"/>
          <w:bCs w:val="0"/>
          <w:sz w:val="32"/>
          <w:szCs w:val="32"/>
        </w:rPr>
        <w:t>”</w:t>
      </w:r>
      <w:r>
        <w:rPr>
          <w:rFonts w:ascii="Times New Roman" w:hAnsi="Times New Roman" w:eastAsia="方正仿宋_GBK" w:cs="Times New Roman"/>
          <w:b w:val="0"/>
          <w:bCs w:val="0"/>
          <w:sz w:val="32"/>
          <w:szCs w:val="32"/>
        </w:rPr>
        <w:t>的管理机制，彰显规划刚性。建立规划实施情况动态评估机制，及时发现实施中的问题，研究解决对策。</w:t>
      </w:r>
    </w:p>
    <w:p w14:paraId="47EDE61B">
      <w:pPr>
        <w:widowControl w:val="0"/>
        <w:spacing w:after="120" w:line="520" w:lineRule="exact"/>
        <w:ind w:left="420" w:leftChars="200"/>
        <w:jc w:val="both"/>
        <w:rPr>
          <w:rFonts w:ascii="Times New Roman" w:hAnsi="Times New Roman" w:eastAsia="方正仿宋_GBK" w:cs="Times New Roman"/>
          <w:b w:val="0"/>
          <w:bCs w:val="0"/>
          <w:kern w:val="2"/>
          <w:sz w:val="32"/>
          <w:szCs w:val="32"/>
          <w:lang w:val="en-US" w:eastAsia="zh-CN" w:bidi="ar-SA"/>
        </w:rPr>
      </w:pPr>
    </w:p>
    <w:p w14:paraId="0644CD77">
      <w:pPr>
        <w:widowControl w:val="0"/>
        <w:spacing w:after="120" w:line="520" w:lineRule="exact"/>
        <w:ind w:left="0" w:leftChars="0" w:firstLine="640" w:firstLineChars="200"/>
        <w:jc w:val="both"/>
        <w:rPr>
          <w:rFonts w:ascii="Times New Roman" w:hAnsi="Times New Roman" w:eastAsia="方正仿宋_GBK" w:cs="方正仿宋_GBK"/>
          <w:b w:val="0"/>
          <w:bCs w:val="0"/>
          <w:sz w:val="32"/>
          <w:szCs w:val="32"/>
        </w:rPr>
        <w:sectPr>
          <w:footerReference r:id="rId3" w:type="default"/>
          <w:footerReference r:id="rId4" w:type="even"/>
          <w:pgSz w:w="11850" w:h="16783"/>
          <w:pgMar w:top="2098" w:right="1417" w:bottom="1984" w:left="1417" w:header="851" w:footer="1474" w:gutter="0"/>
          <w:pgBorders>
            <w:top w:val="none" w:sz="0" w:space="0"/>
            <w:left w:val="none" w:sz="0" w:space="0"/>
            <w:bottom w:val="none" w:sz="0" w:space="0"/>
            <w:right w:val="none" w:sz="0" w:space="0"/>
          </w:pgBorders>
          <w:pgNumType w:fmt="decimal" w:start="1"/>
          <w:cols w:space="720" w:num="1"/>
          <w:rtlGutter w:val="0"/>
          <w:docGrid w:type="lines" w:linePitch="312" w:charSpace="0"/>
        </w:sectPr>
      </w:pPr>
      <w:r>
        <w:rPr>
          <w:rFonts w:ascii="Times New Roman" w:hAnsi="Times New Roman" w:eastAsia="方正仿宋_GBK" w:cs="Times New Roman"/>
          <w:b w:val="0"/>
          <w:bCs w:val="0"/>
          <w:kern w:val="2"/>
          <w:sz w:val="32"/>
          <w:szCs w:val="32"/>
          <w:lang w:val="en-US" w:eastAsia="zh-CN" w:bidi="ar-SA"/>
        </w:rPr>
        <w:t>附件：云阳县卫生健康</w:t>
      </w:r>
      <w:r>
        <w:rPr>
          <w:rFonts w:hint="eastAsia" w:ascii="Times New Roman" w:hAnsi="Times New Roman" w:eastAsia="方正仿宋_GBK" w:cs="Times New Roman"/>
          <w:b w:val="0"/>
          <w:bCs w:val="0"/>
          <w:kern w:val="2"/>
          <w:sz w:val="32"/>
          <w:szCs w:val="32"/>
          <w:lang w:val="en-US" w:eastAsia="zh-CN" w:bidi="ar-SA"/>
        </w:rPr>
        <w:t>“</w:t>
      </w:r>
      <w:r>
        <w:rPr>
          <w:rFonts w:ascii="Times New Roman" w:hAnsi="Times New Roman" w:eastAsia="方正仿宋_GBK" w:cs="Times New Roman"/>
          <w:b w:val="0"/>
          <w:bCs w:val="0"/>
          <w:kern w:val="2"/>
          <w:sz w:val="32"/>
          <w:szCs w:val="32"/>
          <w:lang w:val="en-US" w:eastAsia="zh-CN" w:bidi="ar-SA"/>
        </w:rPr>
        <w:t>十四五</w:t>
      </w:r>
      <w:r>
        <w:rPr>
          <w:rFonts w:hint="eastAsia" w:ascii="Times New Roman" w:hAnsi="Times New Roman" w:eastAsia="方正仿宋_GBK" w:cs="Times New Roman"/>
          <w:b w:val="0"/>
          <w:bCs w:val="0"/>
          <w:kern w:val="2"/>
          <w:sz w:val="32"/>
          <w:szCs w:val="32"/>
          <w:lang w:val="en-US" w:eastAsia="zh-CN" w:bidi="ar-SA"/>
        </w:rPr>
        <w:t>”</w:t>
      </w:r>
      <w:r>
        <w:rPr>
          <w:rFonts w:ascii="Times New Roman" w:hAnsi="Times New Roman" w:eastAsia="方正仿宋_GBK" w:cs="Times New Roman"/>
          <w:b w:val="0"/>
          <w:bCs w:val="0"/>
          <w:kern w:val="2"/>
          <w:sz w:val="32"/>
          <w:szCs w:val="32"/>
          <w:lang w:val="en-US" w:eastAsia="zh-CN" w:bidi="ar-SA"/>
        </w:rPr>
        <w:t>重大项目储备表</w:t>
      </w:r>
    </w:p>
    <w:p w14:paraId="691EC798">
      <w:pPr>
        <w:widowControl w:val="0"/>
        <w:spacing w:after="120"/>
        <w:ind w:left="0" w:leftChars="0"/>
        <w:jc w:val="both"/>
        <w:rPr>
          <w:rFonts w:ascii="Times New Roman" w:hAnsi="Times New Roman" w:eastAsia="方正黑体_GBK" w:cs="方正黑体_GBK"/>
          <w:b w:val="0"/>
          <w:bCs w:val="0"/>
          <w:kern w:val="2"/>
          <w:sz w:val="32"/>
          <w:szCs w:val="32"/>
          <w:lang w:val="en-US" w:eastAsia="zh-CN" w:bidi="ar-SA"/>
        </w:rPr>
      </w:pPr>
      <w:r>
        <w:rPr>
          <w:rFonts w:hint="eastAsia" w:ascii="Times New Roman" w:hAnsi="Times New Roman" w:eastAsia="方正黑体_GBK" w:cs="方正黑体_GBK"/>
          <w:b w:val="0"/>
          <w:bCs w:val="0"/>
          <w:kern w:val="2"/>
          <w:sz w:val="32"/>
          <w:szCs w:val="32"/>
          <w:lang w:val="en-US" w:eastAsia="zh-CN" w:bidi="ar-SA"/>
        </w:rPr>
        <w:t>附件</w:t>
      </w:r>
    </w:p>
    <w:p w14:paraId="6C60C1F2">
      <w:pPr>
        <w:widowControl w:val="0"/>
        <w:spacing w:after="120"/>
        <w:ind w:left="0" w:leftChars="0"/>
        <w:jc w:val="center"/>
        <w:rPr>
          <w:rFonts w:ascii="Times New Roman" w:hAnsi="Times New Roman" w:eastAsia="方正黑体_GBK" w:cs="方正黑体_GBK"/>
          <w:b w:val="0"/>
          <w:bCs w:val="0"/>
          <w:kern w:val="2"/>
          <w:sz w:val="36"/>
          <w:szCs w:val="36"/>
          <w:lang w:val="en-US" w:eastAsia="zh-CN" w:bidi="ar-SA"/>
        </w:rPr>
      </w:pPr>
      <w:bookmarkStart w:id="69" w:name="_Toc5793_WPSOffice_Level1"/>
      <w:bookmarkStart w:id="70" w:name="_Toc29313_WPSOffice_Level1"/>
      <w:bookmarkStart w:id="71" w:name="_Toc28682_WPSOffice_Level1"/>
      <w:r>
        <w:rPr>
          <w:rFonts w:hint="eastAsia" w:ascii="Times New Roman" w:hAnsi="Times New Roman" w:eastAsia="方正黑体_GBK" w:cs="方正黑体_GBK"/>
          <w:b w:val="0"/>
          <w:bCs w:val="0"/>
          <w:kern w:val="2"/>
          <w:sz w:val="36"/>
          <w:szCs w:val="36"/>
          <w:lang w:val="en-US" w:eastAsia="zh-CN" w:bidi="ar-SA"/>
        </w:rPr>
        <w:t>云阳县卫生健康“十四五”重大项目储备表</w:t>
      </w:r>
      <w:bookmarkEnd w:id="69"/>
      <w:bookmarkEnd w:id="70"/>
      <w:bookmarkEnd w:id="71"/>
    </w:p>
    <w:tbl>
      <w:tblPr>
        <w:tblStyle w:val="9"/>
        <w:tblpPr w:leftFromText="180" w:rightFromText="180" w:vertAnchor="text" w:horzAnchor="page" w:tblpX="1864" w:tblpY="207"/>
        <w:tblOverlap w:val="never"/>
        <w:tblW w:w="13572" w:type="dxa"/>
        <w:tblInd w:w="0" w:type="dxa"/>
        <w:tblLayout w:type="fixed"/>
        <w:tblCellMar>
          <w:top w:w="0" w:type="dxa"/>
          <w:left w:w="0" w:type="dxa"/>
          <w:bottom w:w="0" w:type="dxa"/>
          <w:right w:w="0" w:type="dxa"/>
        </w:tblCellMar>
      </w:tblPr>
      <w:tblGrid>
        <w:gridCol w:w="480"/>
        <w:gridCol w:w="1332"/>
        <w:gridCol w:w="4644"/>
        <w:gridCol w:w="600"/>
        <w:gridCol w:w="564"/>
        <w:gridCol w:w="511"/>
        <w:gridCol w:w="821"/>
        <w:gridCol w:w="804"/>
        <w:gridCol w:w="816"/>
        <w:gridCol w:w="636"/>
        <w:gridCol w:w="564"/>
        <w:gridCol w:w="576"/>
        <w:gridCol w:w="624"/>
        <w:gridCol w:w="600"/>
      </w:tblGrid>
      <w:tr w14:paraId="1BF8FE8E">
        <w:tblPrEx>
          <w:tblCellMar>
            <w:top w:w="0" w:type="dxa"/>
            <w:left w:w="0" w:type="dxa"/>
            <w:bottom w:w="0" w:type="dxa"/>
            <w:right w:w="0" w:type="dxa"/>
          </w:tblCellMar>
        </w:tblPrEx>
        <w:trPr>
          <w:trHeight w:val="465" w:hRule="atLeast"/>
        </w:trPr>
        <w:tc>
          <w:tcPr>
            <w:tcW w:w="48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2" w:type="dxa"/>
              <w:left w:w="12" w:type="dxa"/>
              <w:right w:w="12" w:type="dxa"/>
            </w:tcMar>
            <w:vAlign w:val="center"/>
          </w:tcPr>
          <w:p w14:paraId="37C7DDED">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序号</w:t>
            </w:r>
          </w:p>
        </w:tc>
        <w:tc>
          <w:tcPr>
            <w:tcW w:w="1332"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2" w:type="dxa"/>
              <w:left w:w="12" w:type="dxa"/>
              <w:right w:w="12" w:type="dxa"/>
            </w:tcMar>
            <w:vAlign w:val="center"/>
          </w:tcPr>
          <w:p w14:paraId="10DAD924">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项目名称</w:t>
            </w:r>
          </w:p>
        </w:tc>
        <w:tc>
          <w:tcPr>
            <w:tcW w:w="4644"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2" w:type="dxa"/>
              <w:left w:w="12" w:type="dxa"/>
              <w:right w:w="12" w:type="dxa"/>
            </w:tcMar>
            <w:vAlign w:val="center"/>
          </w:tcPr>
          <w:p w14:paraId="79DF995B">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主要建设内容及规模</w:t>
            </w:r>
          </w:p>
        </w:tc>
        <w:tc>
          <w:tcPr>
            <w:tcW w:w="60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2" w:type="dxa"/>
              <w:left w:w="12" w:type="dxa"/>
              <w:right w:w="12" w:type="dxa"/>
            </w:tcMar>
            <w:vAlign w:val="center"/>
          </w:tcPr>
          <w:p w14:paraId="3D5CBD7E">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建设用地面积（亩）</w:t>
            </w:r>
          </w:p>
        </w:tc>
        <w:tc>
          <w:tcPr>
            <w:tcW w:w="564"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2" w:type="dxa"/>
              <w:left w:w="12" w:type="dxa"/>
              <w:right w:w="12" w:type="dxa"/>
            </w:tcMar>
            <w:vAlign w:val="center"/>
          </w:tcPr>
          <w:p w14:paraId="3C1667DC">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建设地点</w:t>
            </w:r>
          </w:p>
        </w:tc>
        <w:tc>
          <w:tcPr>
            <w:tcW w:w="511"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2" w:type="dxa"/>
              <w:left w:w="12" w:type="dxa"/>
              <w:right w:w="12" w:type="dxa"/>
            </w:tcMar>
            <w:vAlign w:val="center"/>
          </w:tcPr>
          <w:p w14:paraId="483CBEB8">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建设性质</w:t>
            </w:r>
          </w:p>
        </w:tc>
        <w:tc>
          <w:tcPr>
            <w:tcW w:w="821"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2" w:type="dxa"/>
              <w:left w:w="12" w:type="dxa"/>
              <w:right w:w="12" w:type="dxa"/>
            </w:tcMar>
            <w:vAlign w:val="center"/>
          </w:tcPr>
          <w:p w14:paraId="12AECD0B">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 xml:space="preserve">建设工期    </w:t>
            </w:r>
          </w:p>
        </w:tc>
        <w:tc>
          <w:tcPr>
            <w:tcW w:w="4620" w:type="dxa"/>
            <w:gridSpan w:val="7"/>
            <w:tcBorders>
              <w:top w:val="single" w:color="000000" w:sz="4" w:space="0"/>
              <w:left w:val="single" w:color="000000" w:sz="4" w:space="0"/>
              <w:bottom w:val="single" w:color="000000" w:sz="4" w:space="0"/>
              <w:right w:val="single" w:color="000000" w:sz="4" w:space="0"/>
            </w:tcBorders>
            <w:shd w:val="clear" w:color="auto" w:fill="FFFFFF"/>
            <w:noWrap w:val="0"/>
            <w:tcMar>
              <w:top w:w="12" w:type="dxa"/>
              <w:left w:w="12" w:type="dxa"/>
              <w:right w:w="12" w:type="dxa"/>
            </w:tcMar>
            <w:vAlign w:val="center"/>
          </w:tcPr>
          <w:p w14:paraId="67CBD1F6">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计划资金来源（单位：万元）</w:t>
            </w:r>
          </w:p>
        </w:tc>
      </w:tr>
      <w:tr w14:paraId="3672573F">
        <w:tblPrEx>
          <w:tblCellMar>
            <w:top w:w="0" w:type="dxa"/>
            <w:left w:w="0" w:type="dxa"/>
            <w:bottom w:w="0" w:type="dxa"/>
            <w:right w:w="0" w:type="dxa"/>
          </w:tblCellMar>
        </w:tblPrEx>
        <w:trPr>
          <w:trHeight w:val="1116" w:hRule="atLeast"/>
        </w:trPr>
        <w:tc>
          <w:tcPr>
            <w:tcW w:w="48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2" w:type="dxa"/>
              <w:left w:w="12" w:type="dxa"/>
              <w:right w:w="12" w:type="dxa"/>
            </w:tcMar>
            <w:vAlign w:val="center"/>
          </w:tcPr>
          <w:p w14:paraId="161ABA2A">
            <w:pPr>
              <w:spacing w:line="300" w:lineRule="exact"/>
              <w:jc w:val="center"/>
              <w:rPr>
                <w:rFonts w:ascii="Times New Roman" w:hAnsi="Times New Roman" w:eastAsia="方正仿宋_GBK" w:cs="方正仿宋_GBK"/>
                <w:b w:val="0"/>
                <w:bCs w:val="0"/>
                <w:sz w:val="18"/>
                <w:szCs w:val="18"/>
              </w:rPr>
            </w:pPr>
          </w:p>
        </w:tc>
        <w:tc>
          <w:tcPr>
            <w:tcW w:w="133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2" w:type="dxa"/>
              <w:left w:w="12" w:type="dxa"/>
              <w:right w:w="12" w:type="dxa"/>
            </w:tcMar>
            <w:vAlign w:val="center"/>
          </w:tcPr>
          <w:p w14:paraId="2990C3B1">
            <w:pPr>
              <w:spacing w:line="300" w:lineRule="exact"/>
              <w:jc w:val="center"/>
              <w:rPr>
                <w:rFonts w:ascii="Times New Roman" w:hAnsi="Times New Roman" w:eastAsia="方正仿宋_GBK" w:cs="方正仿宋_GBK"/>
                <w:b w:val="0"/>
                <w:bCs w:val="0"/>
                <w:sz w:val="18"/>
                <w:szCs w:val="18"/>
              </w:rPr>
            </w:pPr>
          </w:p>
        </w:tc>
        <w:tc>
          <w:tcPr>
            <w:tcW w:w="4644"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2" w:type="dxa"/>
              <w:left w:w="12" w:type="dxa"/>
              <w:right w:w="12" w:type="dxa"/>
            </w:tcMar>
            <w:vAlign w:val="center"/>
          </w:tcPr>
          <w:p w14:paraId="14A9A9E0">
            <w:pPr>
              <w:spacing w:line="300" w:lineRule="exact"/>
              <w:jc w:val="center"/>
              <w:rPr>
                <w:rFonts w:ascii="Times New Roman" w:hAnsi="Times New Roman" w:eastAsia="方正仿宋_GBK" w:cs="方正仿宋_GBK"/>
                <w:b w:val="0"/>
                <w:bCs w:val="0"/>
                <w:sz w:val="18"/>
                <w:szCs w:val="18"/>
              </w:rPr>
            </w:pP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2" w:type="dxa"/>
              <w:left w:w="12" w:type="dxa"/>
              <w:right w:w="12" w:type="dxa"/>
            </w:tcMar>
            <w:vAlign w:val="center"/>
          </w:tcPr>
          <w:p w14:paraId="4BDE1507">
            <w:pPr>
              <w:spacing w:line="300" w:lineRule="exact"/>
              <w:jc w:val="center"/>
              <w:rPr>
                <w:rFonts w:ascii="Times New Roman" w:hAnsi="Times New Roman" w:eastAsia="方正仿宋_GBK" w:cs="方正仿宋_GBK"/>
                <w:b w:val="0"/>
                <w:bCs w:val="0"/>
                <w:sz w:val="18"/>
                <w:szCs w:val="18"/>
              </w:rPr>
            </w:pPr>
          </w:p>
        </w:tc>
        <w:tc>
          <w:tcPr>
            <w:tcW w:w="564"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2" w:type="dxa"/>
              <w:left w:w="12" w:type="dxa"/>
              <w:right w:w="12" w:type="dxa"/>
            </w:tcMar>
            <w:vAlign w:val="center"/>
          </w:tcPr>
          <w:p w14:paraId="4C6871FE">
            <w:pPr>
              <w:spacing w:line="300" w:lineRule="exact"/>
              <w:jc w:val="center"/>
              <w:rPr>
                <w:rFonts w:ascii="Times New Roman" w:hAnsi="Times New Roman" w:eastAsia="方正仿宋_GBK" w:cs="方正仿宋_GBK"/>
                <w:b w:val="0"/>
                <w:bCs w:val="0"/>
                <w:sz w:val="18"/>
                <w:szCs w:val="18"/>
              </w:rPr>
            </w:pPr>
          </w:p>
        </w:tc>
        <w:tc>
          <w:tcPr>
            <w:tcW w:w="51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2" w:type="dxa"/>
              <w:left w:w="12" w:type="dxa"/>
              <w:right w:w="12" w:type="dxa"/>
            </w:tcMar>
            <w:vAlign w:val="center"/>
          </w:tcPr>
          <w:p w14:paraId="066E6842">
            <w:pPr>
              <w:spacing w:line="300" w:lineRule="exact"/>
              <w:jc w:val="center"/>
              <w:rPr>
                <w:rFonts w:ascii="Times New Roman" w:hAnsi="Times New Roman" w:eastAsia="方正仿宋_GBK" w:cs="方正仿宋_GBK"/>
                <w:b w:val="0"/>
                <w:bCs w:val="0"/>
                <w:sz w:val="18"/>
                <w:szCs w:val="18"/>
              </w:rPr>
            </w:pPr>
          </w:p>
        </w:tc>
        <w:tc>
          <w:tcPr>
            <w:tcW w:w="82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2" w:type="dxa"/>
              <w:left w:w="12" w:type="dxa"/>
              <w:right w:w="12" w:type="dxa"/>
            </w:tcMar>
            <w:vAlign w:val="center"/>
          </w:tcPr>
          <w:p w14:paraId="60F09062">
            <w:pPr>
              <w:spacing w:line="300" w:lineRule="exact"/>
              <w:jc w:val="center"/>
              <w:rPr>
                <w:rFonts w:ascii="Times New Roman" w:hAnsi="Times New Roman" w:eastAsia="方正仿宋_GBK" w:cs="方正仿宋_GBK"/>
                <w:b w:val="0"/>
                <w:bCs w:val="0"/>
                <w:sz w:val="18"/>
                <w:szCs w:val="18"/>
              </w:rPr>
            </w:pPr>
          </w:p>
        </w:tc>
        <w:tc>
          <w:tcPr>
            <w:tcW w:w="804" w:type="dxa"/>
            <w:tcBorders>
              <w:top w:val="single" w:color="000000" w:sz="4" w:space="0"/>
              <w:left w:val="single" w:color="000000" w:sz="4" w:space="0"/>
              <w:bottom w:val="single" w:color="000000" w:sz="4" w:space="0"/>
              <w:right w:val="single" w:color="000000" w:sz="4" w:space="0"/>
            </w:tcBorders>
            <w:shd w:val="clear" w:color="auto" w:fill="FFFFFF"/>
            <w:noWrap w:val="0"/>
            <w:tcMar>
              <w:top w:w="12" w:type="dxa"/>
              <w:left w:w="12" w:type="dxa"/>
              <w:right w:w="12" w:type="dxa"/>
            </w:tcMar>
            <w:vAlign w:val="center"/>
          </w:tcPr>
          <w:p w14:paraId="46E3707A">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总投资</w:t>
            </w:r>
          </w:p>
        </w:tc>
        <w:tc>
          <w:tcPr>
            <w:tcW w:w="816" w:type="dxa"/>
            <w:tcBorders>
              <w:top w:val="single" w:color="000000" w:sz="4" w:space="0"/>
              <w:left w:val="single" w:color="000000" w:sz="4" w:space="0"/>
              <w:bottom w:val="single" w:color="000000" w:sz="4" w:space="0"/>
              <w:right w:val="single" w:color="000000" w:sz="4" w:space="0"/>
            </w:tcBorders>
            <w:shd w:val="clear" w:color="auto" w:fill="FFFFFF"/>
            <w:noWrap w:val="0"/>
            <w:tcMar>
              <w:top w:w="12" w:type="dxa"/>
              <w:left w:w="12" w:type="dxa"/>
              <w:right w:w="12" w:type="dxa"/>
            </w:tcMar>
            <w:vAlign w:val="center"/>
          </w:tcPr>
          <w:p w14:paraId="07FDCC8D">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中央</w:t>
            </w:r>
            <w:r>
              <w:rPr>
                <w:rFonts w:hint="eastAsia" w:ascii="Times New Roman" w:hAnsi="Times New Roman" w:eastAsia="方正仿宋_GBK" w:cs="方正仿宋_GBK"/>
                <w:b w:val="0"/>
                <w:bCs w:val="0"/>
                <w:kern w:val="0"/>
                <w:sz w:val="18"/>
                <w:szCs w:val="18"/>
                <w:lang w:bidi="ar"/>
              </w:rPr>
              <w:br w:type="textWrapping"/>
            </w:r>
            <w:r>
              <w:rPr>
                <w:rFonts w:hint="eastAsia" w:ascii="Times New Roman" w:hAnsi="Times New Roman" w:eastAsia="方正仿宋_GBK" w:cs="方正仿宋_GBK"/>
                <w:b w:val="0"/>
                <w:bCs w:val="0"/>
                <w:kern w:val="0"/>
                <w:sz w:val="18"/>
                <w:szCs w:val="18"/>
                <w:lang w:bidi="ar"/>
              </w:rPr>
              <w:t>预算内投资需求</w:t>
            </w:r>
          </w:p>
        </w:tc>
        <w:tc>
          <w:tcPr>
            <w:tcW w:w="636" w:type="dxa"/>
            <w:tcBorders>
              <w:top w:val="single" w:color="000000" w:sz="4" w:space="0"/>
              <w:left w:val="single" w:color="000000" w:sz="4" w:space="0"/>
              <w:bottom w:val="single" w:color="000000" w:sz="4" w:space="0"/>
              <w:right w:val="single" w:color="000000" w:sz="4" w:space="0"/>
            </w:tcBorders>
            <w:shd w:val="clear" w:color="auto" w:fill="FFFFFF"/>
            <w:noWrap w:val="0"/>
            <w:tcMar>
              <w:top w:w="12" w:type="dxa"/>
              <w:left w:w="12" w:type="dxa"/>
              <w:right w:w="12" w:type="dxa"/>
            </w:tcMar>
            <w:vAlign w:val="center"/>
          </w:tcPr>
          <w:p w14:paraId="3B784582">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专项债券资金需求</w:t>
            </w:r>
          </w:p>
        </w:tc>
        <w:tc>
          <w:tcPr>
            <w:tcW w:w="564" w:type="dxa"/>
            <w:tcBorders>
              <w:top w:val="single" w:color="000000" w:sz="4" w:space="0"/>
              <w:left w:val="single" w:color="000000" w:sz="4" w:space="0"/>
              <w:bottom w:val="single" w:color="000000" w:sz="4" w:space="0"/>
              <w:right w:val="single" w:color="000000" w:sz="4" w:space="0"/>
            </w:tcBorders>
            <w:shd w:val="clear" w:color="auto" w:fill="FFFFFF"/>
            <w:noWrap w:val="0"/>
            <w:tcMar>
              <w:top w:w="12" w:type="dxa"/>
              <w:left w:w="12" w:type="dxa"/>
              <w:right w:w="12" w:type="dxa"/>
            </w:tcMar>
            <w:vAlign w:val="center"/>
          </w:tcPr>
          <w:p w14:paraId="66157D1E">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县级</w:t>
            </w:r>
            <w:r>
              <w:rPr>
                <w:rFonts w:hint="eastAsia" w:ascii="Times New Roman" w:hAnsi="Times New Roman" w:eastAsia="方正仿宋_GBK" w:cs="方正仿宋_GBK"/>
                <w:b w:val="0"/>
                <w:bCs w:val="0"/>
                <w:kern w:val="0"/>
                <w:sz w:val="18"/>
                <w:szCs w:val="18"/>
                <w:lang w:bidi="ar"/>
              </w:rPr>
              <w:br w:type="textWrapping"/>
            </w:r>
            <w:r>
              <w:rPr>
                <w:rFonts w:hint="eastAsia" w:ascii="Times New Roman" w:hAnsi="Times New Roman" w:eastAsia="方正仿宋_GBK" w:cs="方正仿宋_GBK"/>
                <w:b w:val="0"/>
                <w:bCs w:val="0"/>
                <w:kern w:val="0"/>
                <w:sz w:val="18"/>
                <w:szCs w:val="18"/>
                <w:lang w:bidi="ar"/>
              </w:rPr>
              <w:t>资金</w:t>
            </w:r>
          </w:p>
        </w:tc>
        <w:tc>
          <w:tcPr>
            <w:tcW w:w="576" w:type="dxa"/>
            <w:tcBorders>
              <w:top w:val="single" w:color="000000" w:sz="4" w:space="0"/>
              <w:left w:val="single" w:color="000000" w:sz="4" w:space="0"/>
              <w:bottom w:val="single" w:color="000000" w:sz="4" w:space="0"/>
              <w:right w:val="single" w:color="000000" w:sz="4" w:space="0"/>
            </w:tcBorders>
            <w:shd w:val="clear" w:color="auto" w:fill="FFFFFF"/>
            <w:noWrap w:val="0"/>
            <w:tcMar>
              <w:top w:w="12" w:type="dxa"/>
              <w:left w:w="12" w:type="dxa"/>
              <w:right w:w="12" w:type="dxa"/>
            </w:tcMar>
            <w:vAlign w:val="center"/>
          </w:tcPr>
          <w:p w14:paraId="2A3CF30A">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银行</w:t>
            </w:r>
            <w:r>
              <w:rPr>
                <w:rFonts w:hint="eastAsia" w:ascii="Times New Roman" w:hAnsi="Times New Roman" w:eastAsia="方正仿宋_GBK" w:cs="方正仿宋_GBK"/>
                <w:b w:val="0"/>
                <w:bCs w:val="0"/>
                <w:kern w:val="0"/>
                <w:sz w:val="18"/>
                <w:szCs w:val="18"/>
                <w:lang w:bidi="ar"/>
              </w:rPr>
              <w:br w:type="textWrapping"/>
            </w:r>
            <w:r>
              <w:rPr>
                <w:rFonts w:hint="eastAsia" w:ascii="Times New Roman" w:hAnsi="Times New Roman" w:eastAsia="方正仿宋_GBK" w:cs="方正仿宋_GBK"/>
                <w:b w:val="0"/>
                <w:bCs w:val="0"/>
                <w:kern w:val="0"/>
                <w:sz w:val="18"/>
                <w:szCs w:val="18"/>
                <w:lang w:bidi="ar"/>
              </w:rPr>
              <w:t>贷款</w:t>
            </w:r>
          </w:p>
        </w:tc>
        <w:tc>
          <w:tcPr>
            <w:tcW w:w="624" w:type="dxa"/>
            <w:tcBorders>
              <w:top w:val="single" w:color="000000" w:sz="4" w:space="0"/>
              <w:left w:val="single" w:color="000000" w:sz="4" w:space="0"/>
              <w:bottom w:val="single" w:color="000000" w:sz="4" w:space="0"/>
              <w:right w:val="single" w:color="000000" w:sz="4" w:space="0"/>
            </w:tcBorders>
            <w:shd w:val="clear" w:color="auto" w:fill="FFFFFF"/>
            <w:noWrap w:val="0"/>
            <w:tcMar>
              <w:top w:w="12" w:type="dxa"/>
              <w:left w:w="12" w:type="dxa"/>
              <w:right w:w="12" w:type="dxa"/>
            </w:tcMar>
            <w:vAlign w:val="center"/>
          </w:tcPr>
          <w:p w14:paraId="13D382E6">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业主</w:t>
            </w:r>
            <w:r>
              <w:rPr>
                <w:rFonts w:hint="eastAsia" w:ascii="Times New Roman" w:hAnsi="Times New Roman" w:eastAsia="方正仿宋_GBK" w:cs="方正仿宋_GBK"/>
                <w:b w:val="0"/>
                <w:bCs w:val="0"/>
                <w:kern w:val="0"/>
                <w:sz w:val="18"/>
                <w:szCs w:val="18"/>
                <w:lang w:bidi="ar"/>
              </w:rPr>
              <w:br w:type="textWrapping"/>
            </w:r>
            <w:r>
              <w:rPr>
                <w:rFonts w:hint="eastAsia" w:ascii="Times New Roman" w:hAnsi="Times New Roman" w:eastAsia="方正仿宋_GBK" w:cs="方正仿宋_GBK"/>
                <w:b w:val="0"/>
                <w:bCs w:val="0"/>
                <w:kern w:val="0"/>
                <w:sz w:val="18"/>
                <w:szCs w:val="18"/>
                <w:lang w:bidi="ar"/>
              </w:rPr>
              <w:t>自筹</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2" w:type="dxa"/>
              <w:left w:w="12" w:type="dxa"/>
              <w:right w:w="12" w:type="dxa"/>
            </w:tcMar>
            <w:vAlign w:val="center"/>
          </w:tcPr>
          <w:p w14:paraId="029E467E">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其它</w:t>
            </w:r>
            <w:r>
              <w:rPr>
                <w:rFonts w:hint="eastAsia" w:ascii="Times New Roman" w:hAnsi="Times New Roman" w:eastAsia="方正仿宋_GBK" w:cs="方正仿宋_GBK"/>
                <w:b w:val="0"/>
                <w:bCs w:val="0"/>
                <w:kern w:val="0"/>
                <w:sz w:val="18"/>
                <w:szCs w:val="18"/>
                <w:lang w:bidi="ar"/>
              </w:rPr>
              <w:br w:type="textWrapping"/>
            </w:r>
            <w:r>
              <w:rPr>
                <w:rFonts w:hint="eastAsia" w:ascii="Times New Roman" w:hAnsi="Times New Roman" w:eastAsia="方正仿宋_GBK" w:cs="方正仿宋_GBK"/>
                <w:b w:val="0"/>
                <w:bCs w:val="0"/>
                <w:kern w:val="0"/>
                <w:sz w:val="18"/>
                <w:szCs w:val="18"/>
                <w:lang w:bidi="ar"/>
              </w:rPr>
              <w:t>投资</w:t>
            </w:r>
          </w:p>
        </w:tc>
      </w:tr>
      <w:tr w14:paraId="229CB099">
        <w:tblPrEx>
          <w:tblCellMar>
            <w:top w:w="0" w:type="dxa"/>
            <w:left w:w="0" w:type="dxa"/>
            <w:bottom w:w="0" w:type="dxa"/>
            <w:right w:w="0" w:type="dxa"/>
          </w:tblCellMar>
        </w:tblPrEx>
        <w:trPr>
          <w:trHeight w:val="90" w:hRule="atLeast"/>
        </w:trPr>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14:paraId="36AD1E03">
            <w:pPr>
              <w:widowControl/>
              <w:spacing w:line="300" w:lineRule="exact"/>
              <w:jc w:val="center"/>
              <w:textAlignment w:val="center"/>
              <w:rPr>
                <w:rFonts w:ascii="Times New Roman" w:hAnsi="Times New Roman" w:eastAsia="方正仿宋_GBK" w:cs="方正仿宋_GBK"/>
                <w:b w:val="0"/>
                <w:bCs w:val="0"/>
                <w:kern w:val="0"/>
                <w:sz w:val="18"/>
                <w:szCs w:val="18"/>
                <w:lang w:bidi="ar"/>
              </w:rPr>
            </w:pPr>
            <w:r>
              <w:rPr>
                <w:rFonts w:hint="eastAsia" w:ascii="Times New Roman" w:hAnsi="Times New Roman" w:eastAsia="方正仿宋_GBK" w:cs="方正仿宋_GBK"/>
                <w:b w:val="0"/>
                <w:bCs w:val="0"/>
                <w:kern w:val="0"/>
                <w:sz w:val="18"/>
                <w:szCs w:val="18"/>
                <w:lang w:bidi="ar"/>
              </w:rPr>
              <w:t>合计</w:t>
            </w:r>
          </w:p>
        </w:tc>
        <w:tc>
          <w:tcPr>
            <w:tcW w:w="4644" w:type="dxa"/>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14:paraId="6CA7BFB9">
            <w:pPr>
              <w:widowControl/>
              <w:spacing w:line="300" w:lineRule="exact"/>
              <w:jc w:val="left"/>
              <w:textAlignment w:val="center"/>
              <w:rPr>
                <w:rFonts w:ascii="Times New Roman" w:hAnsi="Times New Roman" w:eastAsia="方正仿宋_GBK" w:cs="方正仿宋_GBK"/>
                <w:b w:val="0"/>
                <w:bCs w:val="0"/>
                <w:kern w:val="0"/>
                <w:sz w:val="18"/>
                <w:szCs w:val="18"/>
                <w:lang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14:paraId="06F96A88">
            <w:pPr>
              <w:spacing w:line="300" w:lineRule="exact"/>
              <w:jc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sz w:val="18"/>
                <w:szCs w:val="18"/>
              </w:rPr>
              <w:t>565.37</w:t>
            </w:r>
          </w:p>
        </w:tc>
        <w:tc>
          <w:tcPr>
            <w:tcW w:w="564" w:type="dxa"/>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14:paraId="5D642599">
            <w:pPr>
              <w:widowControl/>
              <w:spacing w:line="300" w:lineRule="exact"/>
              <w:jc w:val="center"/>
              <w:textAlignment w:val="center"/>
              <w:rPr>
                <w:rFonts w:ascii="Times New Roman" w:hAnsi="Times New Roman" w:eastAsia="方正仿宋_GBK" w:cs="方正仿宋_GBK"/>
                <w:b w:val="0"/>
                <w:bCs w:val="0"/>
                <w:kern w:val="0"/>
                <w:sz w:val="18"/>
                <w:szCs w:val="18"/>
                <w:lang w:bidi="ar"/>
              </w:rPr>
            </w:pPr>
          </w:p>
        </w:tc>
        <w:tc>
          <w:tcPr>
            <w:tcW w:w="511" w:type="dxa"/>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14:paraId="5413160C">
            <w:pPr>
              <w:widowControl/>
              <w:spacing w:line="300" w:lineRule="exact"/>
              <w:jc w:val="center"/>
              <w:textAlignment w:val="center"/>
              <w:rPr>
                <w:rFonts w:ascii="Times New Roman" w:hAnsi="Times New Roman" w:eastAsia="方正仿宋_GBK" w:cs="方正仿宋_GBK"/>
                <w:b w:val="0"/>
                <w:bCs w:val="0"/>
                <w:kern w:val="0"/>
                <w:sz w:val="18"/>
                <w:szCs w:val="18"/>
                <w:lang w:bidi="ar"/>
              </w:rPr>
            </w:pPr>
          </w:p>
        </w:tc>
        <w:tc>
          <w:tcPr>
            <w:tcW w:w="821" w:type="dxa"/>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14:paraId="4097506B">
            <w:pPr>
              <w:widowControl/>
              <w:spacing w:line="300" w:lineRule="exact"/>
              <w:jc w:val="center"/>
              <w:textAlignment w:val="center"/>
              <w:rPr>
                <w:rFonts w:ascii="Times New Roman" w:hAnsi="Times New Roman" w:eastAsia="方正仿宋_GBK" w:cs="方正仿宋_GBK"/>
                <w:b w:val="0"/>
                <w:bCs w:val="0"/>
                <w:kern w:val="0"/>
                <w:sz w:val="18"/>
                <w:szCs w:val="18"/>
                <w:lang w:bidi="ar"/>
              </w:rPr>
            </w:pP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14:paraId="4B7F61DC">
            <w:pPr>
              <w:widowControl/>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color w:val="000000"/>
                <w:kern w:val="0"/>
                <w:sz w:val="18"/>
                <w:szCs w:val="18"/>
                <w:lang w:bidi="ar"/>
              </w:rPr>
              <w:t>378204</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14:paraId="33CE21D8">
            <w:pPr>
              <w:widowControl/>
              <w:jc w:val="center"/>
              <w:textAlignment w:val="center"/>
              <w:rPr>
                <w:rFonts w:ascii="Times New Roman" w:hAnsi="Times New Roman" w:eastAsia="方正仿宋_GBK" w:cs="方正仿宋_GBK"/>
                <w:b w:val="0"/>
                <w:bCs w:val="0"/>
                <w:kern w:val="0"/>
                <w:sz w:val="18"/>
                <w:szCs w:val="18"/>
                <w:lang w:bidi="ar"/>
              </w:rPr>
            </w:pPr>
            <w:r>
              <w:rPr>
                <w:rFonts w:hint="eastAsia" w:ascii="Times New Roman" w:hAnsi="Times New Roman" w:eastAsia="方正仿宋_GBK" w:cs="方正仿宋_GBK"/>
                <w:b w:val="0"/>
                <w:bCs w:val="0"/>
                <w:color w:val="000000"/>
                <w:kern w:val="0"/>
                <w:sz w:val="18"/>
                <w:szCs w:val="18"/>
                <w:lang w:bidi="ar"/>
              </w:rPr>
              <w:t>23100</w:t>
            </w:r>
          </w:p>
        </w:tc>
        <w:tc>
          <w:tcPr>
            <w:tcW w:w="636" w:type="dxa"/>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14:paraId="296E2963">
            <w:pPr>
              <w:widowControl/>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color w:val="000000"/>
                <w:kern w:val="0"/>
                <w:sz w:val="18"/>
                <w:szCs w:val="18"/>
                <w:lang w:bidi="ar"/>
              </w:rPr>
              <w:t>196200</w:t>
            </w:r>
          </w:p>
        </w:tc>
        <w:tc>
          <w:tcPr>
            <w:tcW w:w="564" w:type="dxa"/>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14:paraId="5B0CEBD0">
            <w:pPr>
              <w:widowControl/>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color w:val="000000"/>
                <w:kern w:val="0"/>
                <w:sz w:val="18"/>
                <w:szCs w:val="18"/>
                <w:lang w:bidi="ar"/>
              </w:rPr>
              <w:t>3000</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14:paraId="1A8F2D3E">
            <w:pPr>
              <w:widowControl/>
              <w:jc w:val="center"/>
              <w:textAlignment w:val="center"/>
              <w:rPr>
                <w:rFonts w:ascii="Times New Roman" w:hAnsi="Times New Roman" w:eastAsia="方正仿宋_GBK" w:cs="方正仿宋_GBK"/>
                <w:b w:val="0"/>
                <w:bCs w:val="0"/>
                <w:kern w:val="0"/>
                <w:sz w:val="18"/>
                <w:szCs w:val="18"/>
                <w:lang w:bidi="ar"/>
              </w:rPr>
            </w:pPr>
            <w:r>
              <w:rPr>
                <w:rFonts w:hint="eastAsia" w:ascii="Times New Roman" w:hAnsi="Times New Roman" w:eastAsia="方正仿宋_GBK" w:cs="方正仿宋_GBK"/>
                <w:b w:val="0"/>
                <w:bCs w:val="0"/>
                <w:color w:val="000000"/>
                <w:kern w:val="0"/>
                <w:sz w:val="18"/>
                <w:szCs w:val="18"/>
                <w:lang w:bidi="ar"/>
              </w:rPr>
              <w:t>95316</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14:paraId="3598491C">
            <w:pPr>
              <w:widowControl/>
              <w:jc w:val="center"/>
              <w:textAlignment w:val="center"/>
              <w:rPr>
                <w:rFonts w:ascii="Times New Roman" w:hAnsi="Times New Roman" w:eastAsia="方正仿宋_GBK" w:cs="方正仿宋_GBK"/>
                <w:b w:val="0"/>
                <w:bCs w:val="0"/>
                <w:kern w:val="0"/>
                <w:sz w:val="18"/>
                <w:szCs w:val="18"/>
                <w:lang w:bidi="ar"/>
              </w:rPr>
            </w:pPr>
            <w:r>
              <w:rPr>
                <w:rFonts w:hint="eastAsia" w:ascii="Times New Roman" w:hAnsi="Times New Roman" w:eastAsia="方正仿宋_GBK" w:cs="方正仿宋_GBK"/>
                <w:b w:val="0"/>
                <w:bCs w:val="0"/>
                <w:color w:val="000000"/>
                <w:kern w:val="0"/>
                <w:sz w:val="18"/>
                <w:szCs w:val="18"/>
                <w:lang w:bidi="ar"/>
              </w:rPr>
              <w:t>8643</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2" w:type="dxa"/>
              <w:left w:w="12" w:type="dxa"/>
              <w:right w:w="12" w:type="dxa"/>
            </w:tcMar>
            <w:vAlign w:val="center"/>
          </w:tcPr>
          <w:p w14:paraId="543A844E">
            <w:pPr>
              <w:widowControl/>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color w:val="000000"/>
                <w:kern w:val="0"/>
                <w:sz w:val="18"/>
                <w:szCs w:val="18"/>
                <w:lang w:bidi="ar"/>
              </w:rPr>
              <w:t>54845</w:t>
            </w:r>
          </w:p>
        </w:tc>
      </w:tr>
      <w:tr w14:paraId="254355C1">
        <w:tblPrEx>
          <w:tblCellMar>
            <w:top w:w="0" w:type="dxa"/>
            <w:left w:w="0" w:type="dxa"/>
            <w:bottom w:w="0" w:type="dxa"/>
            <w:right w:w="0" w:type="dxa"/>
          </w:tblCellMar>
        </w:tblPrEx>
        <w:trPr>
          <w:trHeight w:val="1200"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14:paraId="229014EC">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 xml:space="preserve">1 </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14:paraId="75336B20">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云阳县人民医院龙缸分院（清水土家族乡卫生院）</w:t>
            </w:r>
          </w:p>
        </w:tc>
        <w:tc>
          <w:tcPr>
            <w:tcW w:w="4644" w:type="dxa"/>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14:paraId="55D516A5">
            <w:pPr>
              <w:widowControl/>
              <w:spacing w:line="300" w:lineRule="exact"/>
              <w:jc w:val="left"/>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新建业务用房6482㎡及相关配套附属设施设备、医疗设备配置。设置床位120张。</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14:paraId="77912F93">
            <w:pPr>
              <w:spacing w:line="300" w:lineRule="exact"/>
              <w:jc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sz w:val="18"/>
                <w:szCs w:val="18"/>
              </w:rPr>
              <w:t>3.5</w:t>
            </w:r>
          </w:p>
        </w:tc>
        <w:tc>
          <w:tcPr>
            <w:tcW w:w="564" w:type="dxa"/>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14:paraId="39BCC254">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清水乡场镇</w:t>
            </w:r>
          </w:p>
        </w:tc>
        <w:tc>
          <w:tcPr>
            <w:tcW w:w="511" w:type="dxa"/>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14:paraId="60791B7C">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新建</w:t>
            </w:r>
          </w:p>
        </w:tc>
        <w:tc>
          <w:tcPr>
            <w:tcW w:w="821" w:type="dxa"/>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14:paraId="43D42749">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 xml:space="preserve">2020-2021 </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14:paraId="4959CC1C">
            <w:pPr>
              <w:spacing w:line="300" w:lineRule="exact"/>
              <w:jc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sz w:val="18"/>
                <w:szCs w:val="18"/>
              </w:rPr>
              <w:t>3166</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14:paraId="5F6A56E1">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 xml:space="preserve">1000 </w:t>
            </w:r>
          </w:p>
        </w:tc>
        <w:tc>
          <w:tcPr>
            <w:tcW w:w="636" w:type="dxa"/>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14:paraId="6D660E70">
            <w:pPr>
              <w:spacing w:line="300" w:lineRule="exact"/>
              <w:jc w:val="center"/>
              <w:rPr>
                <w:rFonts w:ascii="Times New Roman" w:hAnsi="Times New Roman" w:eastAsia="方正仿宋_GBK" w:cs="方正仿宋_GBK"/>
                <w:b w:val="0"/>
                <w:bCs w:val="0"/>
                <w:sz w:val="18"/>
                <w:szCs w:val="18"/>
              </w:rPr>
            </w:pPr>
          </w:p>
        </w:tc>
        <w:tc>
          <w:tcPr>
            <w:tcW w:w="564" w:type="dxa"/>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14:paraId="3D89056C">
            <w:pPr>
              <w:spacing w:line="300" w:lineRule="exact"/>
              <w:jc w:val="center"/>
              <w:rPr>
                <w:rFonts w:ascii="Times New Roman" w:hAnsi="Times New Roman" w:eastAsia="方正仿宋_GBK" w:cs="方正仿宋_GBK"/>
                <w:b w:val="0"/>
                <w:bCs w:val="0"/>
                <w:sz w:val="18"/>
                <w:szCs w:val="18"/>
              </w:rPr>
            </w:pP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14:paraId="4C7E9243">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 xml:space="preserve">566 </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14:paraId="144C92F1">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 xml:space="preserve">1600 </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2" w:type="dxa"/>
              <w:left w:w="12" w:type="dxa"/>
              <w:right w:w="12" w:type="dxa"/>
            </w:tcMar>
            <w:vAlign w:val="center"/>
          </w:tcPr>
          <w:p w14:paraId="5ABBB468">
            <w:pPr>
              <w:spacing w:line="300" w:lineRule="exact"/>
              <w:jc w:val="center"/>
              <w:rPr>
                <w:rFonts w:ascii="Times New Roman" w:hAnsi="Times New Roman" w:eastAsia="方正仿宋_GBK" w:cs="方正仿宋_GBK"/>
                <w:b w:val="0"/>
                <w:bCs w:val="0"/>
                <w:sz w:val="18"/>
                <w:szCs w:val="18"/>
              </w:rPr>
            </w:pPr>
          </w:p>
        </w:tc>
      </w:tr>
      <w:tr w14:paraId="667EEF90">
        <w:tblPrEx>
          <w:tblCellMar>
            <w:top w:w="0" w:type="dxa"/>
            <w:left w:w="0" w:type="dxa"/>
            <w:bottom w:w="0" w:type="dxa"/>
            <w:right w:w="0" w:type="dxa"/>
          </w:tblCellMar>
        </w:tblPrEx>
        <w:trPr>
          <w:trHeight w:val="1200"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14:paraId="470C5CC6">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 xml:space="preserve">2 </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14:paraId="54E239F5">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云阳县人民医院感染性疾病诊治楼</w:t>
            </w:r>
          </w:p>
        </w:tc>
        <w:tc>
          <w:tcPr>
            <w:tcW w:w="4644" w:type="dxa"/>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14:paraId="1C33BBEE">
            <w:pPr>
              <w:widowControl/>
              <w:spacing w:line="300" w:lineRule="exact"/>
              <w:jc w:val="left"/>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建筑面积12053㎡，其中感染性疾病业务用房6766㎡，地下车库面积5287㎡。</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14:paraId="77D4E0E3">
            <w:pPr>
              <w:spacing w:line="300" w:lineRule="exact"/>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sz w:val="18"/>
                <w:szCs w:val="18"/>
              </w:rPr>
              <w:t>28.87</w:t>
            </w:r>
          </w:p>
        </w:tc>
        <w:tc>
          <w:tcPr>
            <w:tcW w:w="564" w:type="dxa"/>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14:paraId="3B5D7D3D">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县人民医院院内</w:t>
            </w:r>
          </w:p>
        </w:tc>
        <w:tc>
          <w:tcPr>
            <w:tcW w:w="511" w:type="dxa"/>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14:paraId="445D7D7D">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sz w:val="18"/>
                <w:szCs w:val="18"/>
              </w:rPr>
              <w:t>新建</w:t>
            </w:r>
          </w:p>
        </w:tc>
        <w:tc>
          <w:tcPr>
            <w:tcW w:w="821" w:type="dxa"/>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14:paraId="019EE904">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2020-2021</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14:paraId="79279325">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 xml:space="preserve">11068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14:paraId="1C5764D4">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 xml:space="preserve">5000 </w:t>
            </w:r>
          </w:p>
        </w:tc>
        <w:tc>
          <w:tcPr>
            <w:tcW w:w="636" w:type="dxa"/>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14:paraId="05203900">
            <w:pPr>
              <w:spacing w:line="300" w:lineRule="exact"/>
              <w:jc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sz w:val="18"/>
                <w:szCs w:val="18"/>
              </w:rPr>
              <w:t>5700</w:t>
            </w:r>
          </w:p>
        </w:tc>
        <w:tc>
          <w:tcPr>
            <w:tcW w:w="564" w:type="dxa"/>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14:paraId="5A3A83E6">
            <w:pPr>
              <w:spacing w:line="300" w:lineRule="exact"/>
              <w:jc w:val="center"/>
              <w:rPr>
                <w:rFonts w:ascii="Times New Roman" w:hAnsi="Times New Roman" w:eastAsia="方正仿宋_GBK" w:cs="方正仿宋_GBK"/>
                <w:b w:val="0"/>
                <w:bCs w:val="0"/>
                <w:sz w:val="18"/>
                <w:szCs w:val="18"/>
              </w:rPr>
            </w:pP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14:paraId="547D4905">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 xml:space="preserve">50 </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14:paraId="38763AD0">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 xml:space="preserve">318 </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2" w:type="dxa"/>
              <w:left w:w="12" w:type="dxa"/>
              <w:right w:w="12" w:type="dxa"/>
            </w:tcMar>
            <w:vAlign w:val="center"/>
          </w:tcPr>
          <w:p w14:paraId="5C9EEB1B">
            <w:pPr>
              <w:spacing w:line="300" w:lineRule="exact"/>
              <w:jc w:val="center"/>
              <w:rPr>
                <w:rFonts w:ascii="Times New Roman" w:hAnsi="Times New Roman" w:eastAsia="方正仿宋_GBK" w:cs="方正仿宋_GBK"/>
                <w:b w:val="0"/>
                <w:bCs w:val="0"/>
                <w:sz w:val="18"/>
                <w:szCs w:val="18"/>
              </w:rPr>
            </w:pPr>
          </w:p>
        </w:tc>
      </w:tr>
      <w:tr w14:paraId="649DF0A4">
        <w:tblPrEx>
          <w:tblCellMar>
            <w:top w:w="0" w:type="dxa"/>
            <w:left w:w="0" w:type="dxa"/>
            <w:bottom w:w="0" w:type="dxa"/>
            <w:right w:w="0" w:type="dxa"/>
          </w:tblCellMar>
        </w:tblPrEx>
        <w:trPr>
          <w:trHeight w:val="1200" w:hRule="atLeast"/>
        </w:trPr>
        <w:tc>
          <w:tcPr>
            <w:tcW w:w="480" w:type="dxa"/>
            <w:tcBorders>
              <w:top w:val="single" w:color="000000" w:sz="4" w:space="0"/>
              <w:left w:val="single" w:color="000000" w:sz="4" w:space="0"/>
              <w:bottom w:val="single" w:color="000000" w:sz="4" w:space="0"/>
              <w:right w:val="nil"/>
            </w:tcBorders>
            <w:shd w:val="clear" w:color="auto" w:fill="auto"/>
            <w:noWrap w:val="0"/>
            <w:tcMar>
              <w:top w:w="12" w:type="dxa"/>
              <w:left w:w="12" w:type="dxa"/>
              <w:right w:w="12" w:type="dxa"/>
            </w:tcMar>
            <w:vAlign w:val="center"/>
          </w:tcPr>
          <w:p w14:paraId="6BA2FE50">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 xml:space="preserve">3 </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14:paraId="16B5F738">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云阳县妇女儿童医院建设项目</w:t>
            </w:r>
          </w:p>
        </w:tc>
        <w:tc>
          <w:tcPr>
            <w:tcW w:w="4644" w:type="dxa"/>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14:paraId="31C9744A">
            <w:pPr>
              <w:widowControl/>
              <w:spacing w:line="300" w:lineRule="exact"/>
              <w:jc w:val="left"/>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总建筑面积46150㎡，其中改建业务用房32270㎡，新建地下车库12500㎡，新增电梯井道及附属配套房屋1380㎡,医疗设备购置。</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14:paraId="73167BD5">
            <w:pPr>
              <w:spacing w:line="300" w:lineRule="exact"/>
              <w:jc w:val="center"/>
              <w:rPr>
                <w:rFonts w:ascii="Times New Roman" w:hAnsi="Times New Roman" w:eastAsia="方正仿宋_GBK" w:cs="方正仿宋_GBK"/>
                <w:b w:val="0"/>
                <w:bCs w:val="0"/>
                <w:sz w:val="18"/>
                <w:szCs w:val="18"/>
              </w:rPr>
            </w:pPr>
          </w:p>
        </w:tc>
        <w:tc>
          <w:tcPr>
            <w:tcW w:w="564" w:type="dxa"/>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14:paraId="72375727">
            <w:pPr>
              <w:spacing w:line="300" w:lineRule="exact"/>
              <w:jc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sz w:val="18"/>
                <w:szCs w:val="18"/>
              </w:rPr>
              <w:t>县人民医院老院</w:t>
            </w:r>
          </w:p>
        </w:tc>
        <w:tc>
          <w:tcPr>
            <w:tcW w:w="511" w:type="dxa"/>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14:paraId="156D7D68">
            <w:pPr>
              <w:spacing w:line="300" w:lineRule="exact"/>
              <w:jc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sz w:val="18"/>
                <w:szCs w:val="18"/>
              </w:rPr>
              <w:t>改扩建</w:t>
            </w:r>
          </w:p>
        </w:tc>
        <w:tc>
          <w:tcPr>
            <w:tcW w:w="821" w:type="dxa"/>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14:paraId="297808C0">
            <w:pPr>
              <w:spacing w:line="300" w:lineRule="exact"/>
              <w:jc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sz w:val="18"/>
                <w:szCs w:val="18"/>
              </w:rPr>
              <w:t>2020-2022</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14:paraId="52781D9D">
            <w:pPr>
              <w:spacing w:line="300" w:lineRule="exact"/>
              <w:jc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sz w:val="18"/>
                <w:szCs w:val="18"/>
              </w:rPr>
              <w:t>30700</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14:paraId="7E159412">
            <w:pPr>
              <w:spacing w:line="300" w:lineRule="exact"/>
              <w:jc w:val="center"/>
              <w:rPr>
                <w:rFonts w:ascii="Times New Roman" w:hAnsi="Times New Roman" w:eastAsia="方正仿宋_GBK" w:cs="方正仿宋_GBK"/>
                <w:b w:val="0"/>
                <w:bCs w:val="0"/>
                <w:sz w:val="18"/>
                <w:szCs w:val="18"/>
              </w:rPr>
            </w:pPr>
          </w:p>
        </w:tc>
        <w:tc>
          <w:tcPr>
            <w:tcW w:w="636" w:type="dxa"/>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14:paraId="6FF41C96">
            <w:pPr>
              <w:spacing w:line="300" w:lineRule="exact"/>
              <w:jc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sz w:val="18"/>
                <w:szCs w:val="18"/>
              </w:rPr>
              <w:t>20000</w:t>
            </w:r>
          </w:p>
        </w:tc>
        <w:tc>
          <w:tcPr>
            <w:tcW w:w="564" w:type="dxa"/>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14:paraId="56E533BA">
            <w:pPr>
              <w:spacing w:line="300" w:lineRule="exact"/>
              <w:jc w:val="center"/>
              <w:rPr>
                <w:rFonts w:ascii="Times New Roman" w:hAnsi="Times New Roman" w:eastAsia="方正仿宋_GBK" w:cs="方正仿宋_GBK"/>
                <w:b w:val="0"/>
                <w:bCs w:val="0"/>
                <w:sz w:val="18"/>
                <w:szCs w:val="18"/>
              </w:rPr>
            </w:pP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14:paraId="12F205C4">
            <w:pPr>
              <w:spacing w:line="300" w:lineRule="exact"/>
              <w:jc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sz w:val="18"/>
                <w:szCs w:val="18"/>
              </w:rPr>
              <w:t>9200</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14:paraId="789A1AA6">
            <w:pPr>
              <w:spacing w:line="300" w:lineRule="exact"/>
              <w:jc w:val="center"/>
              <w:rPr>
                <w:rFonts w:ascii="Times New Roman" w:hAnsi="Times New Roman" w:eastAsia="方正仿宋_GBK" w:cs="方正仿宋_GBK"/>
                <w:b w:val="0"/>
                <w:bCs w:val="0"/>
                <w:sz w:val="18"/>
                <w:szCs w:val="18"/>
              </w:rPr>
            </w:pP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2" w:type="dxa"/>
              <w:left w:w="12" w:type="dxa"/>
              <w:right w:w="12" w:type="dxa"/>
            </w:tcMar>
            <w:vAlign w:val="center"/>
          </w:tcPr>
          <w:p w14:paraId="46AB2129">
            <w:pPr>
              <w:spacing w:line="300" w:lineRule="exact"/>
              <w:jc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sz w:val="18"/>
                <w:szCs w:val="18"/>
              </w:rPr>
              <w:t>1500</w:t>
            </w:r>
          </w:p>
        </w:tc>
      </w:tr>
      <w:tr w14:paraId="6A9FF2F3">
        <w:tblPrEx>
          <w:tblCellMar>
            <w:top w:w="0" w:type="dxa"/>
            <w:left w:w="0" w:type="dxa"/>
            <w:bottom w:w="0" w:type="dxa"/>
            <w:right w:w="0" w:type="dxa"/>
          </w:tblCellMar>
        </w:tblPrEx>
        <w:trPr>
          <w:trHeight w:val="1130" w:hRule="atLeast"/>
        </w:trPr>
        <w:tc>
          <w:tcPr>
            <w:tcW w:w="480" w:type="dxa"/>
            <w:tcBorders>
              <w:top w:val="single" w:color="000000" w:sz="4" w:space="0"/>
              <w:left w:val="single" w:color="000000" w:sz="4" w:space="0"/>
              <w:bottom w:val="single" w:color="000000" w:sz="4" w:space="0"/>
              <w:right w:val="nil"/>
            </w:tcBorders>
            <w:noWrap w:val="0"/>
            <w:tcMar>
              <w:top w:w="12" w:type="dxa"/>
              <w:left w:w="12" w:type="dxa"/>
              <w:right w:w="12" w:type="dxa"/>
            </w:tcMar>
            <w:vAlign w:val="center"/>
          </w:tcPr>
          <w:p w14:paraId="2029ED44">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4</w:t>
            </w:r>
          </w:p>
        </w:tc>
        <w:tc>
          <w:tcPr>
            <w:tcW w:w="133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D49D770">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云阳县中医院感染性疾病科业务用房项目</w:t>
            </w:r>
          </w:p>
        </w:tc>
        <w:tc>
          <w:tcPr>
            <w:tcW w:w="464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46F0525">
            <w:pPr>
              <w:spacing w:line="300" w:lineRule="exact"/>
              <w:jc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sz w:val="18"/>
                <w:szCs w:val="18"/>
              </w:rPr>
              <w:t>新建感染性科业务用房总建筑面积2000平方米，购置医疗设备5台。</w:t>
            </w:r>
          </w:p>
        </w:tc>
        <w:tc>
          <w:tcPr>
            <w:tcW w:w="60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7FE9774">
            <w:pPr>
              <w:spacing w:line="300" w:lineRule="exact"/>
              <w:jc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sz w:val="18"/>
                <w:szCs w:val="18"/>
              </w:rPr>
              <w:t>5</w:t>
            </w:r>
          </w:p>
        </w:tc>
        <w:tc>
          <w:tcPr>
            <w:tcW w:w="56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1FB7CF7">
            <w:pPr>
              <w:spacing w:line="300" w:lineRule="exact"/>
              <w:jc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sz w:val="18"/>
                <w:szCs w:val="18"/>
              </w:rPr>
              <w:t>县中医院院内</w:t>
            </w:r>
          </w:p>
        </w:tc>
        <w:tc>
          <w:tcPr>
            <w:tcW w:w="51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0FFD28C">
            <w:pPr>
              <w:spacing w:line="300" w:lineRule="exact"/>
              <w:jc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sz w:val="18"/>
                <w:szCs w:val="18"/>
              </w:rPr>
              <w:t>新建</w:t>
            </w:r>
          </w:p>
        </w:tc>
        <w:tc>
          <w:tcPr>
            <w:tcW w:w="82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64FD033">
            <w:pPr>
              <w:spacing w:line="300" w:lineRule="exact"/>
              <w:jc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sz w:val="18"/>
                <w:szCs w:val="18"/>
              </w:rPr>
              <w:t>2021-2022</w:t>
            </w:r>
          </w:p>
        </w:tc>
        <w:tc>
          <w:tcPr>
            <w:tcW w:w="80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C94A554">
            <w:pPr>
              <w:spacing w:line="300" w:lineRule="exact"/>
              <w:jc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sz w:val="18"/>
                <w:szCs w:val="18"/>
              </w:rPr>
              <w:t>1400</w:t>
            </w:r>
          </w:p>
        </w:tc>
        <w:tc>
          <w:tcPr>
            <w:tcW w:w="81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503A150">
            <w:pPr>
              <w:spacing w:line="300" w:lineRule="exact"/>
              <w:jc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sz w:val="18"/>
                <w:szCs w:val="18"/>
              </w:rPr>
              <w:t>1100</w:t>
            </w:r>
          </w:p>
        </w:tc>
        <w:tc>
          <w:tcPr>
            <w:tcW w:w="63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B5AB672">
            <w:pPr>
              <w:spacing w:line="300" w:lineRule="exact"/>
              <w:jc w:val="center"/>
              <w:rPr>
                <w:rFonts w:ascii="Times New Roman" w:hAnsi="Times New Roman" w:eastAsia="方正仿宋_GBK" w:cs="方正仿宋_GBK"/>
                <w:b w:val="0"/>
                <w:bCs w:val="0"/>
                <w:sz w:val="18"/>
                <w:szCs w:val="18"/>
              </w:rPr>
            </w:pPr>
          </w:p>
        </w:tc>
        <w:tc>
          <w:tcPr>
            <w:tcW w:w="56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47F9833">
            <w:pPr>
              <w:spacing w:line="300" w:lineRule="exact"/>
              <w:jc w:val="center"/>
              <w:rPr>
                <w:rFonts w:ascii="Times New Roman" w:hAnsi="Times New Roman" w:eastAsia="方正仿宋_GBK" w:cs="方正仿宋_GBK"/>
                <w:b w:val="0"/>
                <w:bCs w:val="0"/>
                <w:sz w:val="18"/>
                <w:szCs w:val="18"/>
              </w:rPr>
            </w:pPr>
          </w:p>
        </w:tc>
        <w:tc>
          <w:tcPr>
            <w:tcW w:w="57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441A45C">
            <w:pPr>
              <w:spacing w:line="300" w:lineRule="exact"/>
              <w:jc w:val="center"/>
              <w:rPr>
                <w:rFonts w:ascii="Times New Roman" w:hAnsi="Times New Roman" w:eastAsia="方正仿宋_GBK" w:cs="方正仿宋_GBK"/>
                <w:b w:val="0"/>
                <w:bCs w:val="0"/>
                <w:sz w:val="18"/>
                <w:szCs w:val="18"/>
              </w:rPr>
            </w:pPr>
          </w:p>
        </w:tc>
        <w:tc>
          <w:tcPr>
            <w:tcW w:w="62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9FFD8AC">
            <w:pPr>
              <w:spacing w:line="300" w:lineRule="exact"/>
              <w:jc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sz w:val="18"/>
                <w:szCs w:val="18"/>
              </w:rPr>
              <w:t>25</w:t>
            </w:r>
          </w:p>
        </w:tc>
        <w:tc>
          <w:tcPr>
            <w:tcW w:w="60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308C793">
            <w:pPr>
              <w:spacing w:line="300" w:lineRule="exact"/>
              <w:jc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sz w:val="18"/>
                <w:szCs w:val="18"/>
              </w:rPr>
              <w:t>275</w:t>
            </w:r>
          </w:p>
        </w:tc>
      </w:tr>
      <w:tr w14:paraId="3F14EEBF">
        <w:tblPrEx>
          <w:tblCellMar>
            <w:top w:w="0" w:type="dxa"/>
            <w:left w:w="0" w:type="dxa"/>
            <w:bottom w:w="0" w:type="dxa"/>
            <w:right w:w="0" w:type="dxa"/>
          </w:tblCellMar>
        </w:tblPrEx>
        <w:trPr>
          <w:trHeight w:val="944" w:hRule="atLeast"/>
        </w:trPr>
        <w:tc>
          <w:tcPr>
            <w:tcW w:w="480" w:type="dxa"/>
            <w:vMerge w:val="restart"/>
            <w:tcBorders>
              <w:top w:val="single" w:color="000000" w:sz="4" w:space="0"/>
              <w:left w:val="single" w:color="000000" w:sz="4" w:space="0"/>
              <w:right w:val="single" w:color="000000" w:sz="4" w:space="0"/>
            </w:tcBorders>
            <w:noWrap w:val="0"/>
            <w:tcMar>
              <w:top w:w="12" w:type="dxa"/>
              <w:left w:w="12" w:type="dxa"/>
              <w:right w:w="12" w:type="dxa"/>
            </w:tcMar>
            <w:vAlign w:val="center"/>
          </w:tcPr>
          <w:p w14:paraId="5C48E590">
            <w:pPr>
              <w:widowControl/>
              <w:spacing w:line="300" w:lineRule="exact"/>
              <w:jc w:val="center"/>
              <w:textAlignment w:val="center"/>
              <w:rPr>
                <w:rFonts w:ascii="Times New Roman" w:hAnsi="Times New Roman" w:eastAsia="方正仿宋_GBK" w:cs="方正仿宋_GBK"/>
                <w:b w:val="0"/>
                <w:bCs w:val="0"/>
                <w:kern w:val="0"/>
                <w:sz w:val="18"/>
                <w:szCs w:val="18"/>
                <w:lang w:bidi="ar"/>
              </w:rPr>
            </w:pPr>
            <w:r>
              <w:rPr>
                <w:rFonts w:hint="eastAsia" w:ascii="Times New Roman" w:hAnsi="Times New Roman" w:eastAsia="方正仿宋_GBK" w:cs="方正仿宋_GBK"/>
                <w:b w:val="0"/>
                <w:bCs w:val="0"/>
                <w:kern w:val="0"/>
                <w:sz w:val="18"/>
                <w:szCs w:val="18"/>
                <w:lang w:bidi="ar"/>
              </w:rPr>
              <w:t>序号</w:t>
            </w:r>
          </w:p>
        </w:tc>
        <w:tc>
          <w:tcPr>
            <w:tcW w:w="1332" w:type="dxa"/>
            <w:vMerge w:val="restart"/>
            <w:tcBorders>
              <w:top w:val="single" w:color="000000" w:sz="4" w:space="0"/>
              <w:left w:val="single" w:color="000000" w:sz="4" w:space="0"/>
              <w:right w:val="single" w:color="000000" w:sz="4" w:space="0"/>
            </w:tcBorders>
            <w:noWrap w:val="0"/>
            <w:tcMar>
              <w:top w:w="12" w:type="dxa"/>
              <w:left w:w="12" w:type="dxa"/>
              <w:right w:w="12" w:type="dxa"/>
            </w:tcMar>
            <w:vAlign w:val="center"/>
          </w:tcPr>
          <w:p w14:paraId="4E6109D9">
            <w:pPr>
              <w:widowControl/>
              <w:spacing w:line="300" w:lineRule="exact"/>
              <w:jc w:val="center"/>
              <w:textAlignment w:val="center"/>
              <w:rPr>
                <w:rFonts w:ascii="Times New Roman" w:hAnsi="Times New Roman" w:eastAsia="方正仿宋_GBK" w:cs="方正仿宋_GBK"/>
                <w:b w:val="0"/>
                <w:bCs w:val="0"/>
                <w:kern w:val="0"/>
                <w:sz w:val="18"/>
                <w:szCs w:val="18"/>
                <w:lang w:bidi="ar"/>
              </w:rPr>
            </w:pPr>
            <w:r>
              <w:rPr>
                <w:rFonts w:hint="eastAsia" w:ascii="Times New Roman" w:hAnsi="Times New Roman" w:eastAsia="方正仿宋_GBK" w:cs="方正仿宋_GBK"/>
                <w:b w:val="0"/>
                <w:bCs w:val="0"/>
                <w:kern w:val="0"/>
                <w:sz w:val="18"/>
                <w:szCs w:val="18"/>
                <w:lang w:bidi="ar"/>
              </w:rPr>
              <w:t>项目名称</w:t>
            </w:r>
          </w:p>
        </w:tc>
        <w:tc>
          <w:tcPr>
            <w:tcW w:w="4644" w:type="dxa"/>
            <w:vMerge w:val="restart"/>
            <w:tcBorders>
              <w:top w:val="single" w:color="000000" w:sz="4" w:space="0"/>
              <w:left w:val="single" w:color="000000" w:sz="4" w:space="0"/>
              <w:right w:val="single" w:color="000000" w:sz="4" w:space="0"/>
            </w:tcBorders>
            <w:noWrap w:val="0"/>
            <w:tcMar>
              <w:top w:w="12" w:type="dxa"/>
              <w:left w:w="12" w:type="dxa"/>
              <w:right w:w="12" w:type="dxa"/>
            </w:tcMar>
            <w:vAlign w:val="center"/>
          </w:tcPr>
          <w:p w14:paraId="62AE0410">
            <w:pPr>
              <w:widowControl/>
              <w:spacing w:line="300" w:lineRule="exact"/>
              <w:jc w:val="center"/>
              <w:textAlignment w:val="center"/>
              <w:rPr>
                <w:rFonts w:ascii="Times New Roman" w:hAnsi="Times New Roman" w:eastAsia="方正仿宋_GBK" w:cs="方正仿宋_GBK"/>
                <w:b w:val="0"/>
                <w:bCs w:val="0"/>
                <w:kern w:val="0"/>
                <w:sz w:val="18"/>
                <w:szCs w:val="18"/>
                <w:lang w:bidi="ar"/>
              </w:rPr>
            </w:pPr>
            <w:r>
              <w:rPr>
                <w:rFonts w:hint="eastAsia" w:ascii="Times New Roman" w:hAnsi="Times New Roman" w:eastAsia="方正仿宋_GBK" w:cs="方正仿宋_GBK"/>
                <w:b w:val="0"/>
                <w:bCs w:val="0"/>
                <w:kern w:val="0"/>
                <w:sz w:val="18"/>
                <w:szCs w:val="18"/>
                <w:lang w:bidi="ar"/>
              </w:rPr>
              <w:t>主要建设内容及规模</w:t>
            </w:r>
          </w:p>
        </w:tc>
        <w:tc>
          <w:tcPr>
            <w:tcW w:w="600" w:type="dxa"/>
            <w:vMerge w:val="restart"/>
            <w:tcBorders>
              <w:top w:val="single" w:color="000000" w:sz="4" w:space="0"/>
              <w:left w:val="single" w:color="000000" w:sz="4" w:space="0"/>
              <w:right w:val="single" w:color="000000" w:sz="4" w:space="0"/>
            </w:tcBorders>
            <w:noWrap w:val="0"/>
            <w:tcMar>
              <w:top w:w="12" w:type="dxa"/>
              <w:left w:w="12" w:type="dxa"/>
              <w:right w:w="12" w:type="dxa"/>
            </w:tcMar>
            <w:vAlign w:val="center"/>
          </w:tcPr>
          <w:p w14:paraId="15DEAFCD">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建设用地面积（亩）</w:t>
            </w:r>
          </w:p>
        </w:tc>
        <w:tc>
          <w:tcPr>
            <w:tcW w:w="564" w:type="dxa"/>
            <w:vMerge w:val="restart"/>
            <w:tcBorders>
              <w:top w:val="single" w:color="000000" w:sz="4" w:space="0"/>
              <w:left w:val="single" w:color="000000" w:sz="4" w:space="0"/>
              <w:right w:val="single" w:color="000000" w:sz="4" w:space="0"/>
            </w:tcBorders>
            <w:noWrap w:val="0"/>
            <w:tcMar>
              <w:top w:w="12" w:type="dxa"/>
              <w:left w:w="12" w:type="dxa"/>
              <w:right w:w="12" w:type="dxa"/>
            </w:tcMar>
            <w:vAlign w:val="center"/>
          </w:tcPr>
          <w:p w14:paraId="78F5CA2E">
            <w:pPr>
              <w:widowControl/>
              <w:spacing w:line="300" w:lineRule="exact"/>
              <w:jc w:val="center"/>
              <w:textAlignment w:val="center"/>
              <w:rPr>
                <w:rFonts w:ascii="Times New Roman" w:hAnsi="Times New Roman" w:eastAsia="方正仿宋_GBK" w:cs="方正仿宋_GBK"/>
                <w:b w:val="0"/>
                <w:bCs w:val="0"/>
                <w:kern w:val="0"/>
                <w:sz w:val="18"/>
                <w:szCs w:val="18"/>
                <w:lang w:bidi="ar"/>
              </w:rPr>
            </w:pPr>
            <w:r>
              <w:rPr>
                <w:rFonts w:hint="eastAsia" w:ascii="Times New Roman" w:hAnsi="Times New Roman" w:eastAsia="方正仿宋_GBK" w:cs="方正仿宋_GBK"/>
                <w:b w:val="0"/>
                <w:bCs w:val="0"/>
                <w:kern w:val="0"/>
                <w:sz w:val="18"/>
                <w:szCs w:val="18"/>
                <w:lang w:bidi="ar"/>
              </w:rPr>
              <w:t>建设地点</w:t>
            </w:r>
          </w:p>
        </w:tc>
        <w:tc>
          <w:tcPr>
            <w:tcW w:w="511" w:type="dxa"/>
            <w:vMerge w:val="restart"/>
            <w:tcBorders>
              <w:top w:val="single" w:color="000000" w:sz="4" w:space="0"/>
              <w:left w:val="single" w:color="000000" w:sz="4" w:space="0"/>
              <w:right w:val="single" w:color="000000" w:sz="4" w:space="0"/>
            </w:tcBorders>
            <w:noWrap w:val="0"/>
            <w:tcMar>
              <w:top w:w="12" w:type="dxa"/>
              <w:left w:w="12" w:type="dxa"/>
              <w:right w:w="12" w:type="dxa"/>
            </w:tcMar>
            <w:vAlign w:val="center"/>
          </w:tcPr>
          <w:p w14:paraId="340BA979">
            <w:pPr>
              <w:widowControl/>
              <w:spacing w:line="300" w:lineRule="exact"/>
              <w:jc w:val="center"/>
              <w:textAlignment w:val="center"/>
              <w:rPr>
                <w:rFonts w:ascii="Times New Roman" w:hAnsi="Times New Roman" w:eastAsia="方正仿宋_GBK" w:cs="方正仿宋_GBK"/>
                <w:b w:val="0"/>
                <w:bCs w:val="0"/>
                <w:kern w:val="0"/>
                <w:sz w:val="18"/>
                <w:szCs w:val="18"/>
                <w:lang w:bidi="ar"/>
              </w:rPr>
            </w:pPr>
            <w:r>
              <w:rPr>
                <w:rFonts w:hint="eastAsia" w:ascii="Times New Roman" w:hAnsi="Times New Roman" w:eastAsia="方正仿宋_GBK" w:cs="方正仿宋_GBK"/>
                <w:b w:val="0"/>
                <w:bCs w:val="0"/>
                <w:kern w:val="0"/>
                <w:sz w:val="18"/>
                <w:szCs w:val="18"/>
                <w:lang w:bidi="ar"/>
              </w:rPr>
              <w:t>建设性质</w:t>
            </w:r>
          </w:p>
        </w:tc>
        <w:tc>
          <w:tcPr>
            <w:tcW w:w="821" w:type="dxa"/>
            <w:vMerge w:val="restart"/>
            <w:tcBorders>
              <w:top w:val="single" w:color="000000" w:sz="4" w:space="0"/>
              <w:left w:val="single" w:color="000000" w:sz="4" w:space="0"/>
              <w:right w:val="single" w:color="000000" w:sz="4" w:space="0"/>
            </w:tcBorders>
            <w:noWrap w:val="0"/>
            <w:tcMar>
              <w:top w:w="12" w:type="dxa"/>
              <w:left w:w="12" w:type="dxa"/>
              <w:right w:w="12" w:type="dxa"/>
            </w:tcMar>
            <w:vAlign w:val="center"/>
          </w:tcPr>
          <w:p w14:paraId="7DDF80E7">
            <w:pPr>
              <w:widowControl/>
              <w:spacing w:line="300" w:lineRule="exact"/>
              <w:jc w:val="center"/>
              <w:textAlignment w:val="center"/>
              <w:rPr>
                <w:rFonts w:ascii="Times New Roman" w:hAnsi="Times New Roman" w:eastAsia="方正仿宋_GBK" w:cs="方正仿宋_GBK"/>
                <w:b w:val="0"/>
                <w:bCs w:val="0"/>
                <w:kern w:val="0"/>
                <w:sz w:val="18"/>
                <w:szCs w:val="18"/>
                <w:lang w:bidi="ar"/>
              </w:rPr>
            </w:pPr>
            <w:r>
              <w:rPr>
                <w:rFonts w:hint="eastAsia" w:ascii="Times New Roman" w:hAnsi="Times New Roman" w:eastAsia="方正仿宋_GBK" w:cs="方正仿宋_GBK"/>
                <w:b w:val="0"/>
                <w:bCs w:val="0"/>
                <w:kern w:val="0"/>
                <w:sz w:val="18"/>
                <w:szCs w:val="18"/>
                <w:lang w:bidi="ar"/>
              </w:rPr>
              <w:t xml:space="preserve">建设工期    </w:t>
            </w:r>
          </w:p>
        </w:tc>
        <w:tc>
          <w:tcPr>
            <w:tcW w:w="4620" w:type="dxa"/>
            <w:gridSpan w:val="7"/>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1629534">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计划资金来源（单位：万元）</w:t>
            </w:r>
          </w:p>
        </w:tc>
      </w:tr>
      <w:tr w14:paraId="65AE1761">
        <w:tblPrEx>
          <w:tblCellMar>
            <w:top w:w="0" w:type="dxa"/>
            <w:left w:w="0" w:type="dxa"/>
            <w:bottom w:w="0" w:type="dxa"/>
            <w:right w:w="0" w:type="dxa"/>
          </w:tblCellMar>
        </w:tblPrEx>
        <w:trPr>
          <w:trHeight w:val="872" w:hRule="atLeast"/>
        </w:trPr>
        <w:tc>
          <w:tcPr>
            <w:tcW w:w="480" w:type="dxa"/>
            <w:vMerge w:val="continue"/>
            <w:tcBorders>
              <w:left w:val="single" w:color="000000" w:sz="4" w:space="0"/>
              <w:bottom w:val="single" w:color="000000" w:sz="4" w:space="0"/>
              <w:right w:val="single" w:color="000000" w:sz="4" w:space="0"/>
            </w:tcBorders>
            <w:noWrap w:val="0"/>
            <w:tcMar>
              <w:top w:w="12" w:type="dxa"/>
              <w:left w:w="12" w:type="dxa"/>
              <w:right w:w="12" w:type="dxa"/>
            </w:tcMar>
            <w:vAlign w:val="center"/>
          </w:tcPr>
          <w:p w14:paraId="7CE83D5D">
            <w:pPr>
              <w:spacing w:line="300" w:lineRule="exact"/>
              <w:jc w:val="center"/>
              <w:rPr>
                <w:rFonts w:ascii="Times New Roman" w:hAnsi="Times New Roman" w:eastAsia="方正仿宋_GBK" w:cs="方正仿宋_GBK"/>
                <w:b w:val="0"/>
                <w:bCs w:val="0"/>
                <w:kern w:val="0"/>
                <w:sz w:val="18"/>
                <w:szCs w:val="18"/>
                <w:lang w:bidi="ar"/>
              </w:rPr>
            </w:pPr>
          </w:p>
        </w:tc>
        <w:tc>
          <w:tcPr>
            <w:tcW w:w="1332" w:type="dxa"/>
            <w:vMerge w:val="continue"/>
            <w:tcBorders>
              <w:left w:val="single" w:color="000000" w:sz="4" w:space="0"/>
              <w:bottom w:val="single" w:color="000000" w:sz="4" w:space="0"/>
              <w:right w:val="single" w:color="000000" w:sz="4" w:space="0"/>
            </w:tcBorders>
            <w:noWrap w:val="0"/>
            <w:tcMar>
              <w:top w:w="12" w:type="dxa"/>
              <w:left w:w="12" w:type="dxa"/>
              <w:right w:w="12" w:type="dxa"/>
            </w:tcMar>
            <w:vAlign w:val="center"/>
          </w:tcPr>
          <w:p w14:paraId="44BE9AE6">
            <w:pPr>
              <w:spacing w:line="300" w:lineRule="exact"/>
              <w:jc w:val="center"/>
              <w:rPr>
                <w:rFonts w:ascii="Times New Roman" w:hAnsi="Times New Roman" w:eastAsia="方正仿宋_GBK" w:cs="方正仿宋_GBK"/>
                <w:b w:val="0"/>
                <w:bCs w:val="0"/>
                <w:kern w:val="0"/>
                <w:sz w:val="18"/>
                <w:szCs w:val="18"/>
                <w:lang w:bidi="ar"/>
              </w:rPr>
            </w:pPr>
          </w:p>
        </w:tc>
        <w:tc>
          <w:tcPr>
            <w:tcW w:w="4644" w:type="dxa"/>
            <w:vMerge w:val="continue"/>
            <w:tcBorders>
              <w:left w:val="single" w:color="000000" w:sz="4" w:space="0"/>
              <w:bottom w:val="single" w:color="000000" w:sz="4" w:space="0"/>
              <w:right w:val="single" w:color="000000" w:sz="4" w:space="0"/>
            </w:tcBorders>
            <w:noWrap w:val="0"/>
            <w:tcMar>
              <w:top w:w="12" w:type="dxa"/>
              <w:left w:w="12" w:type="dxa"/>
              <w:right w:w="12" w:type="dxa"/>
            </w:tcMar>
            <w:vAlign w:val="center"/>
          </w:tcPr>
          <w:p w14:paraId="57E4E640">
            <w:pPr>
              <w:spacing w:line="300" w:lineRule="exact"/>
              <w:jc w:val="center"/>
              <w:rPr>
                <w:rFonts w:ascii="Times New Roman" w:hAnsi="Times New Roman" w:eastAsia="方正仿宋_GBK" w:cs="方正仿宋_GBK"/>
                <w:b w:val="0"/>
                <w:bCs w:val="0"/>
                <w:kern w:val="0"/>
                <w:sz w:val="18"/>
                <w:szCs w:val="18"/>
                <w:lang w:bidi="ar"/>
              </w:rPr>
            </w:pPr>
          </w:p>
        </w:tc>
        <w:tc>
          <w:tcPr>
            <w:tcW w:w="600" w:type="dxa"/>
            <w:vMerge w:val="continue"/>
            <w:tcBorders>
              <w:left w:val="single" w:color="000000" w:sz="4" w:space="0"/>
              <w:bottom w:val="single" w:color="000000" w:sz="4" w:space="0"/>
              <w:right w:val="single" w:color="000000" w:sz="4" w:space="0"/>
            </w:tcBorders>
            <w:noWrap w:val="0"/>
            <w:tcMar>
              <w:top w:w="12" w:type="dxa"/>
              <w:left w:w="12" w:type="dxa"/>
              <w:right w:w="12" w:type="dxa"/>
            </w:tcMar>
            <w:vAlign w:val="center"/>
          </w:tcPr>
          <w:p w14:paraId="21856869">
            <w:pPr>
              <w:spacing w:line="300" w:lineRule="exact"/>
              <w:jc w:val="center"/>
              <w:rPr>
                <w:rFonts w:ascii="Times New Roman" w:hAnsi="Times New Roman" w:eastAsia="方正仿宋_GBK" w:cs="方正仿宋_GBK"/>
                <w:b w:val="0"/>
                <w:bCs w:val="0"/>
                <w:sz w:val="18"/>
                <w:szCs w:val="18"/>
              </w:rPr>
            </w:pPr>
          </w:p>
        </w:tc>
        <w:tc>
          <w:tcPr>
            <w:tcW w:w="564" w:type="dxa"/>
            <w:vMerge w:val="continue"/>
            <w:tcBorders>
              <w:left w:val="single" w:color="000000" w:sz="4" w:space="0"/>
              <w:bottom w:val="single" w:color="000000" w:sz="4" w:space="0"/>
              <w:right w:val="single" w:color="000000" w:sz="4" w:space="0"/>
            </w:tcBorders>
            <w:noWrap w:val="0"/>
            <w:tcMar>
              <w:top w:w="12" w:type="dxa"/>
              <w:left w:w="12" w:type="dxa"/>
              <w:right w:w="12" w:type="dxa"/>
            </w:tcMar>
            <w:vAlign w:val="center"/>
          </w:tcPr>
          <w:p w14:paraId="41307BF4">
            <w:pPr>
              <w:spacing w:line="300" w:lineRule="exact"/>
              <w:jc w:val="center"/>
              <w:rPr>
                <w:rFonts w:ascii="Times New Roman" w:hAnsi="Times New Roman" w:eastAsia="方正仿宋_GBK" w:cs="方正仿宋_GBK"/>
                <w:b w:val="0"/>
                <w:bCs w:val="0"/>
                <w:kern w:val="0"/>
                <w:sz w:val="18"/>
                <w:szCs w:val="18"/>
                <w:lang w:bidi="ar"/>
              </w:rPr>
            </w:pPr>
          </w:p>
        </w:tc>
        <w:tc>
          <w:tcPr>
            <w:tcW w:w="511" w:type="dxa"/>
            <w:vMerge w:val="continue"/>
            <w:tcBorders>
              <w:left w:val="single" w:color="000000" w:sz="4" w:space="0"/>
              <w:bottom w:val="single" w:color="000000" w:sz="4" w:space="0"/>
              <w:right w:val="single" w:color="000000" w:sz="4" w:space="0"/>
            </w:tcBorders>
            <w:noWrap w:val="0"/>
            <w:tcMar>
              <w:top w:w="12" w:type="dxa"/>
              <w:left w:w="12" w:type="dxa"/>
              <w:right w:w="12" w:type="dxa"/>
            </w:tcMar>
            <w:vAlign w:val="center"/>
          </w:tcPr>
          <w:p w14:paraId="773D07C4">
            <w:pPr>
              <w:spacing w:line="300" w:lineRule="exact"/>
              <w:jc w:val="center"/>
              <w:rPr>
                <w:rFonts w:ascii="Times New Roman" w:hAnsi="Times New Roman" w:eastAsia="方正仿宋_GBK" w:cs="方正仿宋_GBK"/>
                <w:b w:val="0"/>
                <w:bCs w:val="0"/>
                <w:kern w:val="0"/>
                <w:sz w:val="18"/>
                <w:szCs w:val="18"/>
                <w:lang w:bidi="ar"/>
              </w:rPr>
            </w:pPr>
          </w:p>
        </w:tc>
        <w:tc>
          <w:tcPr>
            <w:tcW w:w="821" w:type="dxa"/>
            <w:vMerge w:val="continue"/>
            <w:tcBorders>
              <w:left w:val="single" w:color="000000" w:sz="4" w:space="0"/>
              <w:bottom w:val="single" w:color="000000" w:sz="4" w:space="0"/>
              <w:right w:val="single" w:color="000000" w:sz="4" w:space="0"/>
            </w:tcBorders>
            <w:noWrap w:val="0"/>
            <w:tcMar>
              <w:top w:w="12" w:type="dxa"/>
              <w:left w:w="12" w:type="dxa"/>
              <w:right w:w="12" w:type="dxa"/>
            </w:tcMar>
            <w:vAlign w:val="center"/>
          </w:tcPr>
          <w:p w14:paraId="22093C75">
            <w:pPr>
              <w:spacing w:line="300" w:lineRule="exact"/>
              <w:jc w:val="center"/>
              <w:rPr>
                <w:rFonts w:ascii="Times New Roman" w:hAnsi="Times New Roman" w:eastAsia="方正仿宋_GBK" w:cs="方正仿宋_GBK"/>
                <w:b w:val="0"/>
                <w:bCs w:val="0"/>
                <w:kern w:val="0"/>
                <w:sz w:val="18"/>
                <w:szCs w:val="18"/>
                <w:lang w:bidi="ar"/>
              </w:rPr>
            </w:pPr>
          </w:p>
        </w:tc>
        <w:tc>
          <w:tcPr>
            <w:tcW w:w="80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2676BD6">
            <w:pPr>
              <w:widowControl/>
              <w:spacing w:line="300" w:lineRule="exact"/>
              <w:jc w:val="center"/>
              <w:textAlignment w:val="center"/>
              <w:rPr>
                <w:rFonts w:ascii="Times New Roman" w:hAnsi="Times New Roman" w:eastAsia="方正仿宋_GBK" w:cs="方正仿宋_GBK"/>
                <w:b w:val="0"/>
                <w:bCs w:val="0"/>
                <w:kern w:val="0"/>
                <w:sz w:val="18"/>
                <w:szCs w:val="18"/>
                <w:lang w:bidi="ar"/>
              </w:rPr>
            </w:pPr>
            <w:r>
              <w:rPr>
                <w:rFonts w:hint="eastAsia" w:ascii="Times New Roman" w:hAnsi="Times New Roman" w:eastAsia="方正仿宋_GBK" w:cs="方正仿宋_GBK"/>
                <w:b w:val="0"/>
                <w:bCs w:val="0"/>
                <w:kern w:val="0"/>
                <w:sz w:val="18"/>
                <w:szCs w:val="18"/>
                <w:lang w:bidi="ar"/>
              </w:rPr>
              <w:t>总投资</w:t>
            </w:r>
          </w:p>
        </w:tc>
        <w:tc>
          <w:tcPr>
            <w:tcW w:w="81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C780EC2">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中央</w:t>
            </w:r>
            <w:r>
              <w:rPr>
                <w:rFonts w:hint="eastAsia" w:ascii="Times New Roman" w:hAnsi="Times New Roman" w:eastAsia="方正仿宋_GBK" w:cs="方正仿宋_GBK"/>
                <w:b w:val="0"/>
                <w:bCs w:val="0"/>
                <w:kern w:val="0"/>
                <w:sz w:val="18"/>
                <w:szCs w:val="18"/>
                <w:lang w:bidi="ar"/>
              </w:rPr>
              <w:br w:type="textWrapping"/>
            </w:r>
            <w:r>
              <w:rPr>
                <w:rFonts w:hint="eastAsia" w:ascii="Times New Roman" w:hAnsi="Times New Roman" w:eastAsia="方正仿宋_GBK" w:cs="方正仿宋_GBK"/>
                <w:b w:val="0"/>
                <w:bCs w:val="0"/>
                <w:kern w:val="0"/>
                <w:sz w:val="18"/>
                <w:szCs w:val="18"/>
                <w:lang w:bidi="ar"/>
              </w:rPr>
              <w:t>预算内投资需求</w:t>
            </w:r>
          </w:p>
        </w:tc>
        <w:tc>
          <w:tcPr>
            <w:tcW w:w="63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06A58F9">
            <w:pPr>
              <w:widowControl/>
              <w:spacing w:line="300" w:lineRule="exact"/>
              <w:jc w:val="center"/>
              <w:textAlignment w:val="center"/>
              <w:rPr>
                <w:rFonts w:ascii="Times New Roman" w:hAnsi="Times New Roman" w:eastAsia="方正仿宋_GBK" w:cs="方正仿宋_GBK"/>
                <w:b w:val="0"/>
                <w:bCs w:val="0"/>
                <w:kern w:val="0"/>
                <w:sz w:val="18"/>
                <w:szCs w:val="18"/>
                <w:lang w:bidi="ar"/>
              </w:rPr>
            </w:pPr>
            <w:r>
              <w:rPr>
                <w:rFonts w:hint="eastAsia" w:ascii="Times New Roman" w:hAnsi="Times New Roman" w:eastAsia="方正仿宋_GBK" w:cs="方正仿宋_GBK"/>
                <w:b w:val="0"/>
                <w:bCs w:val="0"/>
                <w:kern w:val="0"/>
                <w:sz w:val="18"/>
                <w:szCs w:val="18"/>
                <w:lang w:bidi="ar"/>
              </w:rPr>
              <w:t>专项债券资金需求</w:t>
            </w:r>
          </w:p>
        </w:tc>
        <w:tc>
          <w:tcPr>
            <w:tcW w:w="56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6D2FFA1">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县级</w:t>
            </w:r>
            <w:r>
              <w:rPr>
                <w:rFonts w:hint="eastAsia" w:ascii="Times New Roman" w:hAnsi="Times New Roman" w:eastAsia="方正仿宋_GBK" w:cs="方正仿宋_GBK"/>
                <w:b w:val="0"/>
                <w:bCs w:val="0"/>
                <w:kern w:val="0"/>
                <w:sz w:val="18"/>
                <w:szCs w:val="18"/>
                <w:lang w:bidi="ar"/>
              </w:rPr>
              <w:br w:type="textWrapping"/>
            </w:r>
            <w:r>
              <w:rPr>
                <w:rFonts w:hint="eastAsia" w:ascii="Times New Roman" w:hAnsi="Times New Roman" w:eastAsia="方正仿宋_GBK" w:cs="方正仿宋_GBK"/>
                <w:b w:val="0"/>
                <w:bCs w:val="0"/>
                <w:kern w:val="0"/>
                <w:sz w:val="18"/>
                <w:szCs w:val="18"/>
                <w:lang w:bidi="ar"/>
              </w:rPr>
              <w:t>资金</w:t>
            </w:r>
          </w:p>
        </w:tc>
        <w:tc>
          <w:tcPr>
            <w:tcW w:w="57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656BD05">
            <w:pPr>
              <w:widowControl/>
              <w:spacing w:line="300" w:lineRule="exact"/>
              <w:jc w:val="center"/>
              <w:textAlignment w:val="center"/>
              <w:rPr>
                <w:rFonts w:ascii="Times New Roman" w:hAnsi="Times New Roman" w:eastAsia="方正仿宋_GBK" w:cs="方正仿宋_GBK"/>
                <w:b w:val="0"/>
                <w:bCs w:val="0"/>
                <w:kern w:val="0"/>
                <w:sz w:val="18"/>
                <w:szCs w:val="18"/>
                <w:lang w:bidi="ar"/>
              </w:rPr>
            </w:pPr>
            <w:r>
              <w:rPr>
                <w:rFonts w:hint="eastAsia" w:ascii="Times New Roman" w:hAnsi="Times New Roman" w:eastAsia="方正仿宋_GBK" w:cs="方正仿宋_GBK"/>
                <w:b w:val="0"/>
                <w:bCs w:val="0"/>
                <w:kern w:val="0"/>
                <w:sz w:val="18"/>
                <w:szCs w:val="18"/>
                <w:lang w:bidi="ar"/>
              </w:rPr>
              <w:t>银行</w:t>
            </w:r>
            <w:r>
              <w:rPr>
                <w:rFonts w:hint="eastAsia" w:ascii="Times New Roman" w:hAnsi="Times New Roman" w:eastAsia="方正仿宋_GBK" w:cs="方正仿宋_GBK"/>
                <w:b w:val="0"/>
                <w:bCs w:val="0"/>
                <w:kern w:val="0"/>
                <w:sz w:val="18"/>
                <w:szCs w:val="18"/>
                <w:lang w:bidi="ar"/>
              </w:rPr>
              <w:br w:type="textWrapping"/>
            </w:r>
            <w:r>
              <w:rPr>
                <w:rFonts w:hint="eastAsia" w:ascii="Times New Roman" w:hAnsi="Times New Roman" w:eastAsia="方正仿宋_GBK" w:cs="方正仿宋_GBK"/>
                <w:b w:val="0"/>
                <w:bCs w:val="0"/>
                <w:kern w:val="0"/>
                <w:sz w:val="18"/>
                <w:szCs w:val="18"/>
                <w:lang w:bidi="ar"/>
              </w:rPr>
              <w:t>贷款</w:t>
            </w:r>
          </w:p>
        </w:tc>
        <w:tc>
          <w:tcPr>
            <w:tcW w:w="62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8C69518">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业主</w:t>
            </w:r>
            <w:r>
              <w:rPr>
                <w:rFonts w:hint="eastAsia" w:ascii="Times New Roman" w:hAnsi="Times New Roman" w:eastAsia="方正仿宋_GBK" w:cs="方正仿宋_GBK"/>
                <w:b w:val="0"/>
                <w:bCs w:val="0"/>
                <w:kern w:val="0"/>
                <w:sz w:val="18"/>
                <w:szCs w:val="18"/>
                <w:lang w:bidi="ar"/>
              </w:rPr>
              <w:br w:type="textWrapping"/>
            </w:r>
            <w:r>
              <w:rPr>
                <w:rFonts w:hint="eastAsia" w:ascii="Times New Roman" w:hAnsi="Times New Roman" w:eastAsia="方正仿宋_GBK" w:cs="方正仿宋_GBK"/>
                <w:b w:val="0"/>
                <w:bCs w:val="0"/>
                <w:kern w:val="0"/>
                <w:sz w:val="18"/>
                <w:szCs w:val="18"/>
                <w:lang w:bidi="ar"/>
              </w:rPr>
              <w:t>自筹</w:t>
            </w:r>
          </w:p>
        </w:tc>
        <w:tc>
          <w:tcPr>
            <w:tcW w:w="60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502C6A5">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其它</w:t>
            </w:r>
            <w:r>
              <w:rPr>
                <w:rFonts w:hint="eastAsia" w:ascii="Times New Roman" w:hAnsi="Times New Roman" w:eastAsia="方正仿宋_GBK" w:cs="方正仿宋_GBK"/>
                <w:b w:val="0"/>
                <w:bCs w:val="0"/>
                <w:kern w:val="0"/>
                <w:sz w:val="18"/>
                <w:szCs w:val="18"/>
                <w:lang w:bidi="ar"/>
              </w:rPr>
              <w:br w:type="textWrapping"/>
            </w:r>
            <w:r>
              <w:rPr>
                <w:rFonts w:hint="eastAsia" w:ascii="Times New Roman" w:hAnsi="Times New Roman" w:eastAsia="方正仿宋_GBK" w:cs="方正仿宋_GBK"/>
                <w:b w:val="0"/>
                <w:bCs w:val="0"/>
                <w:kern w:val="0"/>
                <w:sz w:val="18"/>
                <w:szCs w:val="18"/>
                <w:lang w:bidi="ar"/>
              </w:rPr>
              <w:t>投资</w:t>
            </w:r>
          </w:p>
        </w:tc>
      </w:tr>
      <w:tr w14:paraId="4AF00DCD">
        <w:tblPrEx>
          <w:tblCellMar>
            <w:top w:w="0" w:type="dxa"/>
            <w:left w:w="0" w:type="dxa"/>
            <w:bottom w:w="0" w:type="dxa"/>
            <w:right w:w="0" w:type="dxa"/>
          </w:tblCellMar>
        </w:tblPrEx>
        <w:trPr>
          <w:trHeight w:val="1414" w:hRule="atLeast"/>
        </w:trPr>
        <w:tc>
          <w:tcPr>
            <w:tcW w:w="4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AF2D272">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5</w:t>
            </w:r>
          </w:p>
        </w:tc>
        <w:tc>
          <w:tcPr>
            <w:tcW w:w="133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07A7DEA">
            <w:pPr>
              <w:widowControl/>
              <w:spacing w:line="300" w:lineRule="exact"/>
              <w:jc w:val="left"/>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云阳县妇女儿童医院附属配套用房及传染病综合楼建设项目</w:t>
            </w:r>
          </w:p>
        </w:tc>
        <w:tc>
          <w:tcPr>
            <w:tcW w:w="464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E4A70E6">
            <w:pPr>
              <w:widowControl/>
              <w:spacing w:line="300" w:lineRule="exact"/>
              <w:jc w:val="left"/>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购置县医院老院房屋及土地，新建食堂、会议室及相关附属配套用房建筑面积约4980㎡，改扩建原县医院传染病综合楼建筑面积5300㎡，设置病床约80张。</w:t>
            </w:r>
          </w:p>
        </w:tc>
        <w:tc>
          <w:tcPr>
            <w:tcW w:w="60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D8FCE90">
            <w:pPr>
              <w:spacing w:line="300" w:lineRule="exact"/>
              <w:jc w:val="center"/>
              <w:rPr>
                <w:rFonts w:ascii="Times New Roman" w:hAnsi="Times New Roman" w:eastAsia="方正仿宋_GBK" w:cs="方正仿宋_GBK"/>
                <w:b w:val="0"/>
                <w:bCs w:val="0"/>
                <w:sz w:val="18"/>
                <w:szCs w:val="18"/>
              </w:rPr>
            </w:pPr>
          </w:p>
        </w:tc>
        <w:tc>
          <w:tcPr>
            <w:tcW w:w="56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9F9DD06">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县妇女儿童医院传染病区</w:t>
            </w:r>
          </w:p>
        </w:tc>
        <w:tc>
          <w:tcPr>
            <w:tcW w:w="51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F1BE742">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改扩建</w:t>
            </w:r>
          </w:p>
        </w:tc>
        <w:tc>
          <w:tcPr>
            <w:tcW w:w="82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F04F93B">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2021-2022</w:t>
            </w:r>
          </w:p>
        </w:tc>
        <w:tc>
          <w:tcPr>
            <w:tcW w:w="80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99DEAC3">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 xml:space="preserve">19000 </w:t>
            </w:r>
          </w:p>
        </w:tc>
        <w:tc>
          <w:tcPr>
            <w:tcW w:w="81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A8E0C11">
            <w:pPr>
              <w:spacing w:line="300" w:lineRule="exact"/>
              <w:jc w:val="center"/>
              <w:rPr>
                <w:rFonts w:ascii="Times New Roman" w:hAnsi="Times New Roman" w:eastAsia="方正仿宋_GBK" w:cs="方正仿宋_GBK"/>
                <w:b w:val="0"/>
                <w:bCs w:val="0"/>
                <w:sz w:val="18"/>
                <w:szCs w:val="18"/>
              </w:rPr>
            </w:pPr>
          </w:p>
        </w:tc>
        <w:tc>
          <w:tcPr>
            <w:tcW w:w="63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A2A5721">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 xml:space="preserve">12000 </w:t>
            </w:r>
          </w:p>
        </w:tc>
        <w:tc>
          <w:tcPr>
            <w:tcW w:w="56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D57072D">
            <w:pPr>
              <w:spacing w:line="300" w:lineRule="exact"/>
              <w:jc w:val="center"/>
              <w:rPr>
                <w:rFonts w:ascii="Times New Roman" w:hAnsi="Times New Roman" w:eastAsia="方正仿宋_GBK" w:cs="方正仿宋_GBK"/>
                <w:b w:val="0"/>
                <w:bCs w:val="0"/>
                <w:sz w:val="18"/>
                <w:szCs w:val="18"/>
              </w:rPr>
            </w:pPr>
          </w:p>
        </w:tc>
        <w:tc>
          <w:tcPr>
            <w:tcW w:w="57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3AFF159">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 xml:space="preserve">7000 </w:t>
            </w:r>
          </w:p>
        </w:tc>
        <w:tc>
          <w:tcPr>
            <w:tcW w:w="62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7D65B1F">
            <w:pPr>
              <w:spacing w:line="300" w:lineRule="exact"/>
              <w:jc w:val="center"/>
              <w:rPr>
                <w:rFonts w:ascii="Times New Roman" w:hAnsi="Times New Roman" w:eastAsia="方正仿宋_GBK" w:cs="方正仿宋_GBK"/>
                <w:b w:val="0"/>
                <w:bCs w:val="0"/>
                <w:sz w:val="18"/>
                <w:szCs w:val="18"/>
              </w:rPr>
            </w:pPr>
          </w:p>
        </w:tc>
        <w:tc>
          <w:tcPr>
            <w:tcW w:w="60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AEF600A">
            <w:pPr>
              <w:spacing w:line="300" w:lineRule="exact"/>
              <w:jc w:val="center"/>
              <w:rPr>
                <w:rFonts w:ascii="Times New Roman" w:hAnsi="Times New Roman" w:eastAsia="方正仿宋_GBK" w:cs="方正仿宋_GBK"/>
                <w:b w:val="0"/>
                <w:bCs w:val="0"/>
                <w:sz w:val="18"/>
                <w:szCs w:val="18"/>
              </w:rPr>
            </w:pPr>
          </w:p>
        </w:tc>
      </w:tr>
      <w:tr w14:paraId="5C7A3211">
        <w:tblPrEx>
          <w:tblCellMar>
            <w:top w:w="0" w:type="dxa"/>
            <w:left w:w="0" w:type="dxa"/>
            <w:bottom w:w="0" w:type="dxa"/>
            <w:right w:w="0" w:type="dxa"/>
          </w:tblCellMar>
        </w:tblPrEx>
        <w:trPr>
          <w:trHeight w:val="1200" w:hRule="atLeast"/>
        </w:trPr>
        <w:tc>
          <w:tcPr>
            <w:tcW w:w="4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2838929">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 xml:space="preserve">6 </w:t>
            </w:r>
          </w:p>
        </w:tc>
        <w:tc>
          <w:tcPr>
            <w:tcW w:w="133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59B8C02">
            <w:pPr>
              <w:widowControl/>
              <w:spacing w:line="300" w:lineRule="exact"/>
              <w:jc w:val="left"/>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云阳县人民医院首诊隔离观察区项目（学生宿舍、教学楼）</w:t>
            </w:r>
          </w:p>
        </w:tc>
        <w:tc>
          <w:tcPr>
            <w:tcW w:w="464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0D126D4">
            <w:pPr>
              <w:widowControl/>
              <w:spacing w:line="300" w:lineRule="exact"/>
              <w:jc w:val="left"/>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建筑面积27309㎡，设置隔离观察房间700间。</w:t>
            </w:r>
          </w:p>
        </w:tc>
        <w:tc>
          <w:tcPr>
            <w:tcW w:w="60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EBDA48F">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15</w:t>
            </w:r>
          </w:p>
        </w:tc>
        <w:tc>
          <w:tcPr>
            <w:tcW w:w="56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BAB9882">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县人民医院院内</w:t>
            </w:r>
          </w:p>
        </w:tc>
        <w:tc>
          <w:tcPr>
            <w:tcW w:w="51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4549BFB">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新建</w:t>
            </w:r>
          </w:p>
        </w:tc>
        <w:tc>
          <w:tcPr>
            <w:tcW w:w="82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BE70763">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2021-2023</w:t>
            </w:r>
          </w:p>
        </w:tc>
        <w:tc>
          <w:tcPr>
            <w:tcW w:w="80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2A9C6A1">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 xml:space="preserve">16000 </w:t>
            </w:r>
          </w:p>
        </w:tc>
        <w:tc>
          <w:tcPr>
            <w:tcW w:w="81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BF103BC">
            <w:pPr>
              <w:spacing w:line="300" w:lineRule="exact"/>
              <w:jc w:val="center"/>
              <w:rPr>
                <w:rFonts w:ascii="Times New Roman" w:hAnsi="Times New Roman" w:eastAsia="方正仿宋_GBK" w:cs="方正仿宋_GBK"/>
                <w:b w:val="0"/>
                <w:bCs w:val="0"/>
                <w:sz w:val="18"/>
                <w:szCs w:val="18"/>
              </w:rPr>
            </w:pPr>
          </w:p>
        </w:tc>
        <w:tc>
          <w:tcPr>
            <w:tcW w:w="63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FF7105F">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 xml:space="preserve">10000 </w:t>
            </w:r>
          </w:p>
        </w:tc>
        <w:tc>
          <w:tcPr>
            <w:tcW w:w="56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5757FA5">
            <w:pPr>
              <w:spacing w:line="300" w:lineRule="exact"/>
              <w:jc w:val="center"/>
              <w:rPr>
                <w:rFonts w:ascii="Times New Roman" w:hAnsi="Times New Roman" w:eastAsia="方正仿宋_GBK" w:cs="方正仿宋_GBK"/>
                <w:b w:val="0"/>
                <w:bCs w:val="0"/>
                <w:sz w:val="18"/>
                <w:szCs w:val="18"/>
              </w:rPr>
            </w:pPr>
          </w:p>
        </w:tc>
        <w:tc>
          <w:tcPr>
            <w:tcW w:w="57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8A4B66C">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 xml:space="preserve">6000 </w:t>
            </w:r>
          </w:p>
        </w:tc>
        <w:tc>
          <w:tcPr>
            <w:tcW w:w="62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1D5AFC1">
            <w:pPr>
              <w:spacing w:line="300" w:lineRule="exact"/>
              <w:jc w:val="center"/>
              <w:rPr>
                <w:rFonts w:ascii="Times New Roman" w:hAnsi="Times New Roman" w:eastAsia="方正仿宋_GBK" w:cs="方正仿宋_GBK"/>
                <w:b w:val="0"/>
                <w:bCs w:val="0"/>
                <w:sz w:val="18"/>
                <w:szCs w:val="18"/>
              </w:rPr>
            </w:pPr>
          </w:p>
        </w:tc>
        <w:tc>
          <w:tcPr>
            <w:tcW w:w="60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64A5550">
            <w:pPr>
              <w:spacing w:line="300" w:lineRule="exact"/>
              <w:jc w:val="center"/>
              <w:rPr>
                <w:rFonts w:ascii="Times New Roman" w:hAnsi="Times New Roman" w:eastAsia="方正仿宋_GBK" w:cs="方正仿宋_GBK"/>
                <w:b w:val="0"/>
                <w:bCs w:val="0"/>
                <w:sz w:val="18"/>
                <w:szCs w:val="18"/>
              </w:rPr>
            </w:pPr>
          </w:p>
        </w:tc>
      </w:tr>
      <w:tr w14:paraId="1C8DEA94">
        <w:tblPrEx>
          <w:tblCellMar>
            <w:top w:w="0" w:type="dxa"/>
            <w:left w:w="0" w:type="dxa"/>
            <w:bottom w:w="0" w:type="dxa"/>
            <w:right w:w="0" w:type="dxa"/>
          </w:tblCellMar>
        </w:tblPrEx>
        <w:trPr>
          <w:trHeight w:val="1200" w:hRule="atLeast"/>
        </w:trPr>
        <w:tc>
          <w:tcPr>
            <w:tcW w:w="4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4918976">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7</w:t>
            </w:r>
          </w:p>
        </w:tc>
        <w:tc>
          <w:tcPr>
            <w:tcW w:w="133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9261F60">
            <w:pPr>
              <w:widowControl/>
              <w:spacing w:line="300" w:lineRule="exact"/>
              <w:jc w:val="left"/>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云阳县江南急救中心（云阳县龙角镇中心卫生院）建设项目</w:t>
            </w:r>
          </w:p>
        </w:tc>
        <w:tc>
          <w:tcPr>
            <w:tcW w:w="464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11F1BDF">
            <w:pPr>
              <w:widowControl/>
              <w:spacing w:line="300" w:lineRule="exact"/>
              <w:jc w:val="left"/>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建筑面积20000㎡，扩建业务用房20000㎡、相关配套附属设施及医疗设备配置。</w:t>
            </w:r>
          </w:p>
        </w:tc>
        <w:tc>
          <w:tcPr>
            <w:tcW w:w="60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54EFDC5">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 xml:space="preserve">19 </w:t>
            </w:r>
          </w:p>
        </w:tc>
        <w:tc>
          <w:tcPr>
            <w:tcW w:w="56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306E6D7">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龙角镇场镇</w:t>
            </w:r>
          </w:p>
        </w:tc>
        <w:tc>
          <w:tcPr>
            <w:tcW w:w="51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885F5BB">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新建</w:t>
            </w:r>
          </w:p>
        </w:tc>
        <w:tc>
          <w:tcPr>
            <w:tcW w:w="82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0ADA90E">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2022-2024</w:t>
            </w:r>
          </w:p>
        </w:tc>
        <w:tc>
          <w:tcPr>
            <w:tcW w:w="80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0714936">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 xml:space="preserve">20000 </w:t>
            </w:r>
          </w:p>
        </w:tc>
        <w:tc>
          <w:tcPr>
            <w:tcW w:w="81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32FB146">
            <w:pPr>
              <w:spacing w:line="300" w:lineRule="exact"/>
              <w:jc w:val="center"/>
              <w:rPr>
                <w:rFonts w:ascii="Times New Roman" w:hAnsi="Times New Roman" w:eastAsia="方正仿宋_GBK" w:cs="方正仿宋_GBK"/>
                <w:b w:val="0"/>
                <w:bCs w:val="0"/>
                <w:sz w:val="18"/>
                <w:szCs w:val="18"/>
              </w:rPr>
            </w:pPr>
          </w:p>
        </w:tc>
        <w:tc>
          <w:tcPr>
            <w:tcW w:w="63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6E7FBEF">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 xml:space="preserve">10000 </w:t>
            </w:r>
          </w:p>
        </w:tc>
        <w:tc>
          <w:tcPr>
            <w:tcW w:w="56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F3EFF04">
            <w:pPr>
              <w:spacing w:line="300" w:lineRule="exact"/>
              <w:jc w:val="center"/>
              <w:rPr>
                <w:rFonts w:ascii="Times New Roman" w:hAnsi="Times New Roman" w:eastAsia="方正仿宋_GBK" w:cs="方正仿宋_GBK"/>
                <w:b w:val="0"/>
                <w:bCs w:val="0"/>
                <w:sz w:val="18"/>
                <w:szCs w:val="18"/>
              </w:rPr>
            </w:pPr>
          </w:p>
        </w:tc>
        <w:tc>
          <w:tcPr>
            <w:tcW w:w="57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2AE763A">
            <w:pPr>
              <w:spacing w:line="300" w:lineRule="exact"/>
              <w:jc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10000</w:t>
            </w:r>
          </w:p>
        </w:tc>
        <w:tc>
          <w:tcPr>
            <w:tcW w:w="62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B3FF38D">
            <w:pPr>
              <w:spacing w:line="300" w:lineRule="exact"/>
              <w:jc w:val="center"/>
              <w:rPr>
                <w:rFonts w:ascii="Times New Roman" w:hAnsi="Times New Roman" w:eastAsia="方正仿宋_GBK" w:cs="方正仿宋_GBK"/>
                <w:b w:val="0"/>
                <w:bCs w:val="0"/>
                <w:sz w:val="18"/>
                <w:szCs w:val="18"/>
              </w:rPr>
            </w:pPr>
          </w:p>
        </w:tc>
        <w:tc>
          <w:tcPr>
            <w:tcW w:w="60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21A6199">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 xml:space="preserve"> </w:t>
            </w:r>
          </w:p>
        </w:tc>
      </w:tr>
      <w:tr w14:paraId="4D82D257">
        <w:tblPrEx>
          <w:tblCellMar>
            <w:top w:w="0" w:type="dxa"/>
            <w:left w:w="0" w:type="dxa"/>
            <w:bottom w:w="0" w:type="dxa"/>
            <w:right w:w="0" w:type="dxa"/>
          </w:tblCellMar>
        </w:tblPrEx>
        <w:trPr>
          <w:trHeight w:val="720" w:hRule="atLeast"/>
        </w:trPr>
        <w:tc>
          <w:tcPr>
            <w:tcW w:w="4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A45DF4B">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8</w:t>
            </w:r>
          </w:p>
        </w:tc>
        <w:tc>
          <w:tcPr>
            <w:tcW w:w="133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CA4EE61">
            <w:pPr>
              <w:widowControl/>
              <w:spacing w:line="300" w:lineRule="exact"/>
              <w:jc w:val="left"/>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云阳县疾病预防控制中心扩建升级项目</w:t>
            </w:r>
          </w:p>
        </w:tc>
        <w:tc>
          <w:tcPr>
            <w:tcW w:w="464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0E27E3C">
            <w:pPr>
              <w:widowControl/>
              <w:spacing w:line="300" w:lineRule="exact"/>
              <w:jc w:val="left"/>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建筑面积10000㎡，及设备设施等配套工程。</w:t>
            </w:r>
          </w:p>
        </w:tc>
        <w:tc>
          <w:tcPr>
            <w:tcW w:w="60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107C21D">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 xml:space="preserve">15 </w:t>
            </w:r>
          </w:p>
        </w:tc>
        <w:tc>
          <w:tcPr>
            <w:tcW w:w="56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04A23B8">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黄石高铁新城</w:t>
            </w:r>
          </w:p>
        </w:tc>
        <w:tc>
          <w:tcPr>
            <w:tcW w:w="51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1E7E16C">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新建</w:t>
            </w:r>
          </w:p>
        </w:tc>
        <w:tc>
          <w:tcPr>
            <w:tcW w:w="82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9C9F0D2">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2022-2023</w:t>
            </w:r>
          </w:p>
        </w:tc>
        <w:tc>
          <w:tcPr>
            <w:tcW w:w="80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216BFF1">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 xml:space="preserve">5000 </w:t>
            </w:r>
          </w:p>
        </w:tc>
        <w:tc>
          <w:tcPr>
            <w:tcW w:w="81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B57D453">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 xml:space="preserve">1000 </w:t>
            </w:r>
          </w:p>
        </w:tc>
        <w:tc>
          <w:tcPr>
            <w:tcW w:w="63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1F9DC8C">
            <w:pPr>
              <w:spacing w:line="300" w:lineRule="exact"/>
              <w:jc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sz w:val="18"/>
                <w:szCs w:val="18"/>
              </w:rPr>
              <w:t>4000</w:t>
            </w:r>
          </w:p>
        </w:tc>
        <w:tc>
          <w:tcPr>
            <w:tcW w:w="56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4B3BA3A">
            <w:pPr>
              <w:spacing w:line="300" w:lineRule="exact"/>
              <w:jc w:val="center"/>
              <w:rPr>
                <w:rFonts w:ascii="Times New Roman" w:hAnsi="Times New Roman" w:eastAsia="方正仿宋_GBK" w:cs="方正仿宋_GBK"/>
                <w:b w:val="0"/>
                <w:bCs w:val="0"/>
                <w:sz w:val="18"/>
                <w:szCs w:val="18"/>
              </w:rPr>
            </w:pPr>
          </w:p>
        </w:tc>
        <w:tc>
          <w:tcPr>
            <w:tcW w:w="57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D0A0F62">
            <w:pPr>
              <w:spacing w:line="300" w:lineRule="exact"/>
              <w:jc w:val="center"/>
              <w:rPr>
                <w:rFonts w:ascii="Times New Roman" w:hAnsi="Times New Roman" w:eastAsia="方正仿宋_GBK" w:cs="方正仿宋_GBK"/>
                <w:b w:val="0"/>
                <w:bCs w:val="0"/>
                <w:sz w:val="18"/>
                <w:szCs w:val="18"/>
              </w:rPr>
            </w:pPr>
          </w:p>
        </w:tc>
        <w:tc>
          <w:tcPr>
            <w:tcW w:w="62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DF9B429">
            <w:pPr>
              <w:spacing w:line="300" w:lineRule="exact"/>
              <w:jc w:val="center"/>
              <w:rPr>
                <w:rFonts w:ascii="Times New Roman" w:hAnsi="Times New Roman" w:eastAsia="方正仿宋_GBK" w:cs="方正仿宋_GBK"/>
                <w:b w:val="0"/>
                <w:bCs w:val="0"/>
                <w:sz w:val="18"/>
                <w:szCs w:val="18"/>
              </w:rPr>
            </w:pPr>
          </w:p>
        </w:tc>
        <w:tc>
          <w:tcPr>
            <w:tcW w:w="60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F4C3F2A">
            <w:pPr>
              <w:spacing w:line="300" w:lineRule="exact"/>
              <w:jc w:val="center"/>
              <w:rPr>
                <w:rFonts w:ascii="Times New Roman" w:hAnsi="Times New Roman" w:eastAsia="方正仿宋_GBK" w:cs="方正仿宋_GBK"/>
                <w:b w:val="0"/>
                <w:bCs w:val="0"/>
                <w:sz w:val="18"/>
                <w:szCs w:val="18"/>
              </w:rPr>
            </w:pPr>
          </w:p>
        </w:tc>
      </w:tr>
      <w:tr w14:paraId="67C9EE93">
        <w:tblPrEx>
          <w:tblCellMar>
            <w:top w:w="0" w:type="dxa"/>
            <w:left w:w="0" w:type="dxa"/>
            <w:bottom w:w="0" w:type="dxa"/>
            <w:right w:w="0" w:type="dxa"/>
          </w:tblCellMar>
        </w:tblPrEx>
        <w:trPr>
          <w:trHeight w:val="720" w:hRule="atLeast"/>
        </w:trPr>
        <w:tc>
          <w:tcPr>
            <w:tcW w:w="4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6A70C76">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9</w:t>
            </w:r>
          </w:p>
        </w:tc>
        <w:tc>
          <w:tcPr>
            <w:tcW w:w="133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58DB83A">
            <w:pPr>
              <w:widowControl/>
              <w:spacing w:line="300" w:lineRule="exact"/>
              <w:jc w:val="left"/>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云阳县人民医院黄石分院</w:t>
            </w:r>
          </w:p>
        </w:tc>
        <w:tc>
          <w:tcPr>
            <w:tcW w:w="464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E28D078">
            <w:pPr>
              <w:widowControl/>
              <w:spacing w:line="300" w:lineRule="exact"/>
              <w:jc w:val="left"/>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设计床位499张，规划建筑面积52000平方米，购置医疗设备</w:t>
            </w:r>
          </w:p>
        </w:tc>
        <w:tc>
          <w:tcPr>
            <w:tcW w:w="60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629229C">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 xml:space="preserve">76 </w:t>
            </w:r>
          </w:p>
        </w:tc>
        <w:tc>
          <w:tcPr>
            <w:tcW w:w="56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2710ED4">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黄石镇</w:t>
            </w:r>
          </w:p>
        </w:tc>
        <w:tc>
          <w:tcPr>
            <w:tcW w:w="51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D6476D2">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新建</w:t>
            </w:r>
          </w:p>
        </w:tc>
        <w:tc>
          <w:tcPr>
            <w:tcW w:w="82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9EC1036">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2022-2025</w:t>
            </w:r>
          </w:p>
        </w:tc>
        <w:tc>
          <w:tcPr>
            <w:tcW w:w="80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C3A474D">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 xml:space="preserve">60000 </w:t>
            </w:r>
          </w:p>
        </w:tc>
        <w:tc>
          <w:tcPr>
            <w:tcW w:w="81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C25EFCF">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5000</w:t>
            </w:r>
          </w:p>
        </w:tc>
        <w:tc>
          <w:tcPr>
            <w:tcW w:w="63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7821CDC">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 xml:space="preserve">30000 </w:t>
            </w:r>
          </w:p>
        </w:tc>
        <w:tc>
          <w:tcPr>
            <w:tcW w:w="56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07E06F8">
            <w:pPr>
              <w:spacing w:line="300" w:lineRule="exact"/>
              <w:jc w:val="center"/>
              <w:rPr>
                <w:rFonts w:ascii="Times New Roman" w:hAnsi="Times New Roman" w:eastAsia="方正仿宋_GBK" w:cs="方正仿宋_GBK"/>
                <w:b w:val="0"/>
                <w:bCs w:val="0"/>
                <w:sz w:val="18"/>
                <w:szCs w:val="18"/>
              </w:rPr>
            </w:pPr>
          </w:p>
        </w:tc>
        <w:tc>
          <w:tcPr>
            <w:tcW w:w="57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756F1F0">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 xml:space="preserve">25000 </w:t>
            </w:r>
          </w:p>
        </w:tc>
        <w:tc>
          <w:tcPr>
            <w:tcW w:w="62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581BE5E">
            <w:pPr>
              <w:spacing w:line="300" w:lineRule="exact"/>
              <w:jc w:val="center"/>
              <w:rPr>
                <w:rFonts w:ascii="Times New Roman" w:hAnsi="Times New Roman" w:eastAsia="方正仿宋_GBK" w:cs="方正仿宋_GBK"/>
                <w:b w:val="0"/>
                <w:bCs w:val="0"/>
                <w:sz w:val="18"/>
                <w:szCs w:val="18"/>
              </w:rPr>
            </w:pPr>
          </w:p>
        </w:tc>
        <w:tc>
          <w:tcPr>
            <w:tcW w:w="60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0D18A23">
            <w:pPr>
              <w:spacing w:line="300" w:lineRule="exact"/>
              <w:jc w:val="center"/>
              <w:rPr>
                <w:rFonts w:ascii="Times New Roman" w:hAnsi="Times New Roman" w:eastAsia="方正仿宋_GBK" w:cs="方正仿宋_GBK"/>
                <w:b w:val="0"/>
                <w:bCs w:val="0"/>
                <w:sz w:val="18"/>
                <w:szCs w:val="18"/>
              </w:rPr>
            </w:pPr>
          </w:p>
        </w:tc>
      </w:tr>
      <w:tr w14:paraId="681260D8">
        <w:tblPrEx>
          <w:tblCellMar>
            <w:top w:w="0" w:type="dxa"/>
            <w:left w:w="0" w:type="dxa"/>
            <w:bottom w:w="0" w:type="dxa"/>
            <w:right w:w="0" w:type="dxa"/>
          </w:tblCellMar>
        </w:tblPrEx>
        <w:trPr>
          <w:trHeight w:val="720" w:hRule="atLeast"/>
        </w:trPr>
        <w:tc>
          <w:tcPr>
            <w:tcW w:w="4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DEFE513">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10</w:t>
            </w:r>
          </w:p>
        </w:tc>
        <w:tc>
          <w:tcPr>
            <w:tcW w:w="133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1C04AB8">
            <w:pPr>
              <w:widowControl/>
              <w:spacing w:line="300" w:lineRule="exact"/>
              <w:jc w:val="left"/>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云阳县精神卫生保健院迁扩建项目</w:t>
            </w:r>
          </w:p>
        </w:tc>
        <w:tc>
          <w:tcPr>
            <w:tcW w:w="464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142C8DB">
            <w:pPr>
              <w:widowControl/>
              <w:spacing w:line="300" w:lineRule="exact"/>
              <w:jc w:val="left"/>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拟规划床位500张，建筑面积39000㎡，购置医疗设备。</w:t>
            </w:r>
          </w:p>
        </w:tc>
        <w:tc>
          <w:tcPr>
            <w:tcW w:w="60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8223C81">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108</w:t>
            </w:r>
          </w:p>
        </w:tc>
        <w:tc>
          <w:tcPr>
            <w:tcW w:w="56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353B16B">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黄石高铁新城</w:t>
            </w:r>
          </w:p>
        </w:tc>
        <w:tc>
          <w:tcPr>
            <w:tcW w:w="51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92958D4">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新建</w:t>
            </w:r>
          </w:p>
        </w:tc>
        <w:tc>
          <w:tcPr>
            <w:tcW w:w="82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A42C4D4">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2022-2025</w:t>
            </w:r>
          </w:p>
        </w:tc>
        <w:tc>
          <w:tcPr>
            <w:tcW w:w="80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9BFBCB8">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 xml:space="preserve">30000 </w:t>
            </w:r>
          </w:p>
        </w:tc>
        <w:tc>
          <w:tcPr>
            <w:tcW w:w="81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B78FABC">
            <w:pPr>
              <w:spacing w:line="300" w:lineRule="exact"/>
              <w:jc w:val="center"/>
              <w:rPr>
                <w:rFonts w:ascii="Times New Roman" w:hAnsi="Times New Roman" w:eastAsia="方正仿宋_GBK" w:cs="方正仿宋_GBK"/>
                <w:b w:val="0"/>
                <w:bCs w:val="0"/>
                <w:sz w:val="18"/>
                <w:szCs w:val="18"/>
              </w:rPr>
            </w:pPr>
          </w:p>
        </w:tc>
        <w:tc>
          <w:tcPr>
            <w:tcW w:w="63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7874609">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 xml:space="preserve">15000 </w:t>
            </w:r>
          </w:p>
        </w:tc>
        <w:tc>
          <w:tcPr>
            <w:tcW w:w="56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9DF7859">
            <w:pPr>
              <w:spacing w:line="300" w:lineRule="exact"/>
              <w:jc w:val="center"/>
              <w:rPr>
                <w:rFonts w:ascii="Times New Roman" w:hAnsi="Times New Roman" w:eastAsia="方正仿宋_GBK" w:cs="方正仿宋_GBK"/>
                <w:b w:val="0"/>
                <w:bCs w:val="0"/>
                <w:sz w:val="18"/>
                <w:szCs w:val="18"/>
              </w:rPr>
            </w:pPr>
          </w:p>
        </w:tc>
        <w:tc>
          <w:tcPr>
            <w:tcW w:w="57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C3667E0">
            <w:pPr>
              <w:spacing w:line="300" w:lineRule="exact"/>
              <w:jc w:val="center"/>
              <w:rPr>
                <w:rFonts w:ascii="Times New Roman" w:hAnsi="Times New Roman" w:eastAsia="方正仿宋_GBK" w:cs="方正仿宋_GBK"/>
                <w:b w:val="0"/>
                <w:bCs w:val="0"/>
                <w:sz w:val="18"/>
                <w:szCs w:val="18"/>
              </w:rPr>
            </w:pPr>
          </w:p>
        </w:tc>
        <w:tc>
          <w:tcPr>
            <w:tcW w:w="62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E1E8812">
            <w:pPr>
              <w:spacing w:line="300" w:lineRule="exact"/>
              <w:jc w:val="center"/>
              <w:rPr>
                <w:rFonts w:ascii="Times New Roman" w:hAnsi="Times New Roman" w:eastAsia="方正仿宋_GBK" w:cs="方正仿宋_GBK"/>
                <w:b w:val="0"/>
                <w:bCs w:val="0"/>
                <w:sz w:val="18"/>
                <w:szCs w:val="18"/>
              </w:rPr>
            </w:pPr>
          </w:p>
        </w:tc>
        <w:tc>
          <w:tcPr>
            <w:tcW w:w="60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ABECB68">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 xml:space="preserve">15000 </w:t>
            </w:r>
          </w:p>
        </w:tc>
      </w:tr>
      <w:tr w14:paraId="629DC09A">
        <w:tblPrEx>
          <w:tblCellMar>
            <w:top w:w="0" w:type="dxa"/>
            <w:left w:w="0" w:type="dxa"/>
            <w:bottom w:w="0" w:type="dxa"/>
            <w:right w:w="0" w:type="dxa"/>
          </w:tblCellMar>
        </w:tblPrEx>
        <w:trPr>
          <w:trHeight w:val="720" w:hRule="atLeast"/>
        </w:trPr>
        <w:tc>
          <w:tcPr>
            <w:tcW w:w="480" w:type="dxa"/>
            <w:vMerge w:val="restart"/>
            <w:tcBorders>
              <w:top w:val="single" w:color="000000" w:sz="4" w:space="0"/>
              <w:left w:val="single" w:color="000000" w:sz="4" w:space="0"/>
              <w:right w:val="single" w:color="000000" w:sz="4" w:space="0"/>
            </w:tcBorders>
            <w:noWrap w:val="0"/>
            <w:tcMar>
              <w:top w:w="12" w:type="dxa"/>
              <w:left w:w="12" w:type="dxa"/>
              <w:right w:w="12" w:type="dxa"/>
            </w:tcMar>
            <w:vAlign w:val="center"/>
          </w:tcPr>
          <w:p w14:paraId="547916C6">
            <w:pPr>
              <w:widowControl/>
              <w:spacing w:line="300" w:lineRule="exact"/>
              <w:jc w:val="center"/>
              <w:textAlignment w:val="center"/>
              <w:rPr>
                <w:rFonts w:ascii="Times New Roman" w:hAnsi="Times New Roman" w:eastAsia="方正仿宋_GBK" w:cs="方正仿宋_GBK"/>
                <w:b w:val="0"/>
                <w:bCs w:val="0"/>
                <w:kern w:val="0"/>
                <w:sz w:val="18"/>
                <w:szCs w:val="18"/>
                <w:lang w:bidi="ar"/>
              </w:rPr>
            </w:pPr>
            <w:r>
              <w:rPr>
                <w:rFonts w:hint="eastAsia" w:ascii="Times New Roman" w:hAnsi="Times New Roman" w:eastAsia="方正仿宋_GBK" w:cs="方正仿宋_GBK"/>
                <w:b w:val="0"/>
                <w:bCs w:val="0"/>
                <w:kern w:val="0"/>
                <w:sz w:val="18"/>
                <w:szCs w:val="18"/>
                <w:lang w:bidi="ar"/>
              </w:rPr>
              <w:t>序号</w:t>
            </w:r>
          </w:p>
        </w:tc>
        <w:tc>
          <w:tcPr>
            <w:tcW w:w="1332" w:type="dxa"/>
            <w:vMerge w:val="restart"/>
            <w:tcBorders>
              <w:top w:val="single" w:color="000000" w:sz="4" w:space="0"/>
              <w:left w:val="single" w:color="000000" w:sz="4" w:space="0"/>
              <w:right w:val="single" w:color="000000" w:sz="4" w:space="0"/>
            </w:tcBorders>
            <w:noWrap w:val="0"/>
            <w:tcMar>
              <w:top w:w="12" w:type="dxa"/>
              <w:left w:w="12" w:type="dxa"/>
              <w:right w:w="12" w:type="dxa"/>
            </w:tcMar>
            <w:vAlign w:val="center"/>
          </w:tcPr>
          <w:p w14:paraId="42FECA33">
            <w:pPr>
              <w:widowControl/>
              <w:spacing w:line="300" w:lineRule="exact"/>
              <w:jc w:val="center"/>
              <w:textAlignment w:val="center"/>
              <w:rPr>
                <w:rFonts w:ascii="Times New Roman" w:hAnsi="Times New Roman" w:eastAsia="方正仿宋_GBK" w:cs="方正仿宋_GBK"/>
                <w:b w:val="0"/>
                <w:bCs w:val="0"/>
                <w:kern w:val="0"/>
                <w:sz w:val="18"/>
                <w:szCs w:val="18"/>
                <w:lang w:bidi="ar"/>
              </w:rPr>
            </w:pPr>
            <w:r>
              <w:rPr>
                <w:rFonts w:hint="eastAsia" w:ascii="Times New Roman" w:hAnsi="Times New Roman" w:eastAsia="方正仿宋_GBK" w:cs="方正仿宋_GBK"/>
                <w:b w:val="0"/>
                <w:bCs w:val="0"/>
                <w:kern w:val="0"/>
                <w:sz w:val="18"/>
                <w:szCs w:val="18"/>
                <w:lang w:bidi="ar"/>
              </w:rPr>
              <w:t>项目名称</w:t>
            </w:r>
          </w:p>
        </w:tc>
        <w:tc>
          <w:tcPr>
            <w:tcW w:w="4644" w:type="dxa"/>
            <w:vMerge w:val="restart"/>
            <w:tcBorders>
              <w:top w:val="single" w:color="000000" w:sz="4" w:space="0"/>
              <w:left w:val="single" w:color="000000" w:sz="4" w:space="0"/>
              <w:right w:val="single" w:color="000000" w:sz="4" w:space="0"/>
            </w:tcBorders>
            <w:noWrap w:val="0"/>
            <w:tcMar>
              <w:top w:w="12" w:type="dxa"/>
              <w:left w:w="12" w:type="dxa"/>
              <w:right w:w="12" w:type="dxa"/>
            </w:tcMar>
            <w:vAlign w:val="center"/>
          </w:tcPr>
          <w:p w14:paraId="0D5D0107">
            <w:pPr>
              <w:widowControl/>
              <w:spacing w:line="300" w:lineRule="exact"/>
              <w:jc w:val="center"/>
              <w:textAlignment w:val="center"/>
              <w:rPr>
                <w:rFonts w:ascii="Times New Roman" w:hAnsi="Times New Roman" w:eastAsia="方正仿宋_GBK" w:cs="方正仿宋_GBK"/>
                <w:b w:val="0"/>
                <w:bCs w:val="0"/>
                <w:kern w:val="0"/>
                <w:sz w:val="18"/>
                <w:szCs w:val="18"/>
                <w:lang w:bidi="ar"/>
              </w:rPr>
            </w:pPr>
            <w:r>
              <w:rPr>
                <w:rFonts w:hint="eastAsia" w:ascii="Times New Roman" w:hAnsi="Times New Roman" w:eastAsia="方正仿宋_GBK" w:cs="方正仿宋_GBK"/>
                <w:b w:val="0"/>
                <w:bCs w:val="0"/>
                <w:kern w:val="0"/>
                <w:sz w:val="18"/>
                <w:szCs w:val="18"/>
                <w:lang w:bidi="ar"/>
              </w:rPr>
              <w:t>主要建设内容及规模</w:t>
            </w:r>
          </w:p>
        </w:tc>
        <w:tc>
          <w:tcPr>
            <w:tcW w:w="600" w:type="dxa"/>
            <w:vMerge w:val="restart"/>
            <w:tcBorders>
              <w:top w:val="single" w:color="000000" w:sz="4" w:space="0"/>
              <w:left w:val="single" w:color="000000" w:sz="4" w:space="0"/>
              <w:right w:val="single" w:color="000000" w:sz="4" w:space="0"/>
            </w:tcBorders>
            <w:noWrap w:val="0"/>
            <w:tcMar>
              <w:top w:w="12" w:type="dxa"/>
              <w:left w:w="12" w:type="dxa"/>
              <w:right w:w="12" w:type="dxa"/>
            </w:tcMar>
            <w:vAlign w:val="center"/>
          </w:tcPr>
          <w:p w14:paraId="02BF20F6">
            <w:pPr>
              <w:widowControl/>
              <w:spacing w:line="300" w:lineRule="exact"/>
              <w:jc w:val="center"/>
              <w:textAlignment w:val="center"/>
              <w:rPr>
                <w:rFonts w:ascii="Times New Roman" w:hAnsi="Times New Roman" w:eastAsia="方正仿宋_GBK" w:cs="方正仿宋_GBK"/>
                <w:b w:val="0"/>
                <w:bCs w:val="0"/>
                <w:kern w:val="0"/>
                <w:sz w:val="18"/>
                <w:szCs w:val="18"/>
                <w:lang w:bidi="ar"/>
              </w:rPr>
            </w:pPr>
            <w:r>
              <w:rPr>
                <w:rFonts w:hint="eastAsia" w:ascii="Times New Roman" w:hAnsi="Times New Roman" w:eastAsia="方正仿宋_GBK" w:cs="方正仿宋_GBK"/>
                <w:b w:val="0"/>
                <w:bCs w:val="0"/>
                <w:kern w:val="0"/>
                <w:sz w:val="18"/>
                <w:szCs w:val="18"/>
                <w:lang w:bidi="ar"/>
              </w:rPr>
              <w:t>建设用地面积（亩）</w:t>
            </w:r>
          </w:p>
        </w:tc>
        <w:tc>
          <w:tcPr>
            <w:tcW w:w="564" w:type="dxa"/>
            <w:vMerge w:val="restart"/>
            <w:tcBorders>
              <w:top w:val="single" w:color="000000" w:sz="4" w:space="0"/>
              <w:left w:val="single" w:color="000000" w:sz="4" w:space="0"/>
              <w:right w:val="single" w:color="000000" w:sz="4" w:space="0"/>
            </w:tcBorders>
            <w:noWrap w:val="0"/>
            <w:tcMar>
              <w:top w:w="12" w:type="dxa"/>
              <w:left w:w="12" w:type="dxa"/>
              <w:right w:w="12" w:type="dxa"/>
            </w:tcMar>
            <w:vAlign w:val="center"/>
          </w:tcPr>
          <w:p w14:paraId="147296D7">
            <w:pPr>
              <w:widowControl/>
              <w:spacing w:line="300" w:lineRule="exact"/>
              <w:jc w:val="center"/>
              <w:textAlignment w:val="center"/>
              <w:rPr>
                <w:rFonts w:ascii="Times New Roman" w:hAnsi="Times New Roman" w:eastAsia="方正仿宋_GBK" w:cs="方正仿宋_GBK"/>
                <w:b w:val="0"/>
                <w:bCs w:val="0"/>
                <w:kern w:val="0"/>
                <w:sz w:val="18"/>
                <w:szCs w:val="18"/>
                <w:lang w:bidi="ar"/>
              </w:rPr>
            </w:pPr>
            <w:r>
              <w:rPr>
                <w:rFonts w:hint="eastAsia" w:ascii="Times New Roman" w:hAnsi="Times New Roman" w:eastAsia="方正仿宋_GBK" w:cs="方正仿宋_GBK"/>
                <w:b w:val="0"/>
                <w:bCs w:val="0"/>
                <w:kern w:val="0"/>
                <w:sz w:val="18"/>
                <w:szCs w:val="18"/>
                <w:lang w:bidi="ar"/>
              </w:rPr>
              <w:t>建设地点</w:t>
            </w:r>
          </w:p>
        </w:tc>
        <w:tc>
          <w:tcPr>
            <w:tcW w:w="511" w:type="dxa"/>
            <w:vMerge w:val="restart"/>
            <w:tcBorders>
              <w:top w:val="single" w:color="000000" w:sz="4" w:space="0"/>
              <w:left w:val="single" w:color="000000" w:sz="4" w:space="0"/>
              <w:right w:val="single" w:color="000000" w:sz="4" w:space="0"/>
            </w:tcBorders>
            <w:noWrap w:val="0"/>
            <w:tcMar>
              <w:top w:w="12" w:type="dxa"/>
              <w:left w:w="12" w:type="dxa"/>
              <w:right w:w="12" w:type="dxa"/>
            </w:tcMar>
            <w:vAlign w:val="center"/>
          </w:tcPr>
          <w:p w14:paraId="589CE7F4">
            <w:pPr>
              <w:widowControl/>
              <w:spacing w:line="300" w:lineRule="exact"/>
              <w:jc w:val="center"/>
              <w:textAlignment w:val="center"/>
              <w:rPr>
                <w:rFonts w:ascii="Times New Roman" w:hAnsi="Times New Roman" w:eastAsia="方正仿宋_GBK" w:cs="方正仿宋_GBK"/>
                <w:b w:val="0"/>
                <w:bCs w:val="0"/>
                <w:kern w:val="0"/>
                <w:sz w:val="18"/>
                <w:szCs w:val="18"/>
                <w:lang w:bidi="ar"/>
              </w:rPr>
            </w:pPr>
            <w:r>
              <w:rPr>
                <w:rFonts w:hint="eastAsia" w:ascii="Times New Roman" w:hAnsi="Times New Roman" w:eastAsia="方正仿宋_GBK" w:cs="方正仿宋_GBK"/>
                <w:b w:val="0"/>
                <w:bCs w:val="0"/>
                <w:kern w:val="0"/>
                <w:sz w:val="18"/>
                <w:szCs w:val="18"/>
                <w:lang w:bidi="ar"/>
              </w:rPr>
              <w:t>建设性质</w:t>
            </w:r>
          </w:p>
        </w:tc>
        <w:tc>
          <w:tcPr>
            <w:tcW w:w="821" w:type="dxa"/>
            <w:vMerge w:val="restart"/>
            <w:tcBorders>
              <w:top w:val="single" w:color="000000" w:sz="4" w:space="0"/>
              <w:left w:val="single" w:color="000000" w:sz="4" w:space="0"/>
              <w:right w:val="single" w:color="000000" w:sz="4" w:space="0"/>
            </w:tcBorders>
            <w:noWrap w:val="0"/>
            <w:tcMar>
              <w:top w:w="12" w:type="dxa"/>
              <w:left w:w="12" w:type="dxa"/>
              <w:right w:w="12" w:type="dxa"/>
            </w:tcMar>
            <w:vAlign w:val="center"/>
          </w:tcPr>
          <w:p w14:paraId="2726D7FE">
            <w:pPr>
              <w:widowControl/>
              <w:spacing w:line="300" w:lineRule="exact"/>
              <w:jc w:val="center"/>
              <w:textAlignment w:val="center"/>
              <w:rPr>
                <w:rFonts w:ascii="Times New Roman" w:hAnsi="Times New Roman" w:eastAsia="方正仿宋_GBK" w:cs="方正仿宋_GBK"/>
                <w:b w:val="0"/>
                <w:bCs w:val="0"/>
                <w:kern w:val="0"/>
                <w:sz w:val="18"/>
                <w:szCs w:val="18"/>
                <w:lang w:bidi="ar"/>
              </w:rPr>
            </w:pPr>
            <w:r>
              <w:rPr>
                <w:rFonts w:hint="eastAsia" w:ascii="Times New Roman" w:hAnsi="Times New Roman" w:eastAsia="方正仿宋_GBK" w:cs="方正仿宋_GBK"/>
                <w:b w:val="0"/>
                <w:bCs w:val="0"/>
                <w:kern w:val="0"/>
                <w:sz w:val="18"/>
                <w:szCs w:val="18"/>
                <w:lang w:bidi="ar"/>
              </w:rPr>
              <w:t xml:space="preserve">建设工期    </w:t>
            </w:r>
          </w:p>
        </w:tc>
        <w:tc>
          <w:tcPr>
            <w:tcW w:w="4620" w:type="dxa"/>
            <w:gridSpan w:val="7"/>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87A6EF1">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计划资金来源（单位：万元）</w:t>
            </w:r>
          </w:p>
        </w:tc>
      </w:tr>
      <w:tr w14:paraId="1597FB58">
        <w:tblPrEx>
          <w:tblCellMar>
            <w:top w:w="0" w:type="dxa"/>
            <w:left w:w="0" w:type="dxa"/>
            <w:bottom w:w="0" w:type="dxa"/>
            <w:right w:w="0" w:type="dxa"/>
          </w:tblCellMar>
        </w:tblPrEx>
        <w:trPr>
          <w:trHeight w:val="720" w:hRule="atLeast"/>
        </w:trPr>
        <w:tc>
          <w:tcPr>
            <w:tcW w:w="480" w:type="dxa"/>
            <w:vMerge w:val="continue"/>
            <w:tcBorders>
              <w:left w:val="single" w:color="000000" w:sz="4" w:space="0"/>
              <w:bottom w:val="single" w:color="000000" w:sz="4" w:space="0"/>
              <w:right w:val="single" w:color="000000" w:sz="4" w:space="0"/>
            </w:tcBorders>
            <w:noWrap w:val="0"/>
            <w:tcMar>
              <w:top w:w="12" w:type="dxa"/>
              <w:left w:w="12" w:type="dxa"/>
              <w:right w:w="12" w:type="dxa"/>
            </w:tcMar>
            <w:vAlign w:val="center"/>
          </w:tcPr>
          <w:p w14:paraId="17150235">
            <w:pPr>
              <w:spacing w:line="300" w:lineRule="exact"/>
              <w:jc w:val="center"/>
              <w:rPr>
                <w:rFonts w:ascii="Times New Roman" w:hAnsi="Times New Roman" w:eastAsia="方正仿宋_GBK" w:cs="方正仿宋_GBK"/>
                <w:b w:val="0"/>
                <w:bCs w:val="0"/>
                <w:kern w:val="0"/>
                <w:sz w:val="18"/>
                <w:szCs w:val="18"/>
                <w:lang w:bidi="ar"/>
              </w:rPr>
            </w:pPr>
          </w:p>
        </w:tc>
        <w:tc>
          <w:tcPr>
            <w:tcW w:w="1332" w:type="dxa"/>
            <w:vMerge w:val="continue"/>
            <w:tcBorders>
              <w:left w:val="single" w:color="000000" w:sz="4" w:space="0"/>
              <w:bottom w:val="single" w:color="000000" w:sz="4" w:space="0"/>
              <w:right w:val="single" w:color="000000" w:sz="4" w:space="0"/>
            </w:tcBorders>
            <w:noWrap w:val="0"/>
            <w:tcMar>
              <w:top w:w="12" w:type="dxa"/>
              <w:left w:w="12" w:type="dxa"/>
              <w:right w:w="12" w:type="dxa"/>
            </w:tcMar>
            <w:vAlign w:val="center"/>
          </w:tcPr>
          <w:p w14:paraId="569533E6">
            <w:pPr>
              <w:spacing w:line="300" w:lineRule="exact"/>
              <w:jc w:val="center"/>
              <w:rPr>
                <w:rFonts w:ascii="Times New Roman" w:hAnsi="Times New Roman" w:eastAsia="方正仿宋_GBK" w:cs="方正仿宋_GBK"/>
                <w:b w:val="0"/>
                <w:bCs w:val="0"/>
                <w:kern w:val="0"/>
                <w:sz w:val="18"/>
                <w:szCs w:val="18"/>
                <w:lang w:bidi="ar"/>
              </w:rPr>
            </w:pPr>
          </w:p>
        </w:tc>
        <w:tc>
          <w:tcPr>
            <w:tcW w:w="4644" w:type="dxa"/>
            <w:vMerge w:val="continue"/>
            <w:tcBorders>
              <w:left w:val="single" w:color="000000" w:sz="4" w:space="0"/>
              <w:bottom w:val="single" w:color="000000" w:sz="4" w:space="0"/>
              <w:right w:val="single" w:color="000000" w:sz="4" w:space="0"/>
            </w:tcBorders>
            <w:noWrap w:val="0"/>
            <w:tcMar>
              <w:top w:w="12" w:type="dxa"/>
              <w:left w:w="12" w:type="dxa"/>
              <w:right w:w="12" w:type="dxa"/>
            </w:tcMar>
            <w:vAlign w:val="center"/>
          </w:tcPr>
          <w:p w14:paraId="7EC2F609">
            <w:pPr>
              <w:spacing w:line="300" w:lineRule="exact"/>
              <w:jc w:val="center"/>
              <w:rPr>
                <w:rFonts w:ascii="Times New Roman" w:hAnsi="Times New Roman" w:eastAsia="方正仿宋_GBK" w:cs="方正仿宋_GBK"/>
                <w:b w:val="0"/>
                <w:bCs w:val="0"/>
                <w:kern w:val="0"/>
                <w:sz w:val="18"/>
                <w:szCs w:val="18"/>
                <w:lang w:bidi="ar"/>
              </w:rPr>
            </w:pPr>
          </w:p>
        </w:tc>
        <w:tc>
          <w:tcPr>
            <w:tcW w:w="600" w:type="dxa"/>
            <w:vMerge w:val="continue"/>
            <w:tcBorders>
              <w:left w:val="single" w:color="000000" w:sz="4" w:space="0"/>
              <w:bottom w:val="single" w:color="000000" w:sz="4" w:space="0"/>
              <w:right w:val="single" w:color="000000" w:sz="4" w:space="0"/>
            </w:tcBorders>
            <w:noWrap w:val="0"/>
            <w:tcMar>
              <w:top w:w="12" w:type="dxa"/>
              <w:left w:w="12" w:type="dxa"/>
              <w:right w:w="12" w:type="dxa"/>
            </w:tcMar>
            <w:vAlign w:val="center"/>
          </w:tcPr>
          <w:p w14:paraId="1DC978D0">
            <w:pPr>
              <w:spacing w:line="300" w:lineRule="exact"/>
              <w:jc w:val="center"/>
              <w:rPr>
                <w:rFonts w:ascii="Times New Roman" w:hAnsi="Times New Roman" w:eastAsia="方正仿宋_GBK" w:cs="方正仿宋_GBK"/>
                <w:b w:val="0"/>
                <w:bCs w:val="0"/>
                <w:kern w:val="0"/>
                <w:sz w:val="18"/>
                <w:szCs w:val="18"/>
                <w:lang w:bidi="ar"/>
              </w:rPr>
            </w:pPr>
          </w:p>
        </w:tc>
        <w:tc>
          <w:tcPr>
            <w:tcW w:w="564" w:type="dxa"/>
            <w:vMerge w:val="continue"/>
            <w:tcBorders>
              <w:left w:val="single" w:color="000000" w:sz="4" w:space="0"/>
              <w:bottom w:val="single" w:color="000000" w:sz="4" w:space="0"/>
              <w:right w:val="single" w:color="000000" w:sz="4" w:space="0"/>
            </w:tcBorders>
            <w:noWrap w:val="0"/>
            <w:tcMar>
              <w:top w:w="12" w:type="dxa"/>
              <w:left w:w="12" w:type="dxa"/>
              <w:right w:w="12" w:type="dxa"/>
            </w:tcMar>
            <w:vAlign w:val="center"/>
          </w:tcPr>
          <w:p w14:paraId="5BFD48D6">
            <w:pPr>
              <w:spacing w:line="300" w:lineRule="exact"/>
              <w:jc w:val="center"/>
              <w:rPr>
                <w:rFonts w:ascii="Times New Roman" w:hAnsi="Times New Roman" w:eastAsia="方正仿宋_GBK" w:cs="方正仿宋_GBK"/>
                <w:b w:val="0"/>
                <w:bCs w:val="0"/>
                <w:kern w:val="0"/>
                <w:sz w:val="18"/>
                <w:szCs w:val="18"/>
                <w:lang w:bidi="ar"/>
              </w:rPr>
            </w:pPr>
          </w:p>
        </w:tc>
        <w:tc>
          <w:tcPr>
            <w:tcW w:w="511" w:type="dxa"/>
            <w:vMerge w:val="continue"/>
            <w:tcBorders>
              <w:left w:val="single" w:color="000000" w:sz="4" w:space="0"/>
              <w:bottom w:val="single" w:color="000000" w:sz="4" w:space="0"/>
              <w:right w:val="single" w:color="000000" w:sz="4" w:space="0"/>
            </w:tcBorders>
            <w:noWrap w:val="0"/>
            <w:tcMar>
              <w:top w:w="12" w:type="dxa"/>
              <w:left w:w="12" w:type="dxa"/>
              <w:right w:w="12" w:type="dxa"/>
            </w:tcMar>
            <w:vAlign w:val="center"/>
          </w:tcPr>
          <w:p w14:paraId="3410372A">
            <w:pPr>
              <w:spacing w:line="300" w:lineRule="exact"/>
              <w:jc w:val="center"/>
              <w:rPr>
                <w:rFonts w:ascii="Times New Roman" w:hAnsi="Times New Roman" w:eastAsia="方正仿宋_GBK" w:cs="方正仿宋_GBK"/>
                <w:b w:val="0"/>
                <w:bCs w:val="0"/>
                <w:kern w:val="0"/>
                <w:sz w:val="18"/>
                <w:szCs w:val="18"/>
                <w:lang w:bidi="ar"/>
              </w:rPr>
            </w:pPr>
          </w:p>
        </w:tc>
        <w:tc>
          <w:tcPr>
            <w:tcW w:w="821" w:type="dxa"/>
            <w:vMerge w:val="continue"/>
            <w:tcBorders>
              <w:left w:val="single" w:color="000000" w:sz="4" w:space="0"/>
              <w:bottom w:val="single" w:color="000000" w:sz="4" w:space="0"/>
              <w:right w:val="single" w:color="000000" w:sz="4" w:space="0"/>
            </w:tcBorders>
            <w:noWrap w:val="0"/>
            <w:tcMar>
              <w:top w:w="12" w:type="dxa"/>
              <w:left w:w="12" w:type="dxa"/>
              <w:right w:w="12" w:type="dxa"/>
            </w:tcMar>
            <w:vAlign w:val="center"/>
          </w:tcPr>
          <w:p w14:paraId="2C7B090B">
            <w:pPr>
              <w:spacing w:line="300" w:lineRule="exact"/>
              <w:jc w:val="center"/>
              <w:rPr>
                <w:rFonts w:ascii="Times New Roman" w:hAnsi="Times New Roman" w:eastAsia="方正仿宋_GBK" w:cs="方正仿宋_GBK"/>
                <w:b w:val="0"/>
                <w:bCs w:val="0"/>
                <w:kern w:val="0"/>
                <w:sz w:val="18"/>
                <w:szCs w:val="18"/>
                <w:lang w:bidi="ar"/>
              </w:rPr>
            </w:pPr>
          </w:p>
        </w:tc>
        <w:tc>
          <w:tcPr>
            <w:tcW w:w="80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B7B50AC">
            <w:pPr>
              <w:widowControl/>
              <w:spacing w:line="300" w:lineRule="exact"/>
              <w:jc w:val="center"/>
              <w:textAlignment w:val="center"/>
              <w:rPr>
                <w:rFonts w:ascii="Times New Roman" w:hAnsi="Times New Roman" w:eastAsia="方正仿宋_GBK" w:cs="方正仿宋_GBK"/>
                <w:b w:val="0"/>
                <w:bCs w:val="0"/>
                <w:kern w:val="0"/>
                <w:sz w:val="18"/>
                <w:szCs w:val="18"/>
                <w:lang w:bidi="ar"/>
              </w:rPr>
            </w:pPr>
            <w:r>
              <w:rPr>
                <w:rFonts w:hint="eastAsia" w:ascii="Times New Roman" w:hAnsi="Times New Roman" w:eastAsia="方正仿宋_GBK" w:cs="方正仿宋_GBK"/>
                <w:b w:val="0"/>
                <w:bCs w:val="0"/>
                <w:kern w:val="0"/>
                <w:sz w:val="18"/>
                <w:szCs w:val="18"/>
                <w:lang w:bidi="ar"/>
              </w:rPr>
              <w:t>总投资</w:t>
            </w:r>
          </w:p>
        </w:tc>
        <w:tc>
          <w:tcPr>
            <w:tcW w:w="81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DB37183">
            <w:pPr>
              <w:widowControl/>
              <w:spacing w:line="300" w:lineRule="exact"/>
              <w:jc w:val="center"/>
              <w:textAlignment w:val="center"/>
              <w:rPr>
                <w:rFonts w:ascii="Times New Roman" w:hAnsi="Times New Roman" w:eastAsia="方正仿宋_GBK" w:cs="方正仿宋_GBK"/>
                <w:b w:val="0"/>
                <w:bCs w:val="0"/>
                <w:kern w:val="0"/>
                <w:sz w:val="18"/>
                <w:szCs w:val="18"/>
                <w:lang w:bidi="ar"/>
              </w:rPr>
            </w:pPr>
            <w:r>
              <w:rPr>
                <w:rFonts w:hint="eastAsia" w:ascii="Times New Roman" w:hAnsi="Times New Roman" w:eastAsia="方正仿宋_GBK" w:cs="方正仿宋_GBK"/>
                <w:b w:val="0"/>
                <w:bCs w:val="0"/>
                <w:kern w:val="0"/>
                <w:sz w:val="18"/>
                <w:szCs w:val="18"/>
                <w:lang w:bidi="ar"/>
              </w:rPr>
              <w:t>中央</w:t>
            </w:r>
            <w:r>
              <w:rPr>
                <w:rFonts w:hint="eastAsia" w:ascii="Times New Roman" w:hAnsi="Times New Roman" w:eastAsia="方正仿宋_GBK" w:cs="方正仿宋_GBK"/>
                <w:b w:val="0"/>
                <w:bCs w:val="0"/>
                <w:kern w:val="0"/>
                <w:sz w:val="18"/>
                <w:szCs w:val="18"/>
                <w:lang w:bidi="ar"/>
              </w:rPr>
              <w:br w:type="textWrapping"/>
            </w:r>
            <w:r>
              <w:rPr>
                <w:rFonts w:hint="eastAsia" w:ascii="Times New Roman" w:hAnsi="Times New Roman" w:eastAsia="方正仿宋_GBK" w:cs="方正仿宋_GBK"/>
                <w:b w:val="0"/>
                <w:bCs w:val="0"/>
                <w:kern w:val="0"/>
                <w:sz w:val="18"/>
                <w:szCs w:val="18"/>
                <w:lang w:bidi="ar"/>
              </w:rPr>
              <w:t>预算内投资需求</w:t>
            </w:r>
          </w:p>
        </w:tc>
        <w:tc>
          <w:tcPr>
            <w:tcW w:w="63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6E7157E">
            <w:pPr>
              <w:widowControl/>
              <w:spacing w:line="300" w:lineRule="exact"/>
              <w:jc w:val="center"/>
              <w:textAlignment w:val="center"/>
              <w:rPr>
                <w:rFonts w:ascii="Times New Roman" w:hAnsi="Times New Roman" w:eastAsia="方正仿宋_GBK" w:cs="方正仿宋_GBK"/>
                <w:b w:val="0"/>
                <w:bCs w:val="0"/>
                <w:kern w:val="0"/>
                <w:sz w:val="18"/>
                <w:szCs w:val="18"/>
                <w:lang w:bidi="ar"/>
              </w:rPr>
            </w:pPr>
            <w:r>
              <w:rPr>
                <w:rFonts w:hint="eastAsia" w:ascii="Times New Roman" w:hAnsi="Times New Roman" w:eastAsia="方正仿宋_GBK" w:cs="方正仿宋_GBK"/>
                <w:b w:val="0"/>
                <w:bCs w:val="0"/>
                <w:kern w:val="0"/>
                <w:sz w:val="18"/>
                <w:szCs w:val="18"/>
                <w:lang w:bidi="ar"/>
              </w:rPr>
              <w:t>专项债券资金需求</w:t>
            </w:r>
          </w:p>
        </w:tc>
        <w:tc>
          <w:tcPr>
            <w:tcW w:w="56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89EA68C">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县级</w:t>
            </w:r>
            <w:r>
              <w:rPr>
                <w:rFonts w:hint="eastAsia" w:ascii="Times New Roman" w:hAnsi="Times New Roman" w:eastAsia="方正仿宋_GBK" w:cs="方正仿宋_GBK"/>
                <w:b w:val="0"/>
                <w:bCs w:val="0"/>
                <w:kern w:val="0"/>
                <w:sz w:val="18"/>
                <w:szCs w:val="18"/>
                <w:lang w:bidi="ar"/>
              </w:rPr>
              <w:br w:type="textWrapping"/>
            </w:r>
            <w:r>
              <w:rPr>
                <w:rFonts w:hint="eastAsia" w:ascii="Times New Roman" w:hAnsi="Times New Roman" w:eastAsia="方正仿宋_GBK" w:cs="方正仿宋_GBK"/>
                <w:b w:val="0"/>
                <w:bCs w:val="0"/>
                <w:kern w:val="0"/>
                <w:sz w:val="18"/>
                <w:szCs w:val="18"/>
                <w:lang w:bidi="ar"/>
              </w:rPr>
              <w:t>资金</w:t>
            </w:r>
          </w:p>
        </w:tc>
        <w:tc>
          <w:tcPr>
            <w:tcW w:w="57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1F40E30">
            <w:pPr>
              <w:widowControl/>
              <w:spacing w:line="300" w:lineRule="exact"/>
              <w:jc w:val="center"/>
              <w:textAlignment w:val="center"/>
              <w:rPr>
                <w:rFonts w:ascii="Times New Roman" w:hAnsi="Times New Roman" w:eastAsia="方正仿宋_GBK" w:cs="方正仿宋_GBK"/>
                <w:b w:val="0"/>
                <w:bCs w:val="0"/>
                <w:kern w:val="0"/>
                <w:sz w:val="18"/>
                <w:szCs w:val="18"/>
                <w:lang w:bidi="ar"/>
              </w:rPr>
            </w:pPr>
            <w:r>
              <w:rPr>
                <w:rFonts w:hint="eastAsia" w:ascii="Times New Roman" w:hAnsi="Times New Roman" w:eastAsia="方正仿宋_GBK" w:cs="方正仿宋_GBK"/>
                <w:b w:val="0"/>
                <w:bCs w:val="0"/>
                <w:kern w:val="0"/>
                <w:sz w:val="18"/>
                <w:szCs w:val="18"/>
                <w:lang w:bidi="ar"/>
              </w:rPr>
              <w:t>银行</w:t>
            </w:r>
            <w:r>
              <w:rPr>
                <w:rFonts w:hint="eastAsia" w:ascii="Times New Roman" w:hAnsi="Times New Roman" w:eastAsia="方正仿宋_GBK" w:cs="方正仿宋_GBK"/>
                <w:b w:val="0"/>
                <w:bCs w:val="0"/>
                <w:kern w:val="0"/>
                <w:sz w:val="18"/>
                <w:szCs w:val="18"/>
                <w:lang w:bidi="ar"/>
              </w:rPr>
              <w:br w:type="textWrapping"/>
            </w:r>
            <w:r>
              <w:rPr>
                <w:rFonts w:hint="eastAsia" w:ascii="Times New Roman" w:hAnsi="Times New Roman" w:eastAsia="方正仿宋_GBK" w:cs="方正仿宋_GBK"/>
                <w:b w:val="0"/>
                <w:bCs w:val="0"/>
                <w:kern w:val="0"/>
                <w:sz w:val="18"/>
                <w:szCs w:val="18"/>
                <w:lang w:bidi="ar"/>
              </w:rPr>
              <w:t>贷款</w:t>
            </w:r>
          </w:p>
        </w:tc>
        <w:tc>
          <w:tcPr>
            <w:tcW w:w="62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6D0A25F">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业主</w:t>
            </w:r>
            <w:r>
              <w:rPr>
                <w:rFonts w:hint="eastAsia" w:ascii="Times New Roman" w:hAnsi="Times New Roman" w:eastAsia="方正仿宋_GBK" w:cs="方正仿宋_GBK"/>
                <w:b w:val="0"/>
                <w:bCs w:val="0"/>
                <w:kern w:val="0"/>
                <w:sz w:val="18"/>
                <w:szCs w:val="18"/>
                <w:lang w:bidi="ar"/>
              </w:rPr>
              <w:br w:type="textWrapping"/>
            </w:r>
            <w:r>
              <w:rPr>
                <w:rFonts w:hint="eastAsia" w:ascii="Times New Roman" w:hAnsi="Times New Roman" w:eastAsia="方正仿宋_GBK" w:cs="方正仿宋_GBK"/>
                <w:b w:val="0"/>
                <w:bCs w:val="0"/>
                <w:kern w:val="0"/>
                <w:sz w:val="18"/>
                <w:szCs w:val="18"/>
                <w:lang w:bidi="ar"/>
              </w:rPr>
              <w:t>自筹</w:t>
            </w:r>
          </w:p>
        </w:tc>
        <w:tc>
          <w:tcPr>
            <w:tcW w:w="60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539449E">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其它</w:t>
            </w:r>
            <w:r>
              <w:rPr>
                <w:rFonts w:hint="eastAsia" w:ascii="Times New Roman" w:hAnsi="Times New Roman" w:eastAsia="方正仿宋_GBK" w:cs="方正仿宋_GBK"/>
                <w:b w:val="0"/>
                <w:bCs w:val="0"/>
                <w:kern w:val="0"/>
                <w:sz w:val="18"/>
                <w:szCs w:val="18"/>
                <w:lang w:bidi="ar"/>
              </w:rPr>
              <w:br w:type="textWrapping"/>
            </w:r>
            <w:r>
              <w:rPr>
                <w:rFonts w:hint="eastAsia" w:ascii="Times New Roman" w:hAnsi="Times New Roman" w:eastAsia="方正仿宋_GBK" w:cs="方正仿宋_GBK"/>
                <w:b w:val="0"/>
                <w:bCs w:val="0"/>
                <w:kern w:val="0"/>
                <w:sz w:val="18"/>
                <w:szCs w:val="18"/>
                <w:lang w:bidi="ar"/>
              </w:rPr>
              <w:t>投资</w:t>
            </w:r>
          </w:p>
        </w:tc>
      </w:tr>
      <w:tr w14:paraId="0A8AF168">
        <w:tblPrEx>
          <w:tblCellMar>
            <w:top w:w="0" w:type="dxa"/>
            <w:left w:w="0" w:type="dxa"/>
            <w:bottom w:w="0" w:type="dxa"/>
            <w:right w:w="0" w:type="dxa"/>
          </w:tblCellMar>
        </w:tblPrEx>
        <w:trPr>
          <w:trHeight w:val="720" w:hRule="atLeast"/>
        </w:trPr>
        <w:tc>
          <w:tcPr>
            <w:tcW w:w="4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7498B34">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11</w:t>
            </w:r>
          </w:p>
        </w:tc>
        <w:tc>
          <w:tcPr>
            <w:tcW w:w="133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5D0E4DE">
            <w:pPr>
              <w:widowControl/>
              <w:spacing w:line="300" w:lineRule="exact"/>
              <w:jc w:val="left"/>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云阳县中医院水口分院建设项目</w:t>
            </w:r>
          </w:p>
        </w:tc>
        <w:tc>
          <w:tcPr>
            <w:tcW w:w="464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00BF150">
            <w:pPr>
              <w:widowControl/>
              <w:spacing w:line="300" w:lineRule="exact"/>
              <w:jc w:val="left"/>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设置床位500张，建筑面积50000㎡，购置医疗设备。</w:t>
            </w:r>
          </w:p>
        </w:tc>
        <w:tc>
          <w:tcPr>
            <w:tcW w:w="60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2D19504">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 xml:space="preserve">51 </w:t>
            </w:r>
          </w:p>
        </w:tc>
        <w:tc>
          <w:tcPr>
            <w:tcW w:w="56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A05D765">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水口镇</w:t>
            </w:r>
          </w:p>
        </w:tc>
        <w:tc>
          <w:tcPr>
            <w:tcW w:w="51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BBEDBCA">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新建</w:t>
            </w:r>
          </w:p>
        </w:tc>
        <w:tc>
          <w:tcPr>
            <w:tcW w:w="82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2021BD4">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2022-2025</w:t>
            </w:r>
          </w:p>
        </w:tc>
        <w:tc>
          <w:tcPr>
            <w:tcW w:w="80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0E1DA82">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 xml:space="preserve">60000 </w:t>
            </w:r>
          </w:p>
        </w:tc>
        <w:tc>
          <w:tcPr>
            <w:tcW w:w="81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C10DA87">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 xml:space="preserve">10000 </w:t>
            </w:r>
          </w:p>
        </w:tc>
        <w:tc>
          <w:tcPr>
            <w:tcW w:w="63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30160B4">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 xml:space="preserve">30000 </w:t>
            </w:r>
          </w:p>
        </w:tc>
        <w:tc>
          <w:tcPr>
            <w:tcW w:w="56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496E0F9">
            <w:pPr>
              <w:spacing w:line="300" w:lineRule="exact"/>
              <w:jc w:val="center"/>
              <w:rPr>
                <w:rFonts w:ascii="Times New Roman" w:hAnsi="Times New Roman" w:eastAsia="方正仿宋_GBK" w:cs="方正仿宋_GBK"/>
                <w:b w:val="0"/>
                <w:bCs w:val="0"/>
                <w:sz w:val="18"/>
                <w:szCs w:val="18"/>
              </w:rPr>
            </w:pPr>
          </w:p>
        </w:tc>
        <w:tc>
          <w:tcPr>
            <w:tcW w:w="57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E7358BD">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 xml:space="preserve">20000 </w:t>
            </w:r>
          </w:p>
        </w:tc>
        <w:tc>
          <w:tcPr>
            <w:tcW w:w="62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2F868AF">
            <w:pPr>
              <w:spacing w:line="300" w:lineRule="exact"/>
              <w:jc w:val="center"/>
              <w:rPr>
                <w:rFonts w:ascii="Times New Roman" w:hAnsi="Times New Roman" w:eastAsia="方正仿宋_GBK" w:cs="方正仿宋_GBK"/>
                <w:b w:val="0"/>
                <w:bCs w:val="0"/>
                <w:sz w:val="18"/>
                <w:szCs w:val="18"/>
              </w:rPr>
            </w:pPr>
          </w:p>
        </w:tc>
        <w:tc>
          <w:tcPr>
            <w:tcW w:w="60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A1B1146">
            <w:pPr>
              <w:spacing w:line="300" w:lineRule="exact"/>
              <w:jc w:val="center"/>
              <w:rPr>
                <w:rFonts w:ascii="Times New Roman" w:hAnsi="Times New Roman" w:eastAsia="方正仿宋_GBK" w:cs="方正仿宋_GBK"/>
                <w:b w:val="0"/>
                <w:bCs w:val="0"/>
                <w:sz w:val="18"/>
                <w:szCs w:val="18"/>
              </w:rPr>
            </w:pPr>
          </w:p>
        </w:tc>
      </w:tr>
      <w:tr w14:paraId="53B25ECB">
        <w:tblPrEx>
          <w:tblCellMar>
            <w:top w:w="0" w:type="dxa"/>
            <w:left w:w="0" w:type="dxa"/>
            <w:bottom w:w="0" w:type="dxa"/>
            <w:right w:w="0" w:type="dxa"/>
          </w:tblCellMar>
        </w:tblPrEx>
        <w:trPr>
          <w:trHeight w:val="720" w:hRule="atLeast"/>
        </w:trPr>
        <w:tc>
          <w:tcPr>
            <w:tcW w:w="4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DEF1B87">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12</w:t>
            </w:r>
          </w:p>
        </w:tc>
        <w:tc>
          <w:tcPr>
            <w:tcW w:w="133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9F32BA2">
            <w:pPr>
              <w:widowControl/>
              <w:spacing w:line="300" w:lineRule="exact"/>
              <w:jc w:val="left"/>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云阳妇女儿童医院托育服务中心建设项目</w:t>
            </w:r>
          </w:p>
        </w:tc>
        <w:tc>
          <w:tcPr>
            <w:tcW w:w="464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A31BA77">
            <w:pPr>
              <w:widowControl/>
              <w:spacing w:line="300" w:lineRule="exact"/>
              <w:jc w:val="left"/>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改建建筑面积4500㎡及设备设施等配套工程。</w:t>
            </w:r>
          </w:p>
        </w:tc>
        <w:tc>
          <w:tcPr>
            <w:tcW w:w="60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11A6E59">
            <w:pPr>
              <w:spacing w:line="300" w:lineRule="exact"/>
              <w:jc w:val="center"/>
              <w:rPr>
                <w:rFonts w:ascii="Times New Roman" w:hAnsi="Times New Roman" w:eastAsia="方正仿宋_GBK" w:cs="方正仿宋_GBK"/>
                <w:b w:val="0"/>
                <w:bCs w:val="0"/>
                <w:sz w:val="18"/>
                <w:szCs w:val="18"/>
              </w:rPr>
            </w:pPr>
          </w:p>
        </w:tc>
        <w:tc>
          <w:tcPr>
            <w:tcW w:w="56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71445E9">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县妇幼保健院</w:t>
            </w:r>
          </w:p>
        </w:tc>
        <w:tc>
          <w:tcPr>
            <w:tcW w:w="51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EDC767D">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改建</w:t>
            </w:r>
          </w:p>
        </w:tc>
        <w:tc>
          <w:tcPr>
            <w:tcW w:w="82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20E12D4">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2023-2024</w:t>
            </w:r>
          </w:p>
        </w:tc>
        <w:tc>
          <w:tcPr>
            <w:tcW w:w="80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1A978E8">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 xml:space="preserve">2000 </w:t>
            </w:r>
          </w:p>
        </w:tc>
        <w:tc>
          <w:tcPr>
            <w:tcW w:w="81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4C5540D">
            <w:pPr>
              <w:spacing w:line="300" w:lineRule="exact"/>
              <w:jc w:val="center"/>
              <w:rPr>
                <w:rFonts w:ascii="Times New Roman" w:hAnsi="Times New Roman" w:eastAsia="方正仿宋_GBK" w:cs="方正仿宋_GBK"/>
                <w:b w:val="0"/>
                <w:bCs w:val="0"/>
                <w:sz w:val="18"/>
                <w:szCs w:val="18"/>
              </w:rPr>
            </w:pPr>
          </w:p>
        </w:tc>
        <w:tc>
          <w:tcPr>
            <w:tcW w:w="63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E9C2E32">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 xml:space="preserve">2000 </w:t>
            </w:r>
          </w:p>
        </w:tc>
        <w:tc>
          <w:tcPr>
            <w:tcW w:w="56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C350C11">
            <w:pPr>
              <w:spacing w:line="300" w:lineRule="exact"/>
              <w:jc w:val="center"/>
              <w:rPr>
                <w:rFonts w:ascii="Times New Roman" w:hAnsi="Times New Roman" w:eastAsia="方正仿宋_GBK" w:cs="方正仿宋_GBK"/>
                <w:b w:val="0"/>
                <w:bCs w:val="0"/>
                <w:sz w:val="18"/>
                <w:szCs w:val="18"/>
              </w:rPr>
            </w:pPr>
          </w:p>
        </w:tc>
        <w:tc>
          <w:tcPr>
            <w:tcW w:w="57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5131EDF">
            <w:pPr>
              <w:spacing w:line="300" w:lineRule="exact"/>
              <w:jc w:val="center"/>
              <w:rPr>
                <w:rFonts w:ascii="Times New Roman" w:hAnsi="Times New Roman" w:eastAsia="方正仿宋_GBK" w:cs="方正仿宋_GBK"/>
                <w:b w:val="0"/>
                <w:bCs w:val="0"/>
                <w:sz w:val="18"/>
                <w:szCs w:val="18"/>
              </w:rPr>
            </w:pPr>
          </w:p>
        </w:tc>
        <w:tc>
          <w:tcPr>
            <w:tcW w:w="62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D98EAC4">
            <w:pPr>
              <w:spacing w:line="300" w:lineRule="exact"/>
              <w:jc w:val="center"/>
              <w:rPr>
                <w:rFonts w:ascii="Times New Roman" w:hAnsi="Times New Roman" w:eastAsia="方正仿宋_GBK" w:cs="方正仿宋_GBK"/>
                <w:b w:val="0"/>
                <w:bCs w:val="0"/>
                <w:sz w:val="18"/>
                <w:szCs w:val="18"/>
              </w:rPr>
            </w:pPr>
          </w:p>
        </w:tc>
        <w:tc>
          <w:tcPr>
            <w:tcW w:w="60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71C77F5">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 xml:space="preserve"> </w:t>
            </w:r>
          </w:p>
        </w:tc>
      </w:tr>
      <w:tr w14:paraId="173CDA65">
        <w:tblPrEx>
          <w:tblCellMar>
            <w:top w:w="0" w:type="dxa"/>
            <w:left w:w="0" w:type="dxa"/>
            <w:bottom w:w="0" w:type="dxa"/>
            <w:right w:w="0" w:type="dxa"/>
          </w:tblCellMar>
        </w:tblPrEx>
        <w:trPr>
          <w:trHeight w:val="1578" w:hRule="atLeast"/>
        </w:trPr>
        <w:tc>
          <w:tcPr>
            <w:tcW w:w="4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F022F20">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13</w:t>
            </w:r>
          </w:p>
        </w:tc>
        <w:tc>
          <w:tcPr>
            <w:tcW w:w="133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879EC60">
            <w:pPr>
              <w:widowControl/>
              <w:spacing w:line="300" w:lineRule="exact"/>
              <w:jc w:val="left"/>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云阳县应急救治医院（重庆大学附属肿瘤医院云阳分院）建设项目</w:t>
            </w:r>
          </w:p>
        </w:tc>
        <w:tc>
          <w:tcPr>
            <w:tcW w:w="464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4692E8B">
            <w:pPr>
              <w:widowControl/>
              <w:spacing w:line="300" w:lineRule="exact"/>
              <w:jc w:val="left"/>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总建筑面积约65900㎡，规划床位598张，其中应急救治医院建筑面积56600㎡，设置床位499床，肿瘤医院建筑面积9300㎡，设置床位99张。购置相关医疗设备。</w:t>
            </w:r>
          </w:p>
        </w:tc>
        <w:tc>
          <w:tcPr>
            <w:tcW w:w="60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6883820">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 xml:space="preserve">129 </w:t>
            </w:r>
          </w:p>
        </w:tc>
        <w:tc>
          <w:tcPr>
            <w:tcW w:w="56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3C66B8B">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云阳县青龙街道道湾社区</w:t>
            </w:r>
          </w:p>
        </w:tc>
        <w:tc>
          <w:tcPr>
            <w:tcW w:w="51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D95A5B4">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新建</w:t>
            </w:r>
          </w:p>
        </w:tc>
        <w:tc>
          <w:tcPr>
            <w:tcW w:w="82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A000722">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2023-2026</w:t>
            </w:r>
          </w:p>
        </w:tc>
        <w:tc>
          <w:tcPr>
            <w:tcW w:w="80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8D02085">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 xml:space="preserve">80000 </w:t>
            </w:r>
          </w:p>
        </w:tc>
        <w:tc>
          <w:tcPr>
            <w:tcW w:w="81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0D60BAC">
            <w:pPr>
              <w:spacing w:line="300" w:lineRule="exact"/>
              <w:jc w:val="center"/>
              <w:rPr>
                <w:rFonts w:ascii="Times New Roman" w:hAnsi="Times New Roman" w:eastAsia="方正仿宋_GBK" w:cs="方正仿宋_GBK"/>
                <w:b w:val="0"/>
                <w:bCs w:val="0"/>
                <w:sz w:val="18"/>
                <w:szCs w:val="18"/>
              </w:rPr>
            </w:pPr>
          </w:p>
        </w:tc>
        <w:tc>
          <w:tcPr>
            <w:tcW w:w="63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BF5D6D7">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 xml:space="preserve">40000 </w:t>
            </w:r>
          </w:p>
        </w:tc>
        <w:tc>
          <w:tcPr>
            <w:tcW w:w="56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13281F4">
            <w:pPr>
              <w:spacing w:line="300" w:lineRule="exact"/>
              <w:jc w:val="center"/>
              <w:rPr>
                <w:rFonts w:ascii="Times New Roman" w:hAnsi="Times New Roman" w:eastAsia="方正仿宋_GBK" w:cs="方正仿宋_GBK"/>
                <w:b w:val="0"/>
                <w:bCs w:val="0"/>
                <w:sz w:val="18"/>
                <w:szCs w:val="18"/>
              </w:rPr>
            </w:pPr>
          </w:p>
        </w:tc>
        <w:tc>
          <w:tcPr>
            <w:tcW w:w="57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D5C77AD">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 xml:space="preserve">17500 </w:t>
            </w:r>
          </w:p>
        </w:tc>
        <w:tc>
          <w:tcPr>
            <w:tcW w:w="62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12CAF56">
            <w:pPr>
              <w:spacing w:line="300" w:lineRule="exact"/>
              <w:jc w:val="center"/>
              <w:rPr>
                <w:rFonts w:ascii="Times New Roman" w:hAnsi="Times New Roman" w:eastAsia="方正仿宋_GBK" w:cs="方正仿宋_GBK"/>
                <w:b w:val="0"/>
                <w:bCs w:val="0"/>
                <w:sz w:val="18"/>
                <w:szCs w:val="18"/>
              </w:rPr>
            </w:pPr>
          </w:p>
        </w:tc>
        <w:tc>
          <w:tcPr>
            <w:tcW w:w="60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E908022">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 xml:space="preserve">25000 </w:t>
            </w:r>
          </w:p>
        </w:tc>
      </w:tr>
      <w:tr w14:paraId="4C7935E2">
        <w:tblPrEx>
          <w:tblCellMar>
            <w:top w:w="0" w:type="dxa"/>
            <w:left w:w="0" w:type="dxa"/>
            <w:bottom w:w="0" w:type="dxa"/>
            <w:right w:w="0" w:type="dxa"/>
          </w:tblCellMar>
        </w:tblPrEx>
        <w:trPr>
          <w:trHeight w:val="964" w:hRule="atLeast"/>
        </w:trPr>
        <w:tc>
          <w:tcPr>
            <w:tcW w:w="4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04D459E">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 xml:space="preserve">14 </w:t>
            </w:r>
          </w:p>
        </w:tc>
        <w:tc>
          <w:tcPr>
            <w:tcW w:w="133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B3E597D">
            <w:pPr>
              <w:widowControl/>
              <w:spacing w:line="300" w:lineRule="exact"/>
              <w:jc w:val="left"/>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云阳县人和街道中心卫生院迁扩建项目</w:t>
            </w:r>
          </w:p>
        </w:tc>
        <w:tc>
          <w:tcPr>
            <w:tcW w:w="464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3167416">
            <w:pPr>
              <w:widowControl/>
              <w:spacing w:line="300" w:lineRule="exact"/>
              <w:jc w:val="left"/>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建筑面积10000㎡，建设业务用房、配套附属设施设备及医疗设备配置。</w:t>
            </w:r>
          </w:p>
        </w:tc>
        <w:tc>
          <w:tcPr>
            <w:tcW w:w="60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F5E22CF">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 xml:space="preserve">10 </w:t>
            </w:r>
          </w:p>
        </w:tc>
        <w:tc>
          <w:tcPr>
            <w:tcW w:w="56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375E3EA">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人和街道</w:t>
            </w:r>
          </w:p>
        </w:tc>
        <w:tc>
          <w:tcPr>
            <w:tcW w:w="51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7CEAEA0">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新建</w:t>
            </w:r>
          </w:p>
        </w:tc>
        <w:tc>
          <w:tcPr>
            <w:tcW w:w="82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C45A8FC">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2023-2025</w:t>
            </w:r>
          </w:p>
        </w:tc>
        <w:tc>
          <w:tcPr>
            <w:tcW w:w="80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7DD21F4">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 xml:space="preserve">5000 </w:t>
            </w:r>
          </w:p>
        </w:tc>
        <w:tc>
          <w:tcPr>
            <w:tcW w:w="81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747B169">
            <w:pPr>
              <w:spacing w:line="300" w:lineRule="exact"/>
              <w:jc w:val="center"/>
              <w:rPr>
                <w:rFonts w:ascii="Times New Roman" w:hAnsi="Times New Roman" w:eastAsia="方正仿宋_GBK" w:cs="方正仿宋_GBK"/>
                <w:b w:val="0"/>
                <w:bCs w:val="0"/>
                <w:sz w:val="18"/>
                <w:szCs w:val="18"/>
              </w:rPr>
            </w:pPr>
          </w:p>
        </w:tc>
        <w:tc>
          <w:tcPr>
            <w:tcW w:w="63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AD173DE">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 xml:space="preserve">2500 </w:t>
            </w:r>
          </w:p>
        </w:tc>
        <w:tc>
          <w:tcPr>
            <w:tcW w:w="56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58D6A61">
            <w:pPr>
              <w:spacing w:line="300" w:lineRule="exact"/>
              <w:jc w:val="center"/>
              <w:rPr>
                <w:rFonts w:ascii="Times New Roman" w:hAnsi="Times New Roman" w:eastAsia="方正仿宋_GBK" w:cs="方正仿宋_GBK"/>
                <w:b w:val="0"/>
                <w:bCs w:val="0"/>
                <w:sz w:val="18"/>
                <w:szCs w:val="18"/>
              </w:rPr>
            </w:pPr>
          </w:p>
        </w:tc>
        <w:tc>
          <w:tcPr>
            <w:tcW w:w="57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66E0265">
            <w:pPr>
              <w:spacing w:line="300" w:lineRule="exact"/>
              <w:jc w:val="center"/>
              <w:rPr>
                <w:rFonts w:ascii="Times New Roman" w:hAnsi="Times New Roman" w:eastAsia="方正仿宋_GBK" w:cs="方正仿宋_GBK"/>
                <w:b w:val="0"/>
                <w:bCs w:val="0"/>
                <w:sz w:val="18"/>
                <w:szCs w:val="18"/>
              </w:rPr>
            </w:pPr>
          </w:p>
        </w:tc>
        <w:tc>
          <w:tcPr>
            <w:tcW w:w="62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44FD630">
            <w:pPr>
              <w:spacing w:line="300" w:lineRule="exact"/>
              <w:jc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sz w:val="18"/>
                <w:szCs w:val="18"/>
              </w:rPr>
              <w:t>500</w:t>
            </w:r>
          </w:p>
        </w:tc>
        <w:tc>
          <w:tcPr>
            <w:tcW w:w="60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A3248DC">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 xml:space="preserve">2000 </w:t>
            </w:r>
          </w:p>
        </w:tc>
      </w:tr>
      <w:tr w14:paraId="365B0154">
        <w:tblPrEx>
          <w:tblCellMar>
            <w:top w:w="0" w:type="dxa"/>
            <w:left w:w="0" w:type="dxa"/>
            <w:bottom w:w="0" w:type="dxa"/>
            <w:right w:w="0" w:type="dxa"/>
          </w:tblCellMar>
        </w:tblPrEx>
        <w:trPr>
          <w:trHeight w:val="1010" w:hRule="atLeast"/>
        </w:trPr>
        <w:tc>
          <w:tcPr>
            <w:tcW w:w="4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86E97E9">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 xml:space="preserve">15 </w:t>
            </w:r>
          </w:p>
        </w:tc>
        <w:tc>
          <w:tcPr>
            <w:tcW w:w="133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E5BEF25">
            <w:pPr>
              <w:widowControl/>
              <w:spacing w:line="300" w:lineRule="exact"/>
              <w:jc w:val="left"/>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云阳县青龙街道社区卫生服务中心迁扩建项目</w:t>
            </w:r>
          </w:p>
        </w:tc>
        <w:tc>
          <w:tcPr>
            <w:tcW w:w="464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E131282">
            <w:pPr>
              <w:widowControl/>
              <w:spacing w:line="300" w:lineRule="exact"/>
              <w:jc w:val="left"/>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建筑面积10000㎡，建设业务用房、配套附属设施设备及医疗设备配置。</w:t>
            </w:r>
          </w:p>
        </w:tc>
        <w:tc>
          <w:tcPr>
            <w:tcW w:w="60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AC577E6">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30</w:t>
            </w:r>
          </w:p>
        </w:tc>
        <w:tc>
          <w:tcPr>
            <w:tcW w:w="56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B38DAB7">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青龙街道</w:t>
            </w:r>
          </w:p>
        </w:tc>
        <w:tc>
          <w:tcPr>
            <w:tcW w:w="51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50A7F49">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新建</w:t>
            </w:r>
          </w:p>
        </w:tc>
        <w:tc>
          <w:tcPr>
            <w:tcW w:w="82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C5B7B71">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2023-2025</w:t>
            </w:r>
          </w:p>
        </w:tc>
        <w:tc>
          <w:tcPr>
            <w:tcW w:w="80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7D5F371">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 xml:space="preserve">5000 </w:t>
            </w:r>
          </w:p>
        </w:tc>
        <w:tc>
          <w:tcPr>
            <w:tcW w:w="81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718F61F">
            <w:pPr>
              <w:spacing w:line="300" w:lineRule="exact"/>
              <w:jc w:val="center"/>
              <w:rPr>
                <w:rFonts w:ascii="Times New Roman" w:hAnsi="Times New Roman" w:eastAsia="方正仿宋_GBK" w:cs="方正仿宋_GBK"/>
                <w:b w:val="0"/>
                <w:bCs w:val="0"/>
                <w:sz w:val="18"/>
                <w:szCs w:val="18"/>
              </w:rPr>
            </w:pPr>
          </w:p>
        </w:tc>
        <w:tc>
          <w:tcPr>
            <w:tcW w:w="63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62495F7">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 xml:space="preserve">2500 </w:t>
            </w:r>
          </w:p>
        </w:tc>
        <w:tc>
          <w:tcPr>
            <w:tcW w:w="56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3EE8D69">
            <w:pPr>
              <w:spacing w:line="300" w:lineRule="exact"/>
              <w:jc w:val="center"/>
              <w:rPr>
                <w:rFonts w:ascii="Times New Roman" w:hAnsi="Times New Roman" w:eastAsia="方正仿宋_GBK" w:cs="方正仿宋_GBK"/>
                <w:b w:val="0"/>
                <w:bCs w:val="0"/>
                <w:sz w:val="18"/>
                <w:szCs w:val="18"/>
              </w:rPr>
            </w:pPr>
          </w:p>
        </w:tc>
        <w:tc>
          <w:tcPr>
            <w:tcW w:w="57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79A173F">
            <w:pPr>
              <w:spacing w:line="300" w:lineRule="exact"/>
              <w:jc w:val="center"/>
              <w:rPr>
                <w:rFonts w:ascii="Times New Roman" w:hAnsi="Times New Roman" w:eastAsia="方正仿宋_GBK" w:cs="方正仿宋_GBK"/>
                <w:b w:val="0"/>
                <w:bCs w:val="0"/>
                <w:sz w:val="18"/>
                <w:szCs w:val="18"/>
              </w:rPr>
            </w:pPr>
          </w:p>
        </w:tc>
        <w:tc>
          <w:tcPr>
            <w:tcW w:w="62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181D3EB">
            <w:pPr>
              <w:spacing w:line="300" w:lineRule="exact"/>
              <w:jc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sz w:val="18"/>
                <w:szCs w:val="18"/>
              </w:rPr>
              <w:t>1000</w:t>
            </w:r>
          </w:p>
        </w:tc>
        <w:tc>
          <w:tcPr>
            <w:tcW w:w="60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70FDA72">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 xml:space="preserve">1500 </w:t>
            </w:r>
          </w:p>
        </w:tc>
      </w:tr>
      <w:tr w14:paraId="505D5098">
        <w:tblPrEx>
          <w:tblCellMar>
            <w:top w:w="0" w:type="dxa"/>
            <w:left w:w="0" w:type="dxa"/>
            <w:bottom w:w="0" w:type="dxa"/>
            <w:right w:w="0" w:type="dxa"/>
          </w:tblCellMar>
        </w:tblPrEx>
        <w:trPr>
          <w:trHeight w:val="1010" w:hRule="atLeast"/>
        </w:trPr>
        <w:tc>
          <w:tcPr>
            <w:tcW w:w="4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5B6BBE2">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 xml:space="preserve">16 </w:t>
            </w:r>
          </w:p>
        </w:tc>
        <w:tc>
          <w:tcPr>
            <w:tcW w:w="133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0B75A0F">
            <w:pPr>
              <w:widowControl/>
              <w:spacing w:line="300" w:lineRule="exact"/>
              <w:jc w:val="left"/>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云阳县宝坪镇失能老人养护院项目</w:t>
            </w:r>
          </w:p>
        </w:tc>
        <w:tc>
          <w:tcPr>
            <w:tcW w:w="464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0ECA699">
            <w:pPr>
              <w:widowControl/>
              <w:spacing w:line="300" w:lineRule="exact"/>
              <w:jc w:val="left"/>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改建原老年养护中心5500㎡，配套附属设施设备及医疗设备购置。设康复床位150张。</w:t>
            </w:r>
          </w:p>
        </w:tc>
        <w:tc>
          <w:tcPr>
            <w:tcW w:w="60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1AA6121">
            <w:pPr>
              <w:spacing w:line="300" w:lineRule="exact"/>
              <w:jc w:val="center"/>
              <w:rPr>
                <w:rFonts w:ascii="Times New Roman" w:hAnsi="Times New Roman" w:eastAsia="方正仿宋_GBK" w:cs="方正仿宋_GBK"/>
                <w:b w:val="0"/>
                <w:bCs w:val="0"/>
                <w:sz w:val="18"/>
                <w:szCs w:val="18"/>
              </w:rPr>
            </w:pPr>
          </w:p>
        </w:tc>
        <w:tc>
          <w:tcPr>
            <w:tcW w:w="56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6429475">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宝坪镇</w:t>
            </w:r>
          </w:p>
        </w:tc>
        <w:tc>
          <w:tcPr>
            <w:tcW w:w="51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42E8AEB">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改建</w:t>
            </w:r>
          </w:p>
        </w:tc>
        <w:tc>
          <w:tcPr>
            <w:tcW w:w="82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9103B4E">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2023-2024</w:t>
            </w:r>
          </w:p>
        </w:tc>
        <w:tc>
          <w:tcPr>
            <w:tcW w:w="80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7FD9837">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 xml:space="preserve">2000 </w:t>
            </w:r>
          </w:p>
        </w:tc>
        <w:tc>
          <w:tcPr>
            <w:tcW w:w="81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1B0E3B2">
            <w:pPr>
              <w:spacing w:line="300" w:lineRule="exact"/>
              <w:jc w:val="center"/>
              <w:rPr>
                <w:rFonts w:ascii="Times New Roman" w:hAnsi="Times New Roman" w:eastAsia="方正仿宋_GBK" w:cs="方正仿宋_GBK"/>
                <w:b w:val="0"/>
                <w:bCs w:val="0"/>
                <w:sz w:val="18"/>
                <w:szCs w:val="18"/>
              </w:rPr>
            </w:pPr>
          </w:p>
        </w:tc>
        <w:tc>
          <w:tcPr>
            <w:tcW w:w="63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C881389">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 xml:space="preserve">1000 </w:t>
            </w:r>
          </w:p>
        </w:tc>
        <w:tc>
          <w:tcPr>
            <w:tcW w:w="56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8951200">
            <w:pPr>
              <w:spacing w:line="300" w:lineRule="exact"/>
              <w:jc w:val="center"/>
              <w:rPr>
                <w:rFonts w:ascii="Times New Roman" w:hAnsi="Times New Roman" w:eastAsia="方正仿宋_GBK" w:cs="方正仿宋_GBK"/>
                <w:b w:val="0"/>
                <w:bCs w:val="0"/>
                <w:sz w:val="18"/>
                <w:szCs w:val="18"/>
              </w:rPr>
            </w:pPr>
          </w:p>
        </w:tc>
        <w:tc>
          <w:tcPr>
            <w:tcW w:w="57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F467176">
            <w:pPr>
              <w:spacing w:line="300" w:lineRule="exact"/>
              <w:jc w:val="center"/>
              <w:rPr>
                <w:rFonts w:ascii="Times New Roman" w:hAnsi="Times New Roman" w:eastAsia="方正仿宋_GBK" w:cs="方正仿宋_GBK"/>
                <w:b w:val="0"/>
                <w:bCs w:val="0"/>
                <w:sz w:val="18"/>
                <w:szCs w:val="18"/>
              </w:rPr>
            </w:pPr>
          </w:p>
        </w:tc>
        <w:tc>
          <w:tcPr>
            <w:tcW w:w="62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9148550">
            <w:pPr>
              <w:spacing w:line="300" w:lineRule="exact"/>
              <w:jc w:val="center"/>
              <w:rPr>
                <w:rFonts w:ascii="Times New Roman" w:hAnsi="Times New Roman" w:eastAsia="方正仿宋_GBK" w:cs="方正仿宋_GBK"/>
                <w:b w:val="0"/>
                <w:bCs w:val="0"/>
                <w:sz w:val="18"/>
                <w:szCs w:val="18"/>
              </w:rPr>
            </w:pPr>
          </w:p>
        </w:tc>
        <w:tc>
          <w:tcPr>
            <w:tcW w:w="60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8F0B8E2">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 xml:space="preserve">1000 </w:t>
            </w:r>
          </w:p>
        </w:tc>
      </w:tr>
      <w:tr w14:paraId="374ADFCC">
        <w:tblPrEx>
          <w:tblCellMar>
            <w:top w:w="0" w:type="dxa"/>
            <w:left w:w="0" w:type="dxa"/>
            <w:bottom w:w="0" w:type="dxa"/>
            <w:right w:w="0" w:type="dxa"/>
          </w:tblCellMar>
        </w:tblPrEx>
        <w:trPr>
          <w:trHeight w:val="960" w:hRule="atLeast"/>
        </w:trPr>
        <w:tc>
          <w:tcPr>
            <w:tcW w:w="4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1D5385E">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 xml:space="preserve">17 </w:t>
            </w:r>
          </w:p>
        </w:tc>
        <w:tc>
          <w:tcPr>
            <w:tcW w:w="133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D44C19F">
            <w:pPr>
              <w:widowControl/>
              <w:spacing w:line="300" w:lineRule="exact"/>
              <w:jc w:val="left"/>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云阳县平安镇中心卫生院迁扩建项目</w:t>
            </w:r>
          </w:p>
        </w:tc>
        <w:tc>
          <w:tcPr>
            <w:tcW w:w="464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89A08A4">
            <w:pPr>
              <w:widowControl/>
              <w:spacing w:line="300" w:lineRule="exact"/>
              <w:jc w:val="left"/>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建设业务用房10000㎡及配套附属设施和医疗设备配置。</w:t>
            </w:r>
          </w:p>
        </w:tc>
        <w:tc>
          <w:tcPr>
            <w:tcW w:w="60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159E264">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10</w:t>
            </w:r>
          </w:p>
        </w:tc>
        <w:tc>
          <w:tcPr>
            <w:tcW w:w="56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845D91A">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平安镇</w:t>
            </w:r>
          </w:p>
        </w:tc>
        <w:tc>
          <w:tcPr>
            <w:tcW w:w="51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5667498">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新建</w:t>
            </w:r>
          </w:p>
        </w:tc>
        <w:tc>
          <w:tcPr>
            <w:tcW w:w="82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453F10C">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2024-2026</w:t>
            </w:r>
          </w:p>
        </w:tc>
        <w:tc>
          <w:tcPr>
            <w:tcW w:w="80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77D07CA">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 xml:space="preserve">5000 </w:t>
            </w:r>
          </w:p>
        </w:tc>
        <w:tc>
          <w:tcPr>
            <w:tcW w:w="81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C73CB1A">
            <w:pPr>
              <w:spacing w:line="300" w:lineRule="exact"/>
              <w:jc w:val="center"/>
              <w:rPr>
                <w:rFonts w:ascii="Times New Roman" w:hAnsi="Times New Roman" w:eastAsia="方正仿宋_GBK" w:cs="方正仿宋_GBK"/>
                <w:b w:val="0"/>
                <w:bCs w:val="0"/>
                <w:sz w:val="18"/>
                <w:szCs w:val="18"/>
              </w:rPr>
            </w:pPr>
          </w:p>
        </w:tc>
        <w:tc>
          <w:tcPr>
            <w:tcW w:w="63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7E29F8B">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 xml:space="preserve">2500 </w:t>
            </w:r>
          </w:p>
        </w:tc>
        <w:tc>
          <w:tcPr>
            <w:tcW w:w="56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DD9482F">
            <w:pPr>
              <w:spacing w:line="300" w:lineRule="exact"/>
              <w:jc w:val="center"/>
              <w:rPr>
                <w:rFonts w:ascii="Times New Roman" w:hAnsi="Times New Roman" w:eastAsia="方正仿宋_GBK" w:cs="方正仿宋_GBK"/>
                <w:b w:val="0"/>
                <w:bCs w:val="0"/>
                <w:sz w:val="18"/>
                <w:szCs w:val="18"/>
              </w:rPr>
            </w:pPr>
          </w:p>
        </w:tc>
        <w:tc>
          <w:tcPr>
            <w:tcW w:w="57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E7D6DAF">
            <w:pPr>
              <w:spacing w:line="300" w:lineRule="exact"/>
              <w:jc w:val="center"/>
              <w:rPr>
                <w:rFonts w:ascii="Times New Roman" w:hAnsi="Times New Roman" w:eastAsia="方正仿宋_GBK" w:cs="方正仿宋_GBK"/>
                <w:b w:val="0"/>
                <w:bCs w:val="0"/>
                <w:sz w:val="18"/>
                <w:szCs w:val="18"/>
              </w:rPr>
            </w:pPr>
          </w:p>
        </w:tc>
        <w:tc>
          <w:tcPr>
            <w:tcW w:w="62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66418D9">
            <w:pPr>
              <w:spacing w:line="300" w:lineRule="exact"/>
              <w:jc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sz w:val="18"/>
                <w:szCs w:val="18"/>
              </w:rPr>
              <w:t>500</w:t>
            </w:r>
          </w:p>
        </w:tc>
        <w:tc>
          <w:tcPr>
            <w:tcW w:w="60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B6F3CB1">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 xml:space="preserve">2000 </w:t>
            </w:r>
          </w:p>
        </w:tc>
      </w:tr>
      <w:tr w14:paraId="4E4300ED">
        <w:tblPrEx>
          <w:tblCellMar>
            <w:top w:w="0" w:type="dxa"/>
            <w:left w:w="0" w:type="dxa"/>
            <w:bottom w:w="0" w:type="dxa"/>
            <w:right w:w="0" w:type="dxa"/>
          </w:tblCellMar>
        </w:tblPrEx>
        <w:trPr>
          <w:trHeight w:val="518" w:hRule="atLeast"/>
        </w:trPr>
        <w:tc>
          <w:tcPr>
            <w:tcW w:w="480" w:type="dxa"/>
            <w:vMerge w:val="restart"/>
            <w:tcBorders>
              <w:top w:val="single" w:color="000000" w:sz="4" w:space="0"/>
              <w:left w:val="single" w:color="000000" w:sz="4" w:space="0"/>
              <w:right w:val="single" w:color="000000" w:sz="4" w:space="0"/>
            </w:tcBorders>
            <w:noWrap w:val="0"/>
            <w:tcMar>
              <w:top w:w="12" w:type="dxa"/>
              <w:left w:w="12" w:type="dxa"/>
              <w:right w:w="12" w:type="dxa"/>
            </w:tcMar>
            <w:vAlign w:val="center"/>
          </w:tcPr>
          <w:p w14:paraId="040466F6">
            <w:pPr>
              <w:widowControl/>
              <w:spacing w:line="300" w:lineRule="exact"/>
              <w:jc w:val="center"/>
              <w:textAlignment w:val="center"/>
              <w:rPr>
                <w:rFonts w:ascii="Times New Roman" w:hAnsi="Times New Roman" w:eastAsia="方正仿宋_GBK" w:cs="方正仿宋_GBK"/>
                <w:b w:val="0"/>
                <w:bCs w:val="0"/>
                <w:kern w:val="0"/>
                <w:sz w:val="18"/>
                <w:szCs w:val="18"/>
                <w:lang w:bidi="ar"/>
              </w:rPr>
            </w:pPr>
            <w:r>
              <w:rPr>
                <w:rFonts w:hint="eastAsia" w:ascii="Times New Roman" w:hAnsi="Times New Roman" w:eastAsia="方正仿宋_GBK" w:cs="方正仿宋_GBK"/>
                <w:b w:val="0"/>
                <w:bCs w:val="0"/>
                <w:kern w:val="0"/>
                <w:sz w:val="18"/>
                <w:szCs w:val="18"/>
                <w:lang w:bidi="ar"/>
              </w:rPr>
              <w:t>序号</w:t>
            </w:r>
          </w:p>
        </w:tc>
        <w:tc>
          <w:tcPr>
            <w:tcW w:w="1332" w:type="dxa"/>
            <w:vMerge w:val="restart"/>
            <w:tcBorders>
              <w:top w:val="single" w:color="000000" w:sz="4" w:space="0"/>
              <w:left w:val="single" w:color="000000" w:sz="4" w:space="0"/>
              <w:right w:val="single" w:color="000000" w:sz="4" w:space="0"/>
            </w:tcBorders>
            <w:noWrap w:val="0"/>
            <w:tcMar>
              <w:top w:w="12" w:type="dxa"/>
              <w:left w:w="12" w:type="dxa"/>
              <w:right w:w="12" w:type="dxa"/>
            </w:tcMar>
            <w:vAlign w:val="center"/>
          </w:tcPr>
          <w:p w14:paraId="073BBCF2">
            <w:pPr>
              <w:widowControl/>
              <w:spacing w:line="300" w:lineRule="exact"/>
              <w:jc w:val="center"/>
              <w:textAlignment w:val="center"/>
              <w:rPr>
                <w:rFonts w:ascii="Times New Roman" w:hAnsi="Times New Roman" w:eastAsia="方正仿宋_GBK" w:cs="方正仿宋_GBK"/>
                <w:b w:val="0"/>
                <w:bCs w:val="0"/>
                <w:kern w:val="0"/>
                <w:sz w:val="18"/>
                <w:szCs w:val="18"/>
                <w:lang w:bidi="ar"/>
              </w:rPr>
            </w:pPr>
            <w:r>
              <w:rPr>
                <w:rFonts w:hint="eastAsia" w:ascii="Times New Roman" w:hAnsi="Times New Roman" w:eastAsia="方正仿宋_GBK" w:cs="方正仿宋_GBK"/>
                <w:b w:val="0"/>
                <w:bCs w:val="0"/>
                <w:kern w:val="0"/>
                <w:sz w:val="18"/>
                <w:szCs w:val="18"/>
                <w:lang w:bidi="ar"/>
              </w:rPr>
              <w:t>项目名称</w:t>
            </w:r>
          </w:p>
        </w:tc>
        <w:tc>
          <w:tcPr>
            <w:tcW w:w="4644" w:type="dxa"/>
            <w:vMerge w:val="restart"/>
            <w:tcBorders>
              <w:top w:val="single" w:color="000000" w:sz="4" w:space="0"/>
              <w:left w:val="single" w:color="000000" w:sz="4" w:space="0"/>
              <w:right w:val="single" w:color="000000" w:sz="4" w:space="0"/>
            </w:tcBorders>
            <w:noWrap w:val="0"/>
            <w:tcMar>
              <w:top w:w="12" w:type="dxa"/>
              <w:left w:w="12" w:type="dxa"/>
              <w:right w:w="12" w:type="dxa"/>
            </w:tcMar>
            <w:vAlign w:val="center"/>
          </w:tcPr>
          <w:p w14:paraId="1A317BF0">
            <w:pPr>
              <w:widowControl/>
              <w:spacing w:line="300" w:lineRule="exact"/>
              <w:jc w:val="center"/>
              <w:textAlignment w:val="center"/>
              <w:rPr>
                <w:rFonts w:ascii="Times New Roman" w:hAnsi="Times New Roman" w:eastAsia="方正仿宋_GBK" w:cs="方正仿宋_GBK"/>
                <w:b w:val="0"/>
                <w:bCs w:val="0"/>
                <w:kern w:val="0"/>
                <w:sz w:val="18"/>
                <w:szCs w:val="18"/>
                <w:lang w:bidi="ar"/>
              </w:rPr>
            </w:pPr>
            <w:r>
              <w:rPr>
                <w:rFonts w:hint="eastAsia" w:ascii="Times New Roman" w:hAnsi="Times New Roman" w:eastAsia="方正仿宋_GBK" w:cs="方正仿宋_GBK"/>
                <w:b w:val="0"/>
                <w:bCs w:val="0"/>
                <w:kern w:val="0"/>
                <w:sz w:val="18"/>
                <w:szCs w:val="18"/>
                <w:lang w:bidi="ar"/>
              </w:rPr>
              <w:t>主要建设内容及规模</w:t>
            </w:r>
          </w:p>
        </w:tc>
        <w:tc>
          <w:tcPr>
            <w:tcW w:w="600" w:type="dxa"/>
            <w:vMerge w:val="restart"/>
            <w:tcBorders>
              <w:top w:val="single" w:color="000000" w:sz="4" w:space="0"/>
              <w:left w:val="single" w:color="000000" w:sz="4" w:space="0"/>
              <w:right w:val="single" w:color="000000" w:sz="4" w:space="0"/>
            </w:tcBorders>
            <w:noWrap w:val="0"/>
            <w:tcMar>
              <w:top w:w="12" w:type="dxa"/>
              <w:left w:w="12" w:type="dxa"/>
              <w:right w:w="12" w:type="dxa"/>
            </w:tcMar>
            <w:vAlign w:val="center"/>
          </w:tcPr>
          <w:p w14:paraId="16C1ED35">
            <w:pPr>
              <w:widowControl/>
              <w:spacing w:line="300" w:lineRule="exact"/>
              <w:jc w:val="center"/>
              <w:textAlignment w:val="center"/>
              <w:rPr>
                <w:rFonts w:ascii="Times New Roman" w:hAnsi="Times New Roman" w:eastAsia="方正仿宋_GBK" w:cs="方正仿宋_GBK"/>
                <w:b w:val="0"/>
                <w:bCs w:val="0"/>
                <w:kern w:val="0"/>
                <w:sz w:val="18"/>
                <w:szCs w:val="18"/>
                <w:lang w:bidi="ar"/>
              </w:rPr>
            </w:pPr>
            <w:r>
              <w:rPr>
                <w:rFonts w:hint="eastAsia" w:ascii="Times New Roman" w:hAnsi="Times New Roman" w:eastAsia="方正仿宋_GBK" w:cs="方正仿宋_GBK"/>
                <w:b w:val="0"/>
                <w:bCs w:val="0"/>
                <w:kern w:val="0"/>
                <w:sz w:val="18"/>
                <w:szCs w:val="18"/>
                <w:lang w:bidi="ar"/>
              </w:rPr>
              <w:t>建设用地面积（亩）</w:t>
            </w:r>
          </w:p>
        </w:tc>
        <w:tc>
          <w:tcPr>
            <w:tcW w:w="564" w:type="dxa"/>
            <w:vMerge w:val="restart"/>
            <w:tcBorders>
              <w:top w:val="single" w:color="000000" w:sz="4" w:space="0"/>
              <w:left w:val="single" w:color="000000" w:sz="4" w:space="0"/>
              <w:right w:val="single" w:color="000000" w:sz="4" w:space="0"/>
            </w:tcBorders>
            <w:noWrap w:val="0"/>
            <w:tcMar>
              <w:top w:w="12" w:type="dxa"/>
              <w:left w:w="12" w:type="dxa"/>
              <w:right w:w="12" w:type="dxa"/>
            </w:tcMar>
            <w:vAlign w:val="center"/>
          </w:tcPr>
          <w:p w14:paraId="76CEFB98">
            <w:pPr>
              <w:widowControl/>
              <w:spacing w:line="300" w:lineRule="exact"/>
              <w:jc w:val="center"/>
              <w:textAlignment w:val="center"/>
              <w:rPr>
                <w:rFonts w:ascii="Times New Roman" w:hAnsi="Times New Roman" w:eastAsia="方正仿宋_GBK" w:cs="方正仿宋_GBK"/>
                <w:b w:val="0"/>
                <w:bCs w:val="0"/>
                <w:kern w:val="0"/>
                <w:sz w:val="18"/>
                <w:szCs w:val="18"/>
                <w:lang w:bidi="ar"/>
              </w:rPr>
            </w:pPr>
            <w:r>
              <w:rPr>
                <w:rFonts w:hint="eastAsia" w:ascii="Times New Roman" w:hAnsi="Times New Roman" w:eastAsia="方正仿宋_GBK" w:cs="方正仿宋_GBK"/>
                <w:b w:val="0"/>
                <w:bCs w:val="0"/>
                <w:kern w:val="0"/>
                <w:sz w:val="18"/>
                <w:szCs w:val="18"/>
                <w:lang w:bidi="ar"/>
              </w:rPr>
              <w:t>建设地点</w:t>
            </w:r>
          </w:p>
        </w:tc>
        <w:tc>
          <w:tcPr>
            <w:tcW w:w="511" w:type="dxa"/>
            <w:vMerge w:val="restart"/>
            <w:tcBorders>
              <w:top w:val="single" w:color="000000" w:sz="4" w:space="0"/>
              <w:left w:val="single" w:color="000000" w:sz="4" w:space="0"/>
              <w:right w:val="single" w:color="000000" w:sz="4" w:space="0"/>
            </w:tcBorders>
            <w:noWrap w:val="0"/>
            <w:tcMar>
              <w:top w:w="12" w:type="dxa"/>
              <w:left w:w="12" w:type="dxa"/>
              <w:right w:w="12" w:type="dxa"/>
            </w:tcMar>
            <w:vAlign w:val="center"/>
          </w:tcPr>
          <w:p w14:paraId="1B878678">
            <w:pPr>
              <w:widowControl/>
              <w:spacing w:line="300" w:lineRule="exact"/>
              <w:jc w:val="center"/>
              <w:textAlignment w:val="center"/>
              <w:rPr>
                <w:rFonts w:ascii="Times New Roman" w:hAnsi="Times New Roman" w:eastAsia="方正仿宋_GBK" w:cs="方正仿宋_GBK"/>
                <w:b w:val="0"/>
                <w:bCs w:val="0"/>
                <w:kern w:val="0"/>
                <w:sz w:val="18"/>
                <w:szCs w:val="18"/>
                <w:lang w:bidi="ar"/>
              </w:rPr>
            </w:pPr>
            <w:r>
              <w:rPr>
                <w:rFonts w:hint="eastAsia" w:ascii="Times New Roman" w:hAnsi="Times New Roman" w:eastAsia="方正仿宋_GBK" w:cs="方正仿宋_GBK"/>
                <w:b w:val="0"/>
                <w:bCs w:val="0"/>
                <w:kern w:val="0"/>
                <w:sz w:val="18"/>
                <w:szCs w:val="18"/>
                <w:lang w:bidi="ar"/>
              </w:rPr>
              <w:t>建设性质</w:t>
            </w:r>
          </w:p>
        </w:tc>
        <w:tc>
          <w:tcPr>
            <w:tcW w:w="821" w:type="dxa"/>
            <w:vMerge w:val="restart"/>
            <w:tcBorders>
              <w:top w:val="single" w:color="000000" w:sz="4" w:space="0"/>
              <w:left w:val="single" w:color="000000" w:sz="4" w:space="0"/>
              <w:right w:val="single" w:color="000000" w:sz="4" w:space="0"/>
            </w:tcBorders>
            <w:noWrap w:val="0"/>
            <w:tcMar>
              <w:top w:w="12" w:type="dxa"/>
              <w:left w:w="12" w:type="dxa"/>
              <w:right w:w="12" w:type="dxa"/>
            </w:tcMar>
            <w:vAlign w:val="center"/>
          </w:tcPr>
          <w:p w14:paraId="195DE744">
            <w:pPr>
              <w:widowControl/>
              <w:spacing w:line="300" w:lineRule="exact"/>
              <w:jc w:val="center"/>
              <w:textAlignment w:val="center"/>
              <w:rPr>
                <w:rFonts w:ascii="Times New Roman" w:hAnsi="Times New Roman" w:eastAsia="方正仿宋_GBK" w:cs="方正仿宋_GBK"/>
                <w:b w:val="0"/>
                <w:bCs w:val="0"/>
                <w:kern w:val="0"/>
                <w:sz w:val="18"/>
                <w:szCs w:val="18"/>
                <w:lang w:bidi="ar"/>
              </w:rPr>
            </w:pPr>
            <w:r>
              <w:rPr>
                <w:rFonts w:hint="eastAsia" w:ascii="Times New Roman" w:hAnsi="Times New Roman" w:eastAsia="方正仿宋_GBK" w:cs="方正仿宋_GBK"/>
                <w:b w:val="0"/>
                <w:bCs w:val="0"/>
                <w:kern w:val="0"/>
                <w:sz w:val="18"/>
                <w:szCs w:val="18"/>
                <w:lang w:bidi="ar"/>
              </w:rPr>
              <w:t xml:space="preserve">建设工期    </w:t>
            </w:r>
          </w:p>
        </w:tc>
        <w:tc>
          <w:tcPr>
            <w:tcW w:w="4620" w:type="dxa"/>
            <w:gridSpan w:val="7"/>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EA02F08">
            <w:pPr>
              <w:widowControl/>
              <w:spacing w:line="300" w:lineRule="exact"/>
              <w:jc w:val="center"/>
              <w:textAlignment w:val="center"/>
              <w:rPr>
                <w:rFonts w:ascii="Times New Roman" w:hAnsi="Times New Roman" w:eastAsia="方正仿宋_GBK" w:cs="方正仿宋_GBK"/>
                <w:b w:val="0"/>
                <w:bCs w:val="0"/>
                <w:kern w:val="0"/>
                <w:sz w:val="18"/>
                <w:szCs w:val="18"/>
                <w:lang w:bidi="ar"/>
              </w:rPr>
            </w:pPr>
            <w:r>
              <w:rPr>
                <w:rFonts w:hint="eastAsia" w:ascii="Times New Roman" w:hAnsi="Times New Roman" w:eastAsia="方正仿宋_GBK" w:cs="方正仿宋_GBK"/>
                <w:b w:val="0"/>
                <w:bCs w:val="0"/>
                <w:kern w:val="0"/>
                <w:sz w:val="18"/>
                <w:szCs w:val="18"/>
                <w:lang w:bidi="ar"/>
              </w:rPr>
              <w:t>计划资金来源（单位：万元）</w:t>
            </w:r>
          </w:p>
        </w:tc>
      </w:tr>
      <w:tr w14:paraId="012A6CEA">
        <w:tblPrEx>
          <w:tblCellMar>
            <w:top w:w="0" w:type="dxa"/>
            <w:left w:w="0" w:type="dxa"/>
            <w:bottom w:w="0" w:type="dxa"/>
            <w:right w:w="0" w:type="dxa"/>
          </w:tblCellMar>
        </w:tblPrEx>
        <w:trPr>
          <w:trHeight w:val="532" w:hRule="atLeast"/>
        </w:trPr>
        <w:tc>
          <w:tcPr>
            <w:tcW w:w="480" w:type="dxa"/>
            <w:vMerge w:val="continue"/>
            <w:tcBorders>
              <w:left w:val="single" w:color="000000" w:sz="4" w:space="0"/>
              <w:bottom w:val="single" w:color="000000" w:sz="4" w:space="0"/>
              <w:right w:val="single" w:color="000000" w:sz="4" w:space="0"/>
            </w:tcBorders>
            <w:noWrap w:val="0"/>
            <w:tcMar>
              <w:top w:w="12" w:type="dxa"/>
              <w:left w:w="12" w:type="dxa"/>
              <w:right w:w="12" w:type="dxa"/>
            </w:tcMar>
            <w:vAlign w:val="center"/>
          </w:tcPr>
          <w:p w14:paraId="1EA772D6">
            <w:pPr>
              <w:spacing w:line="300" w:lineRule="exact"/>
              <w:jc w:val="center"/>
              <w:rPr>
                <w:rFonts w:ascii="Times New Roman" w:hAnsi="Times New Roman" w:eastAsia="方正仿宋_GBK" w:cs="方正仿宋_GBK"/>
                <w:b w:val="0"/>
                <w:bCs w:val="0"/>
                <w:kern w:val="0"/>
                <w:sz w:val="18"/>
                <w:szCs w:val="18"/>
                <w:lang w:bidi="ar"/>
              </w:rPr>
            </w:pPr>
          </w:p>
        </w:tc>
        <w:tc>
          <w:tcPr>
            <w:tcW w:w="1332" w:type="dxa"/>
            <w:vMerge w:val="continue"/>
            <w:tcBorders>
              <w:left w:val="single" w:color="000000" w:sz="4" w:space="0"/>
              <w:bottom w:val="single" w:color="000000" w:sz="4" w:space="0"/>
              <w:right w:val="single" w:color="000000" w:sz="4" w:space="0"/>
            </w:tcBorders>
            <w:noWrap w:val="0"/>
            <w:tcMar>
              <w:top w:w="12" w:type="dxa"/>
              <w:left w:w="12" w:type="dxa"/>
              <w:right w:w="12" w:type="dxa"/>
            </w:tcMar>
            <w:vAlign w:val="center"/>
          </w:tcPr>
          <w:p w14:paraId="0CCAA4C2">
            <w:pPr>
              <w:spacing w:line="300" w:lineRule="exact"/>
              <w:jc w:val="center"/>
              <w:rPr>
                <w:rFonts w:ascii="Times New Roman" w:hAnsi="Times New Roman" w:eastAsia="方正仿宋_GBK" w:cs="方正仿宋_GBK"/>
                <w:b w:val="0"/>
                <w:bCs w:val="0"/>
                <w:kern w:val="0"/>
                <w:sz w:val="18"/>
                <w:szCs w:val="18"/>
                <w:lang w:bidi="ar"/>
              </w:rPr>
            </w:pPr>
          </w:p>
        </w:tc>
        <w:tc>
          <w:tcPr>
            <w:tcW w:w="4644" w:type="dxa"/>
            <w:vMerge w:val="continue"/>
            <w:tcBorders>
              <w:left w:val="single" w:color="000000" w:sz="4" w:space="0"/>
              <w:bottom w:val="single" w:color="000000" w:sz="4" w:space="0"/>
              <w:right w:val="single" w:color="000000" w:sz="4" w:space="0"/>
            </w:tcBorders>
            <w:noWrap w:val="0"/>
            <w:tcMar>
              <w:top w:w="12" w:type="dxa"/>
              <w:left w:w="12" w:type="dxa"/>
              <w:right w:w="12" w:type="dxa"/>
            </w:tcMar>
            <w:vAlign w:val="center"/>
          </w:tcPr>
          <w:p w14:paraId="7DB08D03">
            <w:pPr>
              <w:spacing w:line="300" w:lineRule="exact"/>
              <w:jc w:val="center"/>
              <w:rPr>
                <w:rFonts w:ascii="Times New Roman" w:hAnsi="Times New Roman" w:eastAsia="方正仿宋_GBK" w:cs="方正仿宋_GBK"/>
                <w:b w:val="0"/>
                <w:bCs w:val="0"/>
                <w:kern w:val="0"/>
                <w:sz w:val="18"/>
                <w:szCs w:val="18"/>
                <w:lang w:bidi="ar"/>
              </w:rPr>
            </w:pPr>
          </w:p>
        </w:tc>
        <w:tc>
          <w:tcPr>
            <w:tcW w:w="600" w:type="dxa"/>
            <w:vMerge w:val="continue"/>
            <w:tcBorders>
              <w:left w:val="single" w:color="000000" w:sz="4" w:space="0"/>
              <w:bottom w:val="single" w:color="000000" w:sz="4" w:space="0"/>
              <w:right w:val="single" w:color="000000" w:sz="4" w:space="0"/>
            </w:tcBorders>
            <w:noWrap w:val="0"/>
            <w:tcMar>
              <w:top w:w="12" w:type="dxa"/>
              <w:left w:w="12" w:type="dxa"/>
              <w:right w:w="12" w:type="dxa"/>
            </w:tcMar>
            <w:vAlign w:val="center"/>
          </w:tcPr>
          <w:p w14:paraId="12D3941D">
            <w:pPr>
              <w:spacing w:line="300" w:lineRule="exact"/>
              <w:jc w:val="center"/>
              <w:rPr>
                <w:rFonts w:ascii="Times New Roman" w:hAnsi="Times New Roman" w:eastAsia="方正仿宋_GBK" w:cs="方正仿宋_GBK"/>
                <w:b w:val="0"/>
                <w:bCs w:val="0"/>
                <w:kern w:val="0"/>
                <w:sz w:val="18"/>
                <w:szCs w:val="18"/>
                <w:lang w:bidi="ar"/>
              </w:rPr>
            </w:pPr>
          </w:p>
        </w:tc>
        <w:tc>
          <w:tcPr>
            <w:tcW w:w="564" w:type="dxa"/>
            <w:vMerge w:val="continue"/>
            <w:tcBorders>
              <w:left w:val="single" w:color="000000" w:sz="4" w:space="0"/>
              <w:bottom w:val="single" w:color="000000" w:sz="4" w:space="0"/>
              <w:right w:val="single" w:color="000000" w:sz="4" w:space="0"/>
            </w:tcBorders>
            <w:noWrap w:val="0"/>
            <w:tcMar>
              <w:top w:w="12" w:type="dxa"/>
              <w:left w:w="12" w:type="dxa"/>
              <w:right w:w="12" w:type="dxa"/>
            </w:tcMar>
            <w:vAlign w:val="center"/>
          </w:tcPr>
          <w:p w14:paraId="35D82C45">
            <w:pPr>
              <w:spacing w:line="300" w:lineRule="exact"/>
              <w:jc w:val="center"/>
              <w:rPr>
                <w:rFonts w:ascii="Times New Roman" w:hAnsi="Times New Roman" w:eastAsia="方正仿宋_GBK" w:cs="方正仿宋_GBK"/>
                <w:b w:val="0"/>
                <w:bCs w:val="0"/>
                <w:kern w:val="0"/>
                <w:sz w:val="18"/>
                <w:szCs w:val="18"/>
                <w:lang w:bidi="ar"/>
              </w:rPr>
            </w:pPr>
          </w:p>
        </w:tc>
        <w:tc>
          <w:tcPr>
            <w:tcW w:w="511" w:type="dxa"/>
            <w:vMerge w:val="continue"/>
            <w:tcBorders>
              <w:left w:val="single" w:color="000000" w:sz="4" w:space="0"/>
              <w:bottom w:val="single" w:color="000000" w:sz="4" w:space="0"/>
              <w:right w:val="single" w:color="000000" w:sz="4" w:space="0"/>
            </w:tcBorders>
            <w:noWrap w:val="0"/>
            <w:tcMar>
              <w:top w:w="12" w:type="dxa"/>
              <w:left w:w="12" w:type="dxa"/>
              <w:right w:w="12" w:type="dxa"/>
            </w:tcMar>
            <w:vAlign w:val="center"/>
          </w:tcPr>
          <w:p w14:paraId="4C06D203">
            <w:pPr>
              <w:spacing w:line="300" w:lineRule="exact"/>
              <w:jc w:val="center"/>
              <w:rPr>
                <w:rFonts w:ascii="Times New Roman" w:hAnsi="Times New Roman" w:eastAsia="方正仿宋_GBK" w:cs="方正仿宋_GBK"/>
                <w:b w:val="0"/>
                <w:bCs w:val="0"/>
                <w:kern w:val="0"/>
                <w:sz w:val="18"/>
                <w:szCs w:val="18"/>
                <w:lang w:bidi="ar"/>
              </w:rPr>
            </w:pPr>
          </w:p>
        </w:tc>
        <w:tc>
          <w:tcPr>
            <w:tcW w:w="821" w:type="dxa"/>
            <w:vMerge w:val="continue"/>
            <w:tcBorders>
              <w:left w:val="single" w:color="000000" w:sz="4" w:space="0"/>
              <w:bottom w:val="single" w:color="000000" w:sz="4" w:space="0"/>
              <w:right w:val="single" w:color="000000" w:sz="4" w:space="0"/>
            </w:tcBorders>
            <w:noWrap w:val="0"/>
            <w:tcMar>
              <w:top w:w="12" w:type="dxa"/>
              <w:left w:w="12" w:type="dxa"/>
              <w:right w:w="12" w:type="dxa"/>
            </w:tcMar>
            <w:vAlign w:val="center"/>
          </w:tcPr>
          <w:p w14:paraId="7A183D95">
            <w:pPr>
              <w:spacing w:line="300" w:lineRule="exact"/>
              <w:jc w:val="center"/>
              <w:rPr>
                <w:rFonts w:ascii="Times New Roman" w:hAnsi="Times New Roman" w:eastAsia="方正仿宋_GBK" w:cs="方正仿宋_GBK"/>
                <w:b w:val="0"/>
                <w:bCs w:val="0"/>
                <w:kern w:val="0"/>
                <w:sz w:val="18"/>
                <w:szCs w:val="18"/>
                <w:lang w:bidi="ar"/>
              </w:rPr>
            </w:pPr>
          </w:p>
        </w:tc>
        <w:tc>
          <w:tcPr>
            <w:tcW w:w="80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246313C">
            <w:pPr>
              <w:widowControl/>
              <w:spacing w:line="300" w:lineRule="exact"/>
              <w:jc w:val="center"/>
              <w:textAlignment w:val="center"/>
              <w:rPr>
                <w:rFonts w:ascii="Times New Roman" w:hAnsi="Times New Roman" w:eastAsia="方正仿宋_GBK" w:cs="方正仿宋_GBK"/>
                <w:b w:val="0"/>
                <w:bCs w:val="0"/>
                <w:kern w:val="0"/>
                <w:sz w:val="18"/>
                <w:szCs w:val="18"/>
                <w:lang w:bidi="ar"/>
              </w:rPr>
            </w:pPr>
            <w:r>
              <w:rPr>
                <w:rFonts w:hint="eastAsia" w:ascii="Times New Roman" w:hAnsi="Times New Roman" w:eastAsia="方正仿宋_GBK" w:cs="方正仿宋_GBK"/>
                <w:b w:val="0"/>
                <w:bCs w:val="0"/>
                <w:kern w:val="0"/>
                <w:sz w:val="18"/>
                <w:szCs w:val="18"/>
                <w:lang w:bidi="ar"/>
              </w:rPr>
              <w:t>总投资</w:t>
            </w:r>
          </w:p>
        </w:tc>
        <w:tc>
          <w:tcPr>
            <w:tcW w:w="81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5D25EF1">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中央</w:t>
            </w:r>
            <w:r>
              <w:rPr>
                <w:rFonts w:hint="eastAsia" w:ascii="Times New Roman" w:hAnsi="Times New Roman" w:eastAsia="方正仿宋_GBK" w:cs="方正仿宋_GBK"/>
                <w:b w:val="0"/>
                <w:bCs w:val="0"/>
                <w:kern w:val="0"/>
                <w:sz w:val="18"/>
                <w:szCs w:val="18"/>
                <w:lang w:bidi="ar"/>
              </w:rPr>
              <w:br w:type="textWrapping"/>
            </w:r>
            <w:r>
              <w:rPr>
                <w:rFonts w:hint="eastAsia" w:ascii="Times New Roman" w:hAnsi="Times New Roman" w:eastAsia="方正仿宋_GBK" w:cs="方正仿宋_GBK"/>
                <w:b w:val="0"/>
                <w:bCs w:val="0"/>
                <w:kern w:val="0"/>
                <w:sz w:val="18"/>
                <w:szCs w:val="18"/>
                <w:lang w:bidi="ar"/>
              </w:rPr>
              <w:t>预算内投资需求</w:t>
            </w:r>
          </w:p>
        </w:tc>
        <w:tc>
          <w:tcPr>
            <w:tcW w:w="63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DB29820">
            <w:pPr>
              <w:widowControl/>
              <w:spacing w:line="300" w:lineRule="exact"/>
              <w:jc w:val="center"/>
              <w:textAlignment w:val="center"/>
              <w:rPr>
                <w:rFonts w:ascii="Times New Roman" w:hAnsi="Times New Roman" w:eastAsia="方正仿宋_GBK" w:cs="方正仿宋_GBK"/>
                <w:b w:val="0"/>
                <w:bCs w:val="0"/>
                <w:kern w:val="0"/>
                <w:sz w:val="18"/>
                <w:szCs w:val="18"/>
                <w:lang w:bidi="ar"/>
              </w:rPr>
            </w:pPr>
            <w:r>
              <w:rPr>
                <w:rFonts w:hint="eastAsia" w:ascii="Times New Roman" w:hAnsi="Times New Roman" w:eastAsia="方正仿宋_GBK" w:cs="方正仿宋_GBK"/>
                <w:b w:val="0"/>
                <w:bCs w:val="0"/>
                <w:kern w:val="0"/>
                <w:sz w:val="18"/>
                <w:szCs w:val="18"/>
                <w:lang w:bidi="ar"/>
              </w:rPr>
              <w:t>专项债券资金需求</w:t>
            </w:r>
          </w:p>
        </w:tc>
        <w:tc>
          <w:tcPr>
            <w:tcW w:w="56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8673DEC">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县级</w:t>
            </w:r>
            <w:r>
              <w:rPr>
                <w:rFonts w:hint="eastAsia" w:ascii="Times New Roman" w:hAnsi="Times New Roman" w:eastAsia="方正仿宋_GBK" w:cs="方正仿宋_GBK"/>
                <w:b w:val="0"/>
                <w:bCs w:val="0"/>
                <w:kern w:val="0"/>
                <w:sz w:val="18"/>
                <w:szCs w:val="18"/>
                <w:lang w:bidi="ar"/>
              </w:rPr>
              <w:br w:type="textWrapping"/>
            </w:r>
            <w:r>
              <w:rPr>
                <w:rFonts w:hint="eastAsia" w:ascii="Times New Roman" w:hAnsi="Times New Roman" w:eastAsia="方正仿宋_GBK" w:cs="方正仿宋_GBK"/>
                <w:b w:val="0"/>
                <w:bCs w:val="0"/>
                <w:kern w:val="0"/>
                <w:sz w:val="18"/>
                <w:szCs w:val="18"/>
                <w:lang w:bidi="ar"/>
              </w:rPr>
              <w:t>资金需求</w:t>
            </w:r>
          </w:p>
        </w:tc>
        <w:tc>
          <w:tcPr>
            <w:tcW w:w="57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C8131A3">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银行</w:t>
            </w:r>
            <w:r>
              <w:rPr>
                <w:rFonts w:hint="eastAsia" w:ascii="Times New Roman" w:hAnsi="Times New Roman" w:eastAsia="方正仿宋_GBK" w:cs="方正仿宋_GBK"/>
                <w:b w:val="0"/>
                <w:bCs w:val="0"/>
                <w:kern w:val="0"/>
                <w:sz w:val="18"/>
                <w:szCs w:val="18"/>
                <w:lang w:bidi="ar"/>
              </w:rPr>
              <w:br w:type="textWrapping"/>
            </w:r>
            <w:r>
              <w:rPr>
                <w:rFonts w:hint="eastAsia" w:ascii="Times New Roman" w:hAnsi="Times New Roman" w:eastAsia="方正仿宋_GBK" w:cs="方正仿宋_GBK"/>
                <w:b w:val="0"/>
                <w:bCs w:val="0"/>
                <w:kern w:val="0"/>
                <w:sz w:val="18"/>
                <w:szCs w:val="18"/>
                <w:lang w:bidi="ar"/>
              </w:rPr>
              <w:t>贷款</w:t>
            </w:r>
          </w:p>
        </w:tc>
        <w:tc>
          <w:tcPr>
            <w:tcW w:w="62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0157CF5">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业主</w:t>
            </w:r>
            <w:r>
              <w:rPr>
                <w:rFonts w:hint="eastAsia" w:ascii="Times New Roman" w:hAnsi="Times New Roman" w:eastAsia="方正仿宋_GBK" w:cs="方正仿宋_GBK"/>
                <w:b w:val="0"/>
                <w:bCs w:val="0"/>
                <w:kern w:val="0"/>
                <w:sz w:val="18"/>
                <w:szCs w:val="18"/>
                <w:lang w:bidi="ar"/>
              </w:rPr>
              <w:br w:type="textWrapping"/>
            </w:r>
            <w:r>
              <w:rPr>
                <w:rFonts w:hint="eastAsia" w:ascii="Times New Roman" w:hAnsi="Times New Roman" w:eastAsia="方正仿宋_GBK" w:cs="方正仿宋_GBK"/>
                <w:b w:val="0"/>
                <w:bCs w:val="0"/>
                <w:kern w:val="0"/>
                <w:sz w:val="18"/>
                <w:szCs w:val="18"/>
                <w:lang w:bidi="ar"/>
              </w:rPr>
              <w:t>自筹</w:t>
            </w:r>
          </w:p>
        </w:tc>
        <w:tc>
          <w:tcPr>
            <w:tcW w:w="60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FA9ECA6">
            <w:pPr>
              <w:widowControl/>
              <w:spacing w:line="300" w:lineRule="exact"/>
              <w:jc w:val="center"/>
              <w:textAlignment w:val="center"/>
              <w:rPr>
                <w:rFonts w:ascii="Times New Roman" w:hAnsi="Times New Roman" w:eastAsia="方正仿宋_GBK" w:cs="方正仿宋_GBK"/>
                <w:b w:val="0"/>
                <w:bCs w:val="0"/>
                <w:kern w:val="0"/>
                <w:sz w:val="18"/>
                <w:szCs w:val="18"/>
                <w:lang w:bidi="ar"/>
              </w:rPr>
            </w:pPr>
            <w:r>
              <w:rPr>
                <w:rFonts w:hint="eastAsia" w:ascii="Times New Roman" w:hAnsi="Times New Roman" w:eastAsia="方正仿宋_GBK" w:cs="方正仿宋_GBK"/>
                <w:b w:val="0"/>
                <w:bCs w:val="0"/>
                <w:kern w:val="0"/>
                <w:sz w:val="18"/>
                <w:szCs w:val="18"/>
                <w:lang w:bidi="ar"/>
              </w:rPr>
              <w:t>其它</w:t>
            </w:r>
            <w:r>
              <w:rPr>
                <w:rFonts w:hint="eastAsia" w:ascii="Times New Roman" w:hAnsi="Times New Roman" w:eastAsia="方正仿宋_GBK" w:cs="方正仿宋_GBK"/>
                <w:b w:val="0"/>
                <w:bCs w:val="0"/>
                <w:kern w:val="0"/>
                <w:sz w:val="18"/>
                <w:szCs w:val="18"/>
                <w:lang w:bidi="ar"/>
              </w:rPr>
              <w:br w:type="textWrapping"/>
            </w:r>
            <w:r>
              <w:rPr>
                <w:rFonts w:hint="eastAsia" w:ascii="Times New Roman" w:hAnsi="Times New Roman" w:eastAsia="方正仿宋_GBK" w:cs="方正仿宋_GBK"/>
                <w:b w:val="0"/>
                <w:bCs w:val="0"/>
                <w:kern w:val="0"/>
                <w:sz w:val="18"/>
                <w:szCs w:val="18"/>
                <w:lang w:bidi="ar"/>
              </w:rPr>
              <w:t>投资需求</w:t>
            </w:r>
          </w:p>
        </w:tc>
      </w:tr>
      <w:tr w14:paraId="6A1A63F6">
        <w:tblPrEx>
          <w:tblCellMar>
            <w:top w:w="0" w:type="dxa"/>
            <w:left w:w="0" w:type="dxa"/>
            <w:bottom w:w="0" w:type="dxa"/>
            <w:right w:w="0" w:type="dxa"/>
          </w:tblCellMar>
        </w:tblPrEx>
        <w:trPr>
          <w:trHeight w:val="1200" w:hRule="atLeast"/>
        </w:trPr>
        <w:tc>
          <w:tcPr>
            <w:tcW w:w="4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1C02892">
            <w:pPr>
              <w:widowControl/>
              <w:spacing w:line="300" w:lineRule="exact"/>
              <w:jc w:val="center"/>
              <w:textAlignment w:val="center"/>
              <w:rPr>
                <w:rFonts w:ascii="Times New Roman" w:hAnsi="Times New Roman" w:eastAsia="方正仿宋_GBK" w:cs="方正仿宋_GBK"/>
                <w:b w:val="0"/>
                <w:bCs w:val="0"/>
                <w:kern w:val="0"/>
                <w:sz w:val="18"/>
                <w:szCs w:val="18"/>
                <w:lang w:bidi="ar"/>
              </w:rPr>
            </w:pPr>
            <w:r>
              <w:rPr>
                <w:rFonts w:hint="eastAsia" w:ascii="Times New Roman" w:hAnsi="Times New Roman" w:eastAsia="方正仿宋_GBK" w:cs="方正仿宋_GBK"/>
                <w:b w:val="0"/>
                <w:bCs w:val="0"/>
                <w:kern w:val="0"/>
                <w:sz w:val="18"/>
                <w:szCs w:val="18"/>
                <w:lang w:bidi="ar"/>
              </w:rPr>
              <w:t>18</w:t>
            </w:r>
          </w:p>
        </w:tc>
        <w:tc>
          <w:tcPr>
            <w:tcW w:w="133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8242379">
            <w:pPr>
              <w:widowControl/>
              <w:spacing w:line="300" w:lineRule="exact"/>
              <w:jc w:val="left"/>
              <w:textAlignment w:val="center"/>
              <w:rPr>
                <w:rFonts w:ascii="Times New Roman" w:hAnsi="Times New Roman" w:eastAsia="方正仿宋_GBK" w:cs="方正仿宋_GBK"/>
                <w:b w:val="0"/>
                <w:bCs w:val="0"/>
                <w:kern w:val="0"/>
                <w:sz w:val="18"/>
                <w:szCs w:val="18"/>
                <w:lang w:bidi="ar"/>
              </w:rPr>
            </w:pPr>
            <w:r>
              <w:rPr>
                <w:rFonts w:hint="eastAsia" w:ascii="Times New Roman" w:hAnsi="Times New Roman" w:eastAsia="方正仿宋_GBK" w:cs="方正仿宋_GBK"/>
                <w:b w:val="0"/>
                <w:bCs w:val="0"/>
                <w:kern w:val="0"/>
                <w:sz w:val="18"/>
                <w:szCs w:val="18"/>
                <w:lang w:bidi="ar"/>
              </w:rPr>
              <w:t>云阳县南溪镇中心卫生院改建项目</w:t>
            </w:r>
          </w:p>
        </w:tc>
        <w:tc>
          <w:tcPr>
            <w:tcW w:w="464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280F77D">
            <w:pPr>
              <w:widowControl/>
              <w:spacing w:line="300" w:lineRule="exact"/>
              <w:jc w:val="left"/>
              <w:textAlignment w:val="center"/>
              <w:rPr>
                <w:rFonts w:ascii="Times New Roman" w:hAnsi="Times New Roman" w:eastAsia="方正仿宋_GBK" w:cs="方正仿宋_GBK"/>
                <w:b w:val="0"/>
                <w:bCs w:val="0"/>
                <w:kern w:val="0"/>
                <w:sz w:val="18"/>
                <w:szCs w:val="18"/>
                <w:lang w:bidi="ar"/>
              </w:rPr>
            </w:pPr>
            <w:r>
              <w:rPr>
                <w:rFonts w:hint="eastAsia" w:ascii="Times New Roman" w:hAnsi="Times New Roman" w:eastAsia="方正仿宋_GBK" w:cs="方正仿宋_GBK"/>
                <w:b w:val="0"/>
                <w:bCs w:val="0"/>
                <w:kern w:val="0"/>
                <w:sz w:val="18"/>
                <w:szCs w:val="18"/>
                <w:lang w:bidi="ar"/>
              </w:rPr>
              <w:t>改建门诊、住院楼业务用房约12000㎡</w:t>
            </w:r>
          </w:p>
        </w:tc>
        <w:tc>
          <w:tcPr>
            <w:tcW w:w="60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91CDFD1">
            <w:pPr>
              <w:widowControl/>
              <w:spacing w:line="300" w:lineRule="exact"/>
              <w:jc w:val="center"/>
              <w:textAlignment w:val="center"/>
              <w:rPr>
                <w:rFonts w:ascii="Times New Roman" w:hAnsi="Times New Roman" w:eastAsia="方正仿宋_GBK" w:cs="方正仿宋_GBK"/>
                <w:b w:val="0"/>
                <w:bCs w:val="0"/>
                <w:kern w:val="0"/>
                <w:sz w:val="18"/>
                <w:szCs w:val="18"/>
                <w:lang w:bidi="ar"/>
              </w:rPr>
            </w:pPr>
          </w:p>
        </w:tc>
        <w:tc>
          <w:tcPr>
            <w:tcW w:w="56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818EF2C">
            <w:pPr>
              <w:widowControl/>
              <w:spacing w:line="300" w:lineRule="exact"/>
              <w:jc w:val="center"/>
              <w:textAlignment w:val="center"/>
              <w:rPr>
                <w:rFonts w:ascii="Times New Roman" w:hAnsi="Times New Roman" w:eastAsia="方正仿宋_GBK" w:cs="方正仿宋_GBK"/>
                <w:b w:val="0"/>
                <w:bCs w:val="0"/>
                <w:kern w:val="0"/>
                <w:sz w:val="18"/>
                <w:szCs w:val="18"/>
                <w:lang w:bidi="ar"/>
              </w:rPr>
            </w:pPr>
            <w:r>
              <w:rPr>
                <w:rFonts w:hint="eastAsia" w:ascii="Times New Roman" w:hAnsi="Times New Roman" w:eastAsia="方正仿宋_GBK" w:cs="方正仿宋_GBK"/>
                <w:b w:val="0"/>
                <w:bCs w:val="0"/>
                <w:kern w:val="0"/>
                <w:sz w:val="18"/>
                <w:szCs w:val="18"/>
                <w:lang w:bidi="ar"/>
              </w:rPr>
              <w:t>南溪镇</w:t>
            </w:r>
          </w:p>
        </w:tc>
        <w:tc>
          <w:tcPr>
            <w:tcW w:w="51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AF4FF93">
            <w:pPr>
              <w:widowControl/>
              <w:spacing w:line="300" w:lineRule="exact"/>
              <w:jc w:val="center"/>
              <w:textAlignment w:val="center"/>
              <w:rPr>
                <w:rFonts w:ascii="Times New Roman" w:hAnsi="Times New Roman" w:eastAsia="方正仿宋_GBK" w:cs="方正仿宋_GBK"/>
                <w:b w:val="0"/>
                <w:bCs w:val="0"/>
                <w:kern w:val="0"/>
                <w:sz w:val="18"/>
                <w:szCs w:val="18"/>
                <w:lang w:bidi="ar"/>
              </w:rPr>
            </w:pPr>
            <w:r>
              <w:rPr>
                <w:rFonts w:hint="eastAsia" w:ascii="Times New Roman" w:hAnsi="Times New Roman" w:eastAsia="方正仿宋_GBK" w:cs="方正仿宋_GBK"/>
                <w:b w:val="0"/>
                <w:bCs w:val="0"/>
                <w:kern w:val="0"/>
                <w:sz w:val="18"/>
                <w:szCs w:val="18"/>
                <w:lang w:bidi="ar"/>
              </w:rPr>
              <w:t>改建</w:t>
            </w:r>
          </w:p>
        </w:tc>
        <w:tc>
          <w:tcPr>
            <w:tcW w:w="82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5F2617F">
            <w:pPr>
              <w:widowControl/>
              <w:spacing w:line="300" w:lineRule="exact"/>
              <w:jc w:val="center"/>
              <w:textAlignment w:val="center"/>
              <w:rPr>
                <w:rFonts w:ascii="Times New Roman" w:hAnsi="Times New Roman" w:eastAsia="方正仿宋_GBK" w:cs="方正仿宋_GBK"/>
                <w:b w:val="0"/>
                <w:bCs w:val="0"/>
                <w:kern w:val="0"/>
                <w:sz w:val="18"/>
                <w:szCs w:val="18"/>
                <w:lang w:bidi="ar"/>
              </w:rPr>
            </w:pPr>
            <w:r>
              <w:rPr>
                <w:rFonts w:hint="eastAsia" w:ascii="Times New Roman" w:hAnsi="Times New Roman" w:eastAsia="方正仿宋_GBK" w:cs="方正仿宋_GBK"/>
                <w:b w:val="0"/>
                <w:bCs w:val="0"/>
                <w:kern w:val="0"/>
                <w:sz w:val="18"/>
                <w:szCs w:val="18"/>
                <w:lang w:bidi="ar"/>
              </w:rPr>
              <w:t>2022-202</w:t>
            </w:r>
          </w:p>
        </w:tc>
        <w:tc>
          <w:tcPr>
            <w:tcW w:w="80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B8DADDC">
            <w:pPr>
              <w:widowControl/>
              <w:spacing w:line="300" w:lineRule="exact"/>
              <w:jc w:val="center"/>
              <w:textAlignment w:val="center"/>
              <w:rPr>
                <w:rFonts w:ascii="Times New Roman" w:hAnsi="Times New Roman" w:eastAsia="方正仿宋_GBK" w:cs="方正仿宋_GBK"/>
                <w:b w:val="0"/>
                <w:bCs w:val="0"/>
                <w:kern w:val="0"/>
                <w:sz w:val="18"/>
                <w:szCs w:val="18"/>
                <w:lang w:bidi="ar"/>
              </w:rPr>
            </w:pPr>
            <w:r>
              <w:rPr>
                <w:rFonts w:hint="eastAsia" w:ascii="Times New Roman" w:hAnsi="Times New Roman" w:eastAsia="方正仿宋_GBK" w:cs="方正仿宋_GBK"/>
                <w:b w:val="0"/>
                <w:bCs w:val="0"/>
                <w:kern w:val="0"/>
                <w:sz w:val="18"/>
                <w:szCs w:val="18"/>
                <w:lang w:bidi="ar"/>
              </w:rPr>
              <w:t>3000</w:t>
            </w:r>
          </w:p>
        </w:tc>
        <w:tc>
          <w:tcPr>
            <w:tcW w:w="81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EA47E75">
            <w:pPr>
              <w:spacing w:line="300" w:lineRule="exact"/>
              <w:jc w:val="center"/>
              <w:rPr>
                <w:rFonts w:ascii="Times New Roman" w:hAnsi="Times New Roman" w:eastAsia="方正仿宋_GBK" w:cs="方正仿宋_GBK"/>
                <w:b w:val="0"/>
                <w:bCs w:val="0"/>
                <w:sz w:val="18"/>
                <w:szCs w:val="18"/>
              </w:rPr>
            </w:pPr>
          </w:p>
        </w:tc>
        <w:tc>
          <w:tcPr>
            <w:tcW w:w="63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80618C7">
            <w:pPr>
              <w:widowControl/>
              <w:spacing w:line="300" w:lineRule="exact"/>
              <w:jc w:val="center"/>
              <w:textAlignment w:val="center"/>
              <w:rPr>
                <w:rFonts w:ascii="Times New Roman" w:hAnsi="Times New Roman" w:eastAsia="方正仿宋_GBK" w:cs="方正仿宋_GBK"/>
                <w:b w:val="0"/>
                <w:bCs w:val="0"/>
                <w:kern w:val="0"/>
                <w:sz w:val="18"/>
                <w:szCs w:val="18"/>
                <w:lang w:bidi="ar"/>
              </w:rPr>
            </w:pPr>
            <w:r>
              <w:rPr>
                <w:rFonts w:hint="eastAsia" w:ascii="Times New Roman" w:hAnsi="Times New Roman" w:eastAsia="方正仿宋_GBK" w:cs="方正仿宋_GBK"/>
                <w:b w:val="0"/>
                <w:bCs w:val="0"/>
                <w:kern w:val="0"/>
                <w:sz w:val="18"/>
                <w:szCs w:val="18"/>
                <w:lang w:bidi="ar"/>
              </w:rPr>
              <w:t>1500</w:t>
            </w:r>
          </w:p>
        </w:tc>
        <w:tc>
          <w:tcPr>
            <w:tcW w:w="56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177CA77">
            <w:pPr>
              <w:spacing w:line="300" w:lineRule="exact"/>
              <w:jc w:val="center"/>
              <w:rPr>
                <w:rFonts w:ascii="Times New Roman" w:hAnsi="Times New Roman" w:eastAsia="方正仿宋_GBK" w:cs="方正仿宋_GBK"/>
                <w:b w:val="0"/>
                <w:bCs w:val="0"/>
                <w:sz w:val="18"/>
                <w:szCs w:val="18"/>
              </w:rPr>
            </w:pPr>
          </w:p>
        </w:tc>
        <w:tc>
          <w:tcPr>
            <w:tcW w:w="57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CA0F41B">
            <w:pPr>
              <w:spacing w:line="300" w:lineRule="exact"/>
              <w:jc w:val="center"/>
              <w:rPr>
                <w:rFonts w:ascii="Times New Roman" w:hAnsi="Times New Roman" w:eastAsia="方正仿宋_GBK" w:cs="方正仿宋_GBK"/>
                <w:b w:val="0"/>
                <w:bCs w:val="0"/>
                <w:sz w:val="18"/>
                <w:szCs w:val="18"/>
              </w:rPr>
            </w:pPr>
          </w:p>
        </w:tc>
        <w:tc>
          <w:tcPr>
            <w:tcW w:w="62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A6930A1">
            <w:pPr>
              <w:spacing w:line="300" w:lineRule="exact"/>
              <w:jc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sz w:val="18"/>
                <w:szCs w:val="18"/>
              </w:rPr>
              <w:t>1500</w:t>
            </w:r>
          </w:p>
        </w:tc>
        <w:tc>
          <w:tcPr>
            <w:tcW w:w="60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D27FFD9">
            <w:pPr>
              <w:widowControl/>
              <w:spacing w:line="300" w:lineRule="exact"/>
              <w:jc w:val="center"/>
              <w:textAlignment w:val="center"/>
              <w:rPr>
                <w:rFonts w:ascii="Times New Roman" w:hAnsi="Times New Roman" w:eastAsia="方正仿宋_GBK" w:cs="方正仿宋_GBK"/>
                <w:b w:val="0"/>
                <w:bCs w:val="0"/>
                <w:kern w:val="0"/>
                <w:sz w:val="18"/>
                <w:szCs w:val="18"/>
                <w:lang w:bidi="ar"/>
              </w:rPr>
            </w:pPr>
          </w:p>
        </w:tc>
      </w:tr>
      <w:tr w14:paraId="43D686FF">
        <w:tblPrEx>
          <w:tblCellMar>
            <w:top w:w="0" w:type="dxa"/>
            <w:left w:w="0" w:type="dxa"/>
            <w:bottom w:w="0" w:type="dxa"/>
            <w:right w:w="0" w:type="dxa"/>
          </w:tblCellMar>
        </w:tblPrEx>
        <w:trPr>
          <w:trHeight w:val="1200" w:hRule="atLeast"/>
        </w:trPr>
        <w:tc>
          <w:tcPr>
            <w:tcW w:w="4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83B4452">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 xml:space="preserve">19 </w:t>
            </w:r>
          </w:p>
        </w:tc>
        <w:tc>
          <w:tcPr>
            <w:tcW w:w="133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88CA3EF">
            <w:pPr>
              <w:widowControl/>
              <w:spacing w:line="300" w:lineRule="exact"/>
              <w:jc w:val="left"/>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云阳县云安镇卫生院迁扩建项目</w:t>
            </w:r>
          </w:p>
        </w:tc>
        <w:tc>
          <w:tcPr>
            <w:tcW w:w="464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FF34C00">
            <w:pPr>
              <w:widowControl/>
              <w:spacing w:line="300" w:lineRule="exact"/>
              <w:jc w:val="left"/>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建筑面积5000㎡，扩建业务用房、相应配套附属设施设备及医疗设备配置。</w:t>
            </w:r>
          </w:p>
        </w:tc>
        <w:tc>
          <w:tcPr>
            <w:tcW w:w="60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3994738">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15</w:t>
            </w:r>
          </w:p>
        </w:tc>
        <w:tc>
          <w:tcPr>
            <w:tcW w:w="56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CF16BBA">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云安镇</w:t>
            </w:r>
          </w:p>
        </w:tc>
        <w:tc>
          <w:tcPr>
            <w:tcW w:w="51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6227469">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新建</w:t>
            </w:r>
          </w:p>
        </w:tc>
        <w:tc>
          <w:tcPr>
            <w:tcW w:w="82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A66F65E">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2024-2025</w:t>
            </w:r>
          </w:p>
        </w:tc>
        <w:tc>
          <w:tcPr>
            <w:tcW w:w="80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D62F591">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 xml:space="preserve">3000 </w:t>
            </w:r>
          </w:p>
        </w:tc>
        <w:tc>
          <w:tcPr>
            <w:tcW w:w="81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B658CBB">
            <w:pPr>
              <w:spacing w:line="300" w:lineRule="exact"/>
              <w:jc w:val="center"/>
              <w:rPr>
                <w:rFonts w:ascii="Times New Roman" w:hAnsi="Times New Roman" w:eastAsia="方正仿宋_GBK" w:cs="方正仿宋_GBK"/>
                <w:b w:val="0"/>
                <w:bCs w:val="0"/>
                <w:sz w:val="18"/>
                <w:szCs w:val="18"/>
              </w:rPr>
            </w:pPr>
          </w:p>
        </w:tc>
        <w:tc>
          <w:tcPr>
            <w:tcW w:w="63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EE2B9B8">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 xml:space="preserve">1500 </w:t>
            </w:r>
          </w:p>
        </w:tc>
        <w:tc>
          <w:tcPr>
            <w:tcW w:w="56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26F388D">
            <w:pPr>
              <w:spacing w:line="300" w:lineRule="exact"/>
              <w:jc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sz w:val="18"/>
                <w:szCs w:val="18"/>
              </w:rPr>
              <w:t>500</w:t>
            </w:r>
          </w:p>
        </w:tc>
        <w:tc>
          <w:tcPr>
            <w:tcW w:w="57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668403F">
            <w:pPr>
              <w:spacing w:line="300" w:lineRule="exact"/>
              <w:jc w:val="center"/>
              <w:rPr>
                <w:rFonts w:ascii="Times New Roman" w:hAnsi="Times New Roman" w:eastAsia="方正仿宋_GBK" w:cs="方正仿宋_GBK"/>
                <w:b w:val="0"/>
                <w:bCs w:val="0"/>
                <w:sz w:val="18"/>
                <w:szCs w:val="18"/>
              </w:rPr>
            </w:pPr>
          </w:p>
        </w:tc>
        <w:tc>
          <w:tcPr>
            <w:tcW w:w="62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48FEE9A">
            <w:pPr>
              <w:spacing w:line="300" w:lineRule="exact"/>
              <w:jc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sz w:val="18"/>
                <w:szCs w:val="18"/>
              </w:rPr>
              <w:t>200</w:t>
            </w:r>
          </w:p>
        </w:tc>
        <w:tc>
          <w:tcPr>
            <w:tcW w:w="60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CD150A2">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 xml:space="preserve">1000 </w:t>
            </w:r>
          </w:p>
        </w:tc>
      </w:tr>
      <w:tr w14:paraId="7C6EEAA1">
        <w:tblPrEx>
          <w:tblCellMar>
            <w:top w:w="0" w:type="dxa"/>
            <w:left w:w="0" w:type="dxa"/>
            <w:bottom w:w="0" w:type="dxa"/>
            <w:right w:w="0" w:type="dxa"/>
          </w:tblCellMar>
        </w:tblPrEx>
        <w:trPr>
          <w:trHeight w:val="929"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14:paraId="3A8E290C">
            <w:pPr>
              <w:widowControl/>
              <w:spacing w:line="300" w:lineRule="exact"/>
              <w:jc w:val="center"/>
              <w:textAlignment w:val="center"/>
              <w:rPr>
                <w:rFonts w:ascii="Times New Roman" w:hAnsi="Times New Roman" w:eastAsia="方正仿宋_GBK" w:cs="方正仿宋_GBK"/>
                <w:b w:val="0"/>
                <w:bCs w:val="0"/>
                <w:kern w:val="0"/>
                <w:sz w:val="18"/>
                <w:szCs w:val="18"/>
                <w:lang w:bidi="ar"/>
              </w:rPr>
            </w:pPr>
            <w:r>
              <w:rPr>
                <w:rFonts w:hint="eastAsia" w:ascii="Times New Roman" w:hAnsi="Times New Roman" w:eastAsia="方正仿宋_GBK" w:cs="方正仿宋_GBK"/>
                <w:b w:val="0"/>
                <w:bCs w:val="0"/>
                <w:kern w:val="0"/>
                <w:sz w:val="18"/>
                <w:szCs w:val="18"/>
                <w:lang w:bidi="ar"/>
              </w:rPr>
              <w:t>20</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14:paraId="3BD1238B">
            <w:pPr>
              <w:widowControl/>
              <w:spacing w:line="300" w:lineRule="exact"/>
              <w:jc w:val="left"/>
              <w:textAlignment w:val="center"/>
              <w:rPr>
                <w:rFonts w:ascii="Times New Roman" w:hAnsi="Times New Roman" w:eastAsia="方正仿宋_GBK" w:cs="方正仿宋_GBK"/>
                <w:b w:val="0"/>
                <w:bCs w:val="0"/>
                <w:kern w:val="0"/>
                <w:sz w:val="18"/>
                <w:szCs w:val="18"/>
                <w:lang w:bidi="ar"/>
              </w:rPr>
            </w:pPr>
            <w:r>
              <w:rPr>
                <w:rFonts w:hint="eastAsia" w:ascii="Times New Roman" w:hAnsi="Times New Roman" w:eastAsia="方正仿宋_GBK" w:cs="方正仿宋_GBK"/>
                <w:b w:val="0"/>
                <w:bCs w:val="0"/>
                <w:kern w:val="0"/>
                <w:sz w:val="18"/>
                <w:szCs w:val="18"/>
                <w:lang w:bidi="ar"/>
              </w:rPr>
              <w:t>云阳县普安镇卫生院迁扩建项目</w:t>
            </w:r>
          </w:p>
        </w:tc>
        <w:tc>
          <w:tcPr>
            <w:tcW w:w="4644" w:type="dxa"/>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14:paraId="50B16D4C">
            <w:pPr>
              <w:widowControl/>
              <w:spacing w:line="300" w:lineRule="exact"/>
              <w:jc w:val="left"/>
              <w:textAlignment w:val="center"/>
              <w:rPr>
                <w:rFonts w:ascii="Times New Roman" w:hAnsi="Times New Roman" w:eastAsia="方正仿宋_GBK" w:cs="方正仿宋_GBK"/>
                <w:b w:val="0"/>
                <w:bCs w:val="0"/>
                <w:kern w:val="0"/>
                <w:sz w:val="18"/>
                <w:szCs w:val="18"/>
                <w:lang w:bidi="ar"/>
              </w:rPr>
            </w:pPr>
            <w:r>
              <w:rPr>
                <w:rFonts w:hint="eastAsia" w:ascii="Times New Roman" w:hAnsi="Times New Roman" w:eastAsia="方正仿宋_GBK" w:cs="方正仿宋_GBK"/>
                <w:b w:val="0"/>
                <w:bCs w:val="0"/>
                <w:kern w:val="0"/>
                <w:sz w:val="18"/>
                <w:szCs w:val="18"/>
                <w:lang w:bidi="ar"/>
              </w:rPr>
              <w:t>规划建筑面积5000㎡，新建业务用房、相应配套附属设施设备及医疗设备配置。</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14:paraId="14AA1F7A">
            <w:pPr>
              <w:spacing w:line="300" w:lineRule="exact"/>
              <w:jc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sz w:val="18"/>
                <w:szCs w:val="18"/>
              </w:rPr>
              <w:t>10</w:t>
            </w:r>
          </w:p>
        </w:tc>
        <w:tc>
          <w:tcPr>
            <w:tcW w:w="564" w:type="dxa"/>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14:paraId="6ABAD4D2">
            <w:pPr>
              <w:spacing w:line="300" w:lineRule="exact"/>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sz w:val="18"/>
                <w:szCs w:val="18"/>
              </w:rPr>
              <w:t>普安镇</w:t>
            </w:r>
          </w:p>
        </w:tc>
        <w:tc>
          <w:tcPr>
            <w:tcW w:w="511" w:type="dxa"/>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14:paraId="33B32645">
            <w:pPr>
              <w:widowControl/>
              <w:spacing w:line="300" w:lineRule="exact"/>
              <w:jc w:val="center"/>
              <w:textAlignment w:val="center"/>
              <w:rPr>
                <w:rFonts w:ascii="Times New Roman" w:hAnsi="Times New Roman" w:eastAsia="方正仿宋_GBK" w:cs="方正仿宋_GBK"/>
                <w:b w:val="0"/>
                <w:bCs w:val="0"/>
                <w:kern w:val="0"/>
                <w:sz w:val="18"/>
                <w:szCs w:val="18"/>
                <w:lang w:bidi="ar"/>
              </w:rPr>
            </w:pPr>
            <w:r>
              <w:rPr>
                <w:rFonts w:hint="eastAsia" w:ascii="Times New Roman" w:hAnsi="Times New Roman" w:eastAsia="方正仿宋_GBK" w:cs="方正仿宋_GBK"/>
                <w:b w:val="0"/>
                <w:bCs w:val="0"/>
                <w:kern w:val="0"/>
                <w:sz w:val="18"/>
                <w:szCs w:val="18"/>
                <w:lang w:bidi="ar"/>
              </w:rPr>
              <w:t>新建</w:t>
            </w:r>
          </w:p>
        </w:tc>
        <w:tc>
          <w:tcPr>
            <w:tcW w:w="821" w:type="dxa"/>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14:paraId="07F9DCE5">
            <w:pPr>
              <w:widowControl/>
              <w:spacing w:line="300" w:lineRule="exact"/>
              <w:jc w:val="center"/>
              <w:textAlignment w:val="center"/>
              <w:rPr>
                <w:rFonts w:ascii="Times New Roman" w:hAnsi="Times New Roman" w:eastAsia="方正仿宋_GBK" w:cs="方正仿宋_GBK"/>
                <w:b w:val="0"/>
                <w:bCs w:val="0"/>
                <w:kern w:val="0"/>
                <w:sz w:val="18"/>
                <w:szCs w:val="18"/>
                <w:lang w:bidi="ar"/>
              </w:rPr>
            </w:pPr>
            <w:r>
              <w:rPr>
                <w:rFonts w:hint="eastAsia" w:ascii="Times New Roman" w:hAnsi="Times New Roman" w:eastAsia="方正仿宋_GBK" w:cs="方正仿宋_GBK"/>
                <w:b w:val="0"/>
                <w:bCs w:val="0"/>
                <w:kern w:val="0"/>
                <w:sz w:val="18"/>
                <w:szCs w:val="18"/>
                <w:lang w:bidi="ar"/>
              </w:rPr>
              <w:t>2024-2025</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14:paraId="22FAC906">
            <w:pPr>
              <w:widowControl/>
              <w:spacing w:line="300" w:lineRule="exact"/>
              <w:jc w:val="center"/>
              <w:textAlignment w:val="center"/>
              <w:rPr>
                <w:rFonts w:ascii="Times New Roman" w:hAnsi="Times New Roman" w:eastAsia="方正仿宋_GBK" w:cs="方正仿宋_GBK"/>
                <w:b w:val="0"/>
                <w:bCs w:val="0"/>
                <w:kern w:val="0"/>
                <w:sz w:val="18"/>
                <w:szCs w:val="18"/>
                <w:lang w:bidi="ar"/>
              </w:rPr>
            </w:pPr>
            <w:r>
              <w:rPr>
                <w:rFonts w:hint="eastAsia" w:ascii="Times New Roman" w:hAnsi="Times New Roman" w:eastAsia="方正仿宋_GBK" w:cs="方正仿宋_GBK"/>
                <w:b w:val="0"/>
                <w:bCs w:val="0"/>
                <w:kern w:val="0"/>
                <w:sz w:val="18"/>
                <w:szCs w:val="18"/>
                <w:lang w:bidi="ar"/>
              </w:rPr>
              <w:t>3000</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14:paraId="18DBE244">
            <w:pPr>
              <w:widowControl/>
              <w:spacing w:line="300" w:lineRule="exact"/>
              <w:jc w:val="center"/>
              <w:textAlignment w:val="center"/>
              <w:rPr>
                <w:rFonts w:ascii="Times New Roman" w:hAnsi="Times New Roman" w:eastAsia="方正仿宋_GBK" w:cs="方正仿宋_GBK"/>
                <w:b w:val="0"/>
                <w:bCs w:val="0"/>
                <w:kern w:val="0"/>
                <w:sz w:val="18"/>
                <w:szCs w:val="18"/>
                <w:lang w:bidi="ar"/>
              </w:rPr>
            </w:pPr>
          </w:p>
        </w:tc>
        <w:tc>
          <w:tcPr>
            <w:tcW w:w="636" w:type="dxa"/>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14:paraId="01028443">
            <w:pPr>
              <w:spacing w:line="300" w:lineRule="exact"/>
              <w:jc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sz w:val="18"/>
                <w:szCs w:val="18"/>
              </w:rPr>
              <w:t>1500</w:t>
            </w:r>
          </w:p>
        </w:tc>
        <w:tc>
          <w:tcPr>
            <w:tcW w:w="564" w:type="dxa"/>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14:paraId="71A31551">
            <w:pPr>
              <w:spacing w:line="300" w:lineRule="exact"/>
              <w:jc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sz w:val="18"/>
                <w:szCs w:val="18"/>
              </w:rPr>
              <w:t>500</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14:paraId="5CB0DFC0">
            <w:pPr>
              <w:spacing w:line="300" w:lineRule="exact"/>
              <w:jc w:val="center"/>
              <w:rPr>
                <w:rFonts w:ascii="Times New Roman" w:hAnsi="Times New Roman" w:eastAsia="方正仿宋_GBK" w:cs="方正仿宋_GBK"/>
                <w:b w:val="0"/>
                <w:bCs w:val="0"/>
                <w:sz w:val="18"/>
                <w:szCs w:val="18"/>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14:paraId="43CE171B">
            <w:pPr>
              <w:spacing w:line="300" w:lineRule="exact"/>
              <w:jc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sz w:val="18"/>
                <w:szCs w:val="18"/>
              </w:rPr>
              <w:t>200</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2" w:type="dxa"/>
              <w:left w:w="12" w:type="dxa"/>
              <w:right w:w="12" w:type="dxa"/>
            </w:tcMar>
            <w:vAlign w:val="center"/>
          </w:tcPr>
          <w:p w14:paraId="3CDFFC85">
            <w:pPr>
              <w:spacing w:line="300" w:lineRule="exact"/>
              <w:jc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sz w:val="18"/>
                <w:szCs w:val="18"/>
              </w:rPr>
              <w:t>1000</w:t>
            </w:r>
          </w:p>
        </w:tc>
      </w:tr>
      <w:tr w14:paraId="24C4A17B">
        <w:tblPrEx>
          <w:tblCellMar>
            <w:top w:w="0" w:type="dxa"/>
            <w:left w:w="0" w:type="dxa"/>
            <w:bottom w:w="0" w:type="dxa"/>
            <w:right w:w="0" w:type="dxa"/>
          </w:tblCellMar>
        </w:tblPrEx>
        <w:trPr>
          <w:trHeight w:val="929"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14:paraId="10EC5A4C">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 xml:space="preserve">21 </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14:paraId="6EAD71F6">
            <w:pPr>
              <w:widowControl/>
              <w:spacing w:line="300" w:lineRule="exact"/>
              <w:jc w:val="left"/>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云阳县基层卫生院分院建设项目</w:t>
            </w:r>
          </w:p>
        </w:tc>
        <w:tc>
          <w:tcPr>
            <w:tcW w:w="4644" w:type="dxa"/>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14:paraId="1F195150">
            <w:pPr>
              <w:widowControl/>
              <w:spacing w:line="300" w:lineRule="exact"/>
              <w:jc w:val="left"/>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总建筑面积12000㎡，扩建凤桥、院庄、向阳、盛保、帆水、青山等6个基层卫生院分院，（每个分院2000㎡），扩建业务用房、配套附属设施设备及医疗设备配置。</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14:paraId="308CA136">
            <w:pPr>
              <w:spacing w:line="300" w:lineRule="exact"/>
              <w:jc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sz w:val="18"/>
                <w:szCs w:val="18"/>
              </w:rPr>
              <w:t>30</w:t>
            </w:r>
          </w:p>
        </w:tc>
        <w:tc>
          <w:tcPr>
            <w:tcW w:w="564" w:type="dxa"/>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14:paraId="1B2F5EB0">
            <w:pPr>
              <w:spacing w:line="300" w:lineRule="exact"/>
              <w:jc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sz w:val="18"/>
                <w:szCs w:val="18"/>
              </w:rPr>
              <w:t>各分院所在地</w:t>
            </w:r>
          </w:p>
        </w:tc>
        <w:tc>
          <w:tcPr>
            <w:tcW w:w="511" w:type="dxa"/>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14:paraId="35D4C11D">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sz w:val="18"/>
                <w:szCs w:val="18"/>
              </w:rPr>
              <w:t>新建</w:t>
            </w:r>
          </w:p>
        </w:tc>
        <w:tc>
          <w:tcPr>
            <w:tcW w:w="821" w:type="dxa"/>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14:paraId="15E5DC00">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2021-2026</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14:paraId="0D3E59DA">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sz w:val="18"/>
                <w:szCs w:val="18"/>
              </w:rPr>
              <w:t>6000</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14:paraId="09917BE0">
            <w:pPr>
              <w:widowControl/>
              <w:spacing w:line="300" w:lineRule="exact"/>
              <w:jc w:val="center"/>
              <w:textAlignment w:val="center"/>
              <w:rPr>
                <w:rFonts w:ascii="Times New Roman" w:hAnsi="Times New Roman" w:eastAsia="方正仿宋_GBK" w:cs="方正仿宋_GBK"/>
                <w:b w:val="0"/>
                <w:bCs w:val="0"/>
                <w:sz w:val="18"/>
                <w:szCs w:val="18"/>
              </w:rPr>
            </w:pPr>
          </w:p>
        </w:tc>
        <w:tc>
          <w:tcPr>
            <w:tcW w:w="636" w:type="dxa"/>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14:paraId="5964FB26">
            <w:pPr>
              <w:spacing w:line="300" w:lineRule="exact"/>
              <w:jc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sz w:val="18"/>
                <w:szCs w:val="18"/>
              </w:rPr>
              <w:t>3000</w:t>
            </w:r>
          </w:p>
        </w:tc>
        <w:tc>
          <w:tcPr>
            <w:tcW w:w="564" w:type="dxa"/>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14:paraId="3F44EAA9">
            <w:pPr>
              <w:spacing w:line="300" w:lineRule="exact"/>
              <w:jc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sz w:val="18"/>
                <w:szCs w:val="18"/>
              </w:rPr>
              <w:t>1000</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14:paraId="6C9F86F0">
            <w:pPr>
              <w:spacing w:line="300" w:lineRule="exact"/>
              <w:jc w:val="center"/>
              <w:rPr>
                <w:rFonts w:ascii="Times New Roman" w:hAnsi="Times New Roman" w:eastAsia="方正仿宋_GBK" w:cs="方正仿宋_GBK"/>
                <w:b w:val="0"/>
                <w:bCs w:val="0"/>
                <w:sz w:val="18"/>
                <w:szCs w:val="18"/>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14:paraId="69602BA8">
            <w:pPr>
              <w:spacing w:line="300" w:lineRule="exact"/>
              <w:jc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sz w:val="18"/>
                <w:szCs w:val="18"/>
              </w:rPr>
              <w:t>500</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2" w:type="dxa"/>
              <w:left w:w="12" w:type="dxa"/>
              <w:right w:w="12" w:type="dxa"/>
            </w:tcMar>
            <w:vAlign w:val="center"/>
          </w:tcPr>
          <w:p w14:paraId="4C80D9EE">
            <w:pPr>
              <w:spacing w:line="300" w:lineRule="exact"/>
              <w:jc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sz w:val="18"/>
                <w:szCs w:val="18"/>
              </w:rPr>
              <w:t>1500</w:t>
            </w:r>
          </w:p>
        </w:tc>
      </w:tr>
      <w:tr w14:paraId="337EC1C0">
        <w:tblPrEx>
          <w:tblCellMar>
            <w:top w:w="0" w:type="dxa"/>
            <w:left w:w="0" w:type="dxa"/>
            <w:bottom w:w="0" w:type="dxa"/>
            <w:right w:w="0" w:type="dxa"/>
          </w:tblCellMar>
        </w:tblPrEx>
        <w:trPr>
          <w:trHeight w:val="735"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14:paraId="25FD0296">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 xml:space="preserve">22 </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14:paraId="7F592CA8">
            <w:pPr>
              <w:widowControl/>
              <w:spacing w:line="300" w:lineRule="exact"/>
              <w:jc w:val="left"/>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云阳县村卫生室提档升级项目</w:t>
            </w:r>
          </w:p>
        </w:tc>
        <w:tc>
          <w:tcPr>
            <w:tcW w:w="4644" w:type="dxa"/>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14:paraId="41E0F8A8">
            <w:pPr>
              <w:widowControl/>
              <w:spacing w:line="300" w:lineRule="exact"/>
              <w:jc w:val="left"/>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建筑面积6000㎡，改扩建南溪卫星村等20个村卫生室业务用房（每个村卫生室300㎡）进行提档升级。</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14:paraId="7D75B31F">
            <w:pPr>
              <w:spacing w:line="300" w:lineRule="exact"/>
              <w:jc w:val="center"/>
              <w:rPr>
                <w:rFonts w:ascii="Times New Roman" w:hAnsi="Times New Roman" w:eastAsia="方正仿宋_GBK" w:cs="方正仿宋_GBK"/>
                <w:b w:val="0"/>
                <w:bCs w:val="0"/>
                <w:sz w:val="18"/>
                <w:szCs w:val="18"/>
              </w:rPr>
            </w:pPr>
          </w:p>
        </w:tc>
        <w:tc>
          <w:tcPr>
            <w:tcW w:w="564" w:type="dxa"/>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14:paraId="0E971C6F">
            <w:pPr>
              <w:spacing w:line="300" w:lineRule="exact"/>
              <w:jc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sz w:val="18"/>
                <w:szCs w:val="18"/>
              </w:rPr>
              <w:t>各村卫生室所在地</w:t>
            </w:r>
          </w:p>
        </w:tc>
        <w:tc>
          <w:tcPr>
            <w:tcW w:w="511" w:type="dxa"/>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14:paraId="1C72230D">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sz w:val="18"/>
                <w:szCs w:val="18"/>
              </w:rPr>
              <w:t>改扩建</w:t>
            </w:r>
          </w:p>
        </w:tc>
        <w:tc>
          <w:tcPr>
            <w:tcW w:w="821" w:type="dxa"/>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14:paraId="4E9D76AA">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2022-2026</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14:paraId="53E8321C">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 xml:space="preserve"> 1800</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14:paraId="76AB5D94">
            <w:pPr>
              <w:widowControl/>
              <w:spacing w:line="300" w:lineRule="exact"/>
              <w:jc w:val="center"/>
              <w:textAlignment w:val="center"/>
              <w:rPr>
                <w:rFonts w:ascii="Times New Roman" w:hAnsi="Times New Roman" w:eastAsia="方正仿宋_GBK" w:cs="方正仿宋_GBK"/>
                <w:b w:val="0"/>
                <w:bCs w:val="0"/>
                <w:sz w:val="18"/>
                <w:szCs w:val="18"/>
              </w:rPr>
            </w:pPr>
          </w:p>
        </w:tc>
        <w:tc>
          <w:tcPr>
            <w:tcW w:w="636" w:type="dxa"/>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14:paraId="4119046F">
            <w:pPr>
              <w:spacing w:line="300" w:lineRule="exact"/>
              <w:jc w:val="center"/>
              <w:rPr>
                <w:rFonts w:ascii="Times New Roman" w:hAnsi="Times New Roman" w:eastAsia="方正仿宋_GBK" w:cs="方正仿宋_GBK"/>
                <w:b w:val="0"/>
                <w:bCs w:val="0"/>
                <w:sz w:val="18"/>
                <w:szCs w:val="18"/>
              </w:rPr>
            </w:pPr>
          </w:p>
        </w:tc>
        <w:tc>
          <w:tcPr>
            <w:tcW w:w="564" w:type="dxa"/>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14:paraId="013F0A64">
            <w:pPr>
              <w:spacing w:line="300" w:lineRule="exact"/>
              <w:jc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sz w:val="18"/>
                <w:szCs w:val="18"/>
              </w:rPr>
              <w:t>1000</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14:paraId="53F4821C">
            <w:pPr>
              <w:spacing w:line="300" w:lineRule="exact"/>
              <w:jc w:val="center"/>
              <w:rPr>
                <w:rFonts w:ascii="Times New Roman" w:hAnsi="Times New Roman" w:eastAsia="方正仿宋_GBK" w:cs="方正仿宋_GBK"/>
                <w:b w:val="0"/>
                <w:bCs w:val="0"/>
                <w:sz w:val="18"/>
                <w:szCs w:val="18"/>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14:paraId="0AC444F9">
            <w:pPr>
              <w:spacing w:line="300" w:lineRule="exact"/>
              <w:jc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sz w:val="18"/>
                <w:szCs w:val="18"/>
              </w:rPr>
              <w:t>800</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2" w:type="dxa"/>
              <w:left w:w="12" w:type="dxa"/>
              <w:right w:w="12" w:type="dxa"/>
            </w:tcMar>
            <w:vAlign w:val="center"/>
          </w:tcPr>
          <w:p w14:paraId="60A57EEB">
            <w:pPr>
              <w:spacing w:line="300" w:lineRule="exact"/>
              <w:jc w:val="center"/>
              <w:rPr>
                <w:rFonts w:ascii="Times New Roman" w:hAnsi="Times New Roman" w:eastAsia="方正仿宋_GBK" w:cs="方正仿宋_GBK"/>
                <w:b w:val="0"/>
                <w:bCs w:val="0"/>
                <w:sz w:val="18"/>
                <w:szCs w:val="18"/>
              </w:rPr>
            </w:pPr>
          </w:p>
        </w:tc>
      </w:tr>
      <w:tr w14:paraId="5045EEF3">
        <w:tblPrEx>
          <w:tblCellMar>
            <w:top w:w="0" w:type="dxa"/>
            <w:left w:w="0" w:type="dxa"/>
            <w:bottom w:w="0" w:type="dxa"/>
            <w:right w:w="0" w:type="dxa"/>
          </w:tblCellMar>
        </w:tblPrEx>
        <w:trPr>
          <w:trHeight w:val="1634" w:hRule="atLeast"/>
        </w:trPr>
        <w:tc>
          <w:tcPr>
            <w:tcW w:w="4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CB8BFEA">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23</w:t>
            </w:r>
          </w:p>
        </w:tc>
        <w:tc>
          <w:tcPr>
            <w:tcW w:w="133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2416CA6">
            <w:pPr>
              <w:widowControl/>
              <w:spacing w:line="300" w:lineRule="exact"/>
              <w:jc w:val="left"/>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云阳县基层医疗机构发热门诊能力提升项目</w:t>
            </w:r>
          </w:p>
        </w:tc>
        <w:tc>
          <w:tcPr>
            <w:tcW w:w="464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6E0F1B4">
            <w:pPr>
              <w:widowControl/>
              <w:spacing w:line="300" w:lineRule="exact"/>
              <w:jc w:val="left"/>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改建中心卫生院规范化发热门诊约6000㎡，购置相应设施设备。</w:t>
            </w:r>
          </w:p>
        </w:tc>
        <w:tc>
          <w:tcPr>
            <w:tcW w:w="60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B7826FE">
            <w:pPr>
              <w:spacing w:line="300" w:lineRule="exact"/>
              <w:jc w:val="center"/>
              <w:rPr>
                <w:rFonts w:ascii="Times New Roman" w:hAnsi="Times New Roman" w:eastAsia="方正仿宋_GBK" w:cs="方正仿宋_GBK"/>
                <w:b w:val="0"/>
                <w:bCs w:val="0"/>
                <w:sz w:val="18"/>
                <w:szCs w:val="18"/>
              </w:rPr>
            </w:pPr>
          </w:p>
        </w:tc>
        <w:tc>
          <w:tcPr>
            <w:tcW w:w="56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C21C68A">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部分基层医疗机构</w:t>
            </w:r>
          </w:p>
        </w:tc>
        <w:tc>
          <w:tcPr>
            <w:tcW w:w="51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40B81C3">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sz w:val="18"/>
                <w:szCs w:val="18"/>
              </w:rPr>
              <w:t>改建</w:t>
            </w:r>
          </w:p>
        </w:tc>
        <w:tc>
          <w:tcPr>
            <w:tcW w:w="82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F73A821">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2022-2025</w:t>
            </w:r>
          </w:p>
        </w:tc>
        <w:tc>
          <w:tcPr>
            <w:tcW w:w="80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DAF2EA6">
            <w:pPr>
              <w:spacing w:line="300" w:lineRule="exact"/>
              <w:jc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sz w:val="18"/>
                <w:szCs w:val="18"/>
              </w:rPr>
              <w:t>3000</w:t>
            </w:r>
          </w:p>
        </w:tc>
        <w:tc>
          <w:tcPr>
            <w:tcW w:w="81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1EB942E">
            <w:pPr>
              <w:spacing w:line="300" w:lineRule="exact"/>
              <w:jc w:val="center"/>
              <w:rPr>
                <w:rFonts w:ascii="Times New Roman" w:hAnsi="Times New Roman" w:eastAsia="方正仿宋_GBK" w:cs="方正仿宋_GBK"/>
                <w:b w:val="0"/>
                <w:bCs w:val="0"/>
                <w:sz w:val="18"/>
                <w:szCs w:val="18"/>
              </w:rPr>
            </w:pPr>
          </w:p>
        </w:tc>
        <w:tc>
          <w:tcPr>
            <w:tcW w:w="63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31B1059">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 xml:space="preserve">1500 </w:t>
            </w:r>
          </w:p>
        </w:tc>
        <w:tc>
          <w:tcPr>
            <w:tcW w:w="56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C29FFD9">
            <w:pPr>
              <w:spacing w:line="300" w:lineRule="exact"/>
              <w:jc w:val="center"/>
              <w:rPr>
                <w:rFonts w:ascii="Times New Roman" w:hAnsi="Times New Roman" w:eastAsia="方正仿宋_GBK" w:cs="方正仿宋_GBK"/>
                <w:b w:val="0"/>
                <w:bCs w:val="0"/>
                <w:sz w:val="18"/>
                <w:szCs w:val="18"/>
              </w:rPr>
            </w:pPr>
          </w:p>
        </w:tc>
        <w:tc>
          <w:tcPr>
            <w:tcW w:w="57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EF62470">
            <w:pPr>
              <w:spacing w:line="300" w:lineRule="exact"/>
              <w:jc w:val="center"/>
              <w:rPr>
                <w:rFonts w:ascii="Times New Roman" w:hAnsi="Times New Roman" w:eastAsia="方正仿宋_GBK" w:cs="方正仿宋_GBK"/>
                <w:b w:val="0"/>
                <w:bCs w:val="0"/>
                <w:sz w:val="18"/>
                <w:szCs w:val="18"/>
              </w:rPr>
            </w:pPr>
          </w:p>
        </w:tc>
        <w:tc>
          <w:tcPr>
            <w:tcW w:w="62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9524463">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 xml:space="preserve">1500 </w:t>
            </w:r>
          </w:p>
        </w:tc>
        <w:tc>
          <w:tcPr>
            <w:tcW w:w="60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D07A30E">
            <w:pPr>
              <w:spacing w:line="300" w:lineRule="exact"/>
              <w:jc w:val="center"/>
              <w:rPr>
                <w:rFonts w:ascii="Times New Roman" w:hAnsi="Times New Roman" w:eastAsia="方正仿宋_GBK" w:cs="方正仿宋_GBK"/>
                <w:b w:val="0"/>
                <w:bCs w:val="0"/>
                <w:sz w:val="18"/>
                <w:szCs w:val="18"/>
              </w:rPr>
            </w:pPr>
          </w:p>
        </w:tc>
      </w:tr>
      <w:tr w14:paraId="7B895C23">
        <w:tblPrEx>
          <w:tblCellMar>
            <w:top w:w="0" w:type="dxa"/>
            <w:left w:w="0" w:type="dxa"/>
            <w:bottom w:w="0" w:type="dxa"/>
            <w:right w:w="0" w:type="dxa"/>
          </w:tblCellMar>
        </w:tblPrEx>
        <w:trPr>
          <w:trHeight w:val="782" w:hRule="atLeast"/>
        </w:trPr>
        <w:tc>
          <w:tcPr>
            <w:tcW w:w="480" w:type="dxa"/>
            <w:vMerge w:val="restart"/>
            <w:tcBorders>
              <w:top w:val="single" w:color="000000" w:sz="4" w:space="0"/>
              <w:left w:val="single" w:color="000000" w:sz="4" w:space="0"/>
              <w:right w:val="single" w:color="000000" w:sz="4" w:space="0"/>
            </w:tcBorders>
            <w:noWrap w:val="0"/>
            <w:tcMar>
              <w:top w:w="12" w:type="dxa"/>
              <w:left w:w="12" w:type="dxa"/>
              <w:right w:w="12" w:type="dxa"/>
            </w:tcMar>
            <w:vAlign w:val="center"/>
          </w:tcPr>
          <w:p w14:paraId="2170CB25">
            <w:pPr>
              <w:widowControl/>
              <w:spacing w:line="300" w:lineRule="exact"/>
              <w:jc w:val="center"/>
              <w:textAlignment w:val="center"/>
              <w:rPr>
                <w:rFonts w:ascii="Times New Roman" w:hAnsi="Times New Roman" w:eastAsia="方正仿宋_GBK" w:cs="方正仿宋_GBK"/>
                <w:b w:val="0"/>
                <w:bCs w:val="0"/>
                <w:kern w:val="0"/>
                <w:sz w:val="18"/>
                <w:szCs w:val="18"/>
                <w:lang w:bidi="ar"/>
              </w:rPr>
            </w:pPr>
            <w:r>
              <w:rPr>
                <w:rFonts w:hint="eastAsia" w:ascii="Times New Roman" w:hAnsi="Times New Roman" w:eastAsia="方正仿宋_GBK" w:cs="方正仿宋_GBK"/>
                <w:b w:val="0"/>
                <w:bCs w:val="0"/>
                <w:kern w:val="0"/>
                <w:sz w:val="18"/>
                <w:szCs w:val="18"/>
                <w:lang w:bidi="ar"/>
              </w:rPr>
              <w:t>序号</w:t>
            </w:r>
          </w:p>
        </w:tc>
        <w:tc>
          <w:tcPr>
            <w:tcW w:w="1332" w:type="dxa"/>
            <w:vMerge w:val="restart"/>
            <w:tcBorders>
              <w:top w:val="single" w:color="000000" w:sz="4" w:space="0"/>
              <w:left w:val="single" w:color="000000" w:sz="4" w:space="0"/>
              <w:right w:val="single" w:color="000000" w:sz="4" w:space="0"/>
            </w:tcBorders>
            <w:noWrap w:val="0"/>
            <w:tcMar>
              <w:top w:w="12" w:type="dxa"/>
              <w:left w:w="12" w:type="dxa"/>
              <w:right w:w="12" w:type="dxa"/>
            </w:tcMar>
            <w:vAlign w:val="center"/>
          </w:tcPr>
          <w:p w14:paraId="4EAA7AFE">
            <w:pPr>
              <w:widowControl/>
              <w:spacing w:line="300" w:lineRule="exact"/>
              <w:jc w:val="center"/>
              <w:textAlignment w:val="center"/>
              <w:rPr>
                <w:rFonts w:ascii="Times New Roman" w:hAnsi="Times New Roman" w:eastAsia="方正仿宋_GBK" w:cs="方正仿宋_GBK"/>
                <w:b w:val="0"/>
                <w:bCs w:val="0"/>
                <w:kern w:val="0"/>
                <w:sz w:val="18"/>
                <w:szCs w:val="18"/>
                <w:lang w:bidi="ar"/>
              </w:rPr>
            </w:pPr>
            <w:r>
              <w:rPr>
                <w:rFonts w:hint="eastAsia" w:ascii="Times New Roman" w:hAnsi="Times New Roman" w:eastAsia="方正仿宋_GBK" w:cs="方正仿宋_GBK"/>
                <w:b w:val="0"/>
                <w:bCs w:val="0"/>
                <w:kern w:val="0"/>
                <w:sz w:val="18"/>
                <w:szCs w:val="18"/>
                <w:lang w:bidi="ar"/>
              </w:rPr>
              <w:t>项目名称</w:t>
            </w:r>
          </w:p>
        </w:tc>
        <w:tc>
          <w:tcPr>
            <w:tcW w:w="4644" w:type="dxa"/>
            <w:vMerge w:val="restart"/>
            <w:tcBorders>
              <w:top w:val="single" w:color="000000" w:sz="4" w:space="0"/>
              <w:left w:val="single" w:color="000000" w:sz="4" w:space="0"/>
              <w:right w:val="single" w:color="000000" w:sz="4" w:space="0"/>
            </w:tcBorders>
            <w:noWrap w:val="0"/>
            <w:tcMar>
              <w:top w:w="12" w:type="dxa"/>
              <w:left w:w="12" w:type="dxa"/>
              <w:right w:w="12" w:type="dxa"/>
            </w:tcMar>
            <w:vAlign w:val="center"/>
          </w:tcPr>
          <w:p w14:paraId="24954286">
            <w:pPr>
              <w:widowControl/>
              <w:spacing w:line="300" w:lineRule="exact"/>
              <w:jc w:val="center"/>
              <w:textAlignment w:val="center"/>
              <w:rPr>
                <w:rFonts w:ascii="Times New Roman" w:hAnsi="Times New Roman" w:eastAsia="方正仿宋_GBK" w:cs="方正仿宋_GBK"/>
                <w:b w:val="0"/>
                <w:bCs w:val="0"/>
                <w:kern w:val="0"/>
                <w:sz w:val="18"/>
                <w:szCs w:val="18"/>
                <w:lang w:bidi="ar"/>
              </w:rPr>
            </w:pPr>
            <w:r>
              <w:rPr>
                <w:rFonts w:hint="eastAsia" w:ascii="Times New Roman" w:hAnsi="Times New Roman" w:eastAsia="方正仿宋_GBK" w:cs="方正仿宋_GBK"/>
                <w:b w:val="0"/>
                <w:bCs w:val="0"/>
                <w:kern w:val="0"/>
                <w:sz w:val="18"/>
                <w:szCs w:val="18"/>
                <w:lang w:bidi="ar"/>
              </w:rPr>
              <w:t>主要建设内容及规模</w:t>
            </w:r>
          </w:p>
        </w:tc>
        <w:tc>
          <w:tcPr>
            <w:tcW w:w="600" w:type="dxa"/>
            <w:vMerge w:val="restart"/>
            <w:tcBorders>
              <w:top w:val="single" w:color="000000" w:sz="4" w:space="0"/>
              <w:left w:val="single" w:color="000000" w:sz="4" w:space="0"/>
              <w:right w:val="single" w:color="000000" w:sz="4" w:space="0"/>
            </w:tcBorders>
            <w:noWrap w:val="0"/>
            <w:tcMar>
              <w:top w:w="12" w:type="dxa"/>
              <w:left w:w="12" w:type="dxa"/>
              <w:right w:w="12" w:type="dxa"/>
            </w:tcMar>
            <w:vAlign w:val="center"/>
          </w:tcPr>
          <w:p w14:paraId="562141EE">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建设用地面积（亩）</w:t>
            </w:r>
          </w:p>
        </w:tc>
        <w:tc>
          <w:tcPr>
            <w:tcW w:w="564" w:type="dxa"/>
            <w:vMerge w:val="restart"/>
            <w:tcBorders>
              <w:top w:val="single" w:color="000000" w:sz="4" w:space="0"/>
              <w:left w:val="single" w:color="000000" w:sz="4" w:space="0"/>
              <w:right w:val="single" w:color="000000" w:sz="4" w:space="0"/>
            </w:tcBorders>
            <w:noWrap w:val="0"/>
            <w:tcMar>
              <w:top w:w="12" w:type="dxa"/>
              <w:left w:w="12" w:type="dxa"/>
              <w:right w:w="12" w:type="dxa"/>
            </w:tcMar>
            <w:vAlign w:val="center"/>
          </w:tcPr>
          <w:p w14:paraId="670FE933">
            <w:pPr>
              <w:widowControl/>
              <w:spacing w:line="300" w:lineRule="exact"/>
              <w:jc w:val="center"/>
              <w:textAlignment w:val="center"/>
              <w:rPr>
                <w:rFonts w:ascii="Times New Roman" w:hAnsi="Times New Roman" w:eastAsia="方正仿宋_GBK" w:cs="方正仿宋_GBK"/>
                <w:b w:val="0"/>
                <w:bCs w:val="0"/>
                <w:kern w:val="0"/>
                <w:sz w:val="18"/>
                <w:szCs w:val="18"/>
                <w:lang w:bidi="ar"/>
              </w:rPr>
            </w:pPr>
            <w:r>
              <w:rPr>
                <w:rFonts w:hint="eastAsia" w:ascii="Times New Roman" w:hAnsi="Times New Roman" w:eastAsia="方正仿宋_GBK" w:cs="方正仿宋_GBK"/>
                <w:b w:val="0"/>
                <w:bCs w:val="0"/>
                <w:kern w:val="0"/>
                <w:sz w:val="18"/>
                <w:szCs w:val="18"/>
                <w:lang w:bidi="ar"/>
              </w:rPr>
              <w:t>建设地点</w:t>
            </w:r>
          </w:p>
        </w:tc>
        <w:tc>
          <w:tcPr>
            <w:tcW w:w="511" w:type="dxa"/>
            <w:vMerge w:val="restart"/>
            <w:tcBorders>
              <w:top w:val="single" w:color="000000" w:sz="4" w:space="0"/>
              <w:left w:val="single" w:color="000000" w:sz="4" w:space="0"/>
              <w:right w:val="single" w:color="000000" w:sz="4" w:space="0"/>
            </w:tcBorders>
            <w:noWrap w:val="0"/>
            <w:tcMar>
              <w:top w:w="12" w:type="dxa"/>
              <w:left w:w="12" w:type="dxa"/>
              <w:right w:w="12" w:type="dxa"/>
            </w:tcMar>
            <w:vAlign w:val="center"/>
          </w:tcPr>
          <w:p w14:paraId="1B338D81">
            <w:pPr>
              <w:widowControl/>
              <w:spacing w:line="300" w:lineRule="exact"/>
              <w:jc w:val="center"/>
              <w:textAlignment w:val="center"/>
              <w:rPr>
                <w:rFonts w:ascii="Times New Roman" w:hAnsi="Times New Roman" w:eastAsia="方正仿宋_GBK" w:cs="方正仿宋_GBK"/>
                <w:b w:val="0"/>
                <w:bCs w:val="0"/>
                <w:kern w:val="0"/>
                <w:sz w:val="18"/>
                <w:szCs w:val="18"/>
                <w:lang w:bidi="ar"/>
              </w:rPr>
            </w:pPr>
            <w:r>
              <w:rPr>
                <w:rFonts w:hint="eastAsia" w:ascii="Times New Roman" w:hAnsi="Times New Roman" w:eastAsia="方正仿宋_GBK" w:cs="方正仿宋_GBK"/>
                <w:b w:val="0"/>
                <w:bCs w:val="0"/>
                <w:kern w:val="0"/>
                <w:sz w:val="18"/>
                <w:szCs w:val="18"/>
                <w:lang w:bidi="ar"/>
              </w:rPr>
              <w:t>建设性质</w:t>
            </w:r>
          </w:p>
        </w:tc>
        <w:tc>
          <w:tcPr>
            <w:tcW w:w="821" w:type="dxa"/>
            <w:vMerge w:val="restart"/>
            <w:tcBorders>
              <w:top w:val="single" w:color="000000" w:sz="4" w:space="0"/>
              <w:left w:val="single" w:color="000000" w:sz="4" w:space="0"/>
              <w:right w:val="single" w:color="000000" w:sz="4" w:space="0"/>
            </w:tcBorders>
            <w:noWrap w:val="0"/>
            <w:tcMar>
              <w:top w:w="12" w:type="dxa"/>
              <w:left w:w="12" w:type="dxa"/>
              <w:right w:w="12" w:type="dxa"/>
            </w:tcMar>
            <w:vAlign w:val="center"/>
          </w:tcPr>
          <w:p w14:paraId="3656978D">
            <w:pPr>
              <w:widowControl/>
              <w:spacing w:line="300" w:lineRule="exact"/>
              <w:jc w:val="center"/>
              <w:textAlignment w:val="center"/>
              <w:rPr>
                <w:rFonts w:ascii="Times New Roman" w:hAnsi="Times New Roman" w:eastAsia="方正仿宋_GBK" w:cs="方正仿宋_GBK"/>
                <w:b w:val="0"/>
                <w:bCs w:val="0"/>
                <w:kern w:val="0"/>
                <w:sz w:val="18"/>
                <w:szCs w:val="18"/>
                <w:lang w:bidi="ar"/>
              </w:rPr>
            </w:pPr>
            <w:r>
              <w:rPr>
                <w:rFonts w:hint="eastAsia" w:ascii="Times New Roman" w:hAnsi="Times New Roman" w:eastAsia="方正仿宋_GBK" w:cs="方正仿宋_GBK"/>
                <w:b w:val="0"/>
                <w:bCs w:val="0"/>
                <w:kern w:val="0"/>
                <w:sz w:val="18"/>
                <w:szCs w:val="18"/>
                <w:lang w:bidi="ar"/>
              </w:rPr>
              <w:t xml:space="preserve">建设工期    </w:t>
            </w:r>
          </w:p>
        </w:tc>
        <w:tc>
          <w:tcPr>
            <w:tcW w:w="4620" w:type="dxa"/>
            <w:gridSpan w:val="7"/>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081B7B8">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计划资金来源（单位：万元）</w:t>
            </w:r>
          </w:p>
        </w:tc>
      </w:tr>
      <w:tr w14:paraId="0FF5122E">
        <w:tblPrEx>
          <w:tblCellMar>
            <w:top w:w="0" w:type="dxa"/>
            <w:left w:w="0" w:type="dxa"/>
            <w:bottom w:w="0" w:type="dxa"/>
            <w:right w:w="0" w:type="dxa"/>
          </w:tblCellMar>
        </w:tblPrEx>
        <w:trPr>
          <w:trHeight w:val="806" w:hRule="atLeast"/>
        </w:trPr>
        <w:tc>
          <w:tcPr>
            <w:tcW w:w="480" w:type="dxa"/>
            <w:vMerge w:val="continue"/>
            <w:tcBorders>
              <w:left w:val="single" w:color="000000" w:sz="4" w:space="0"/>
              <w:bottom w:val="single" w:color="000000" w:sz="4" w:space="0"/>
              <w:right w:val="single" w:color="000000" w:sz="4" w:space="0"/>
            </w:tcBorders>
            <w:noWrap w:val="0"/>
            <w:tcMar>
              <w:top w:w="12" w:type="dxa"/>
              <w:left w:w="12" w:type="dxa"/>
              <w:right w:w="12" w:type="dxa"/>
            </w:tcMar>
            <w:vAlign w:val="center"/>
          </w:tcPr>
          <w:p w14:paraId="04D30A0E">
            <w:pPr>
              <w:spacing w:line="300" w:lineRule="exact"/>
              <w:jc w:val="center"/>
              <w:rPr>
                <w:rFonts w:ascii="Times New Roman" w:hAnsi="Times New Roman" w:eastAsia="方正仿宋_GBK" w:cs="方正仿宋_GBK"/>
                <w:b w:val="0"/>
                <w:bCs w:val="0"/>
                <w:kern w:val="0"/>
                <w:sz w:val="18"/>
                <w:szCs w:val="18"/>
                <w:lang w:bidi="ar"/>
              </w:rPr>
            </w:pPr>
          </w:p>
        </w:tc>
        <w:tc>
          <w:tcPr>
            <w:tcW w:w="1332" w:type="dxa"/>
            <w:vMerge w:val="continue"/>
            <w:tcBorders>
              <w:left w:val="single" w:color="000000" w:sz="4" w:space="0"/>
              <w:bottom w:val="single" w:color="000000" w:sz="4" w:space="0"/>
              <w:right w:val="single" w:color="000000" w:sz="4" w:space="0"/>
            </w:tcBorders>
            <w:noWrap w:val="0"/>
            <w:tcMar>
              <w:top w:w="12" w:type="dxa"/>
              <w:left w:w="12" w:type="dxa"/>
              <w:right w:w="12" w:type="dxa"/>
            </w:tcMar>
            <w:vAlign w:val="center"/>
          </w:tcPr>
          <w:p w14:paraId="1D5C5E5D">
            <w:pPr>
              <w:spacing w:line="300" w:lineRule="exact"/>
              <w:jc w:val="center"/>
              <w:rPr>
                <w:rFonts w:ascii="Times New Roman" w:hAnsi="Times New Roman" w:eastAsia="方正仿宋_GBK" w:cs="方正仿宋_GBK"/>
                <w:b w:val="0"/>
                <w:bCs w:val="0"/>
                <w:kern w:val="0"/>
                <w:sz w:val="18"/>
                <w:szCs w:val="18"/>
                <w:lang w:bidi="ar"/>
              </w:rPr>
            </w:pPr>
          </w:p>
        </w:tc>
        <w:tc>
          <w:tcPr>
            <w:tcW w:w="4644" w:type="dxa"/>
            <w:vMerge w:val="continue"/>
            <w:tcBorders>
              <w:left w:val="single" w:color="000000" w:sz="4" w:space="0"/>
              <w:bottom w:val="single" w:color="000000" w:sz="4" w:space="0"/>
              <w:right w:val="single" w:color="000000" w:sz="4" w:space="0"/>
            </w:tcBorders>
            <w:noWrap w:val="0"/>
            <w:tcMar>
              <w:top w:w="12" w:type="dxa"/>
              <w:left w:w="12" w:type="dxa"/>
              <w:right w:w="12" w:type="dxa"/>
            </w:tcMar>
            <w:vAlign w:val="center"/>
          </w:tcPr>
          <w:p w14:paraId="6ACC9239">
            <w:pPr>
              <w:spacing w:line="300" w:lineRule="exact"/>
              <w:jc w:val="center"/>
              <w:rPr>
                <w:rFonts w:ascii="Times New Roman" w:hAnsi="Times New Roman" w:eastAsia="方正仿宋_GBK" w:cs="方正仿宋_GBK"/>
                <w:b w:val="0"/>
                <w:bCs w:val="0"/>
                <w:kern w:val="0"/>
                <w:sz w:val="18"/>
                <w:szCs w:val="18"/>
                <w:lang w:bidi="ar"/>
              </w:rPr>
            </w:pPr>
          </w:p>
        </w:tc>
        <w:tc>
          <w:tcPr>
            <w:tcW w:w="600" w:type="dxa"/>
            <w:vMerge w:val="continue"/>
            <w:tcBorders>
              <w:left w:val="single" w:color="000000" w:sz="4" w:space="0"/>
              <w:bottom w:val="single" w:color="000000" w:sz="4" w:space="0"/>
              <w:right w:val="single" w:color="000000" w:sz="4" w:space="0"/>
            </w:tcBorders>
            <w:noWrap w:val="0"/>
            <w:tcMar>
              <w:top w:w="12" w:type="dxa"/>
              <w:left w:w="12" w:type="dxa"/>
              <w:right w:w="12" w:type="dxa"/>
            </w:tcMar>
            <w:vAlign w:val="center"/>
          </w:tcPr>
          <w:p w14:paraId="02225043">
            <w:pPr>
              <w:spacing w:line="300" w:lineRule="exact"/>
              <w:jc w:val="center"/>
              <w:rPr>
                <w:rFonts w:ascii="Times New Roman" w:hAnsi="Times New Roman" w:eastAsia="方正仿宋_GBK" w:cs="方正仿宋_GBK"/>
                <w:b w:val="0"/>
                <w:bCs w:val="0"/>
                <w:sz w:val="18"/>
                <w:szCs w:val="18"/>
              </w:rPr>
            </w:pPr>
          </w:p>
        </w:tc>
        <w:tc>
          <w:tcPr>
            <w:tcW w:w="564" w:type="dxa"/>
            <w:vMerge w:val="continue"/>
            <w:tcBorders>
              <w:left w:val="single" w:color="000000" w:sz="4" w:space="0"/>
              <w:bottom w:val="single" w:color="000000" w:sz="4" w:space="0"/>
              <w:right w:val="single" w:color="000000" w:sz="4" w:space="0"/>
            </w:tcBorders>
            <w:noWrap w:val="0"/>
            <w:tcMar>
              <w:top w:w="12" w:type="dxa"/>
              <w:left w:w="12" w:type="dxa"/>
              <w:right w:w="12" w:type="dxa"/>
            </w:tcMar>
            <w:vAlign w:val="center"/>
          </w:tcPr>
          <w:p w14:paraId="34301D76">
            <w:pPr>
              <w:spacing w:line="300" w:lineRule="exact"/>
              <w:jc w:val="center"/>
              <w:rPr>
                <w:rFonts w:ascii="Times New Roman" w:hAnsi="Times New Roman" w:eastAsia="方正仿宋_GBK" w:cs="方正仿宋_GBK"/>
                <w:b w:val="0"/>
                <w:bCs w:val="0"/>
                <w:kern w:val="0"/>
                <w:sz w:val="18"/>
                <w:szCs w:val="18"/>
                <w:lang w:bidi="ar"/>
              </w:rPr>
            </w:pPr>
          </w:p>
        </w:tc>
        <w:tc>
          <w:tcPr>
            <w:tcW w:w="511" w:type="dxa"/>
            <w:vMerge w:val="continue"/>
            <w:tcBorders>
              <w:left w:val="single" w:color="000000" w:sz="4" w:space="0"/>
              <w:bottom w:val="single" w:color="000000" w:sz="4" w:space="0"/>
              <w:right w:val="single" w:color="000000" w:sz="4" w:space="0"/>
            </w:tcBorders>
            <w:noWrap w:val="0"/>
            <w:tcMar>
              <w:top w:w="12" w:type="dxa"/>
              <w:left w:w="12" w:type="dxa"/>
              <w:right w:w="12" w:type="dxa"/>
            </w:tcMar>
            <w:vAlign w:val="center"/>
          </w:tcPr>
          <w:p w14:paraId="1D344E1F">
            <w:pPr>
              <w:spacing w:line="300" w:lineRule="exact"/>
              <w:jc w:val="center"/>
              <w:rPr>
                <w:rFonts w:ascii="Times New Roman" w:hAnsi="Times New Roman" w:eastAsia="方正仿宋_GBK" w:cs="方正仿宋_GBK"/>
                <w:b w:val="0"/>
                <w:bCs w:val="0"/>
                <w:kern w:val="0"/>
                <w:sz w:val="18"/>
                <w:szCs w:val="18"/>
                <w:lang w:bidi="ar"/>
              </w:rPr>
            </w:pPr>
          </w:p>
        </w:tc>
        <w:tc>
          <w:tcPr>
            <w:tcW w:w="821" w:type="dxa"/>
            <w:vMerge w:val="continue"/>
            <w:tcBorders>
              <w:left w:val="single" w:color="000000" w:sz="4" w:space="0"/>
              <w:bottom w:val="single" w:color="000000" w:sz="4" w:space="0"/>
              <w:right w:val="single" w:color="000000" w:sz="4" w:space="0"/>
            </w:tcBorders>
            <w:noWrap w:val="0"/>
            <w:tcMar>
              <w:top w:w="12" w:type="dxa"/>
              <w:left w:w="12" w:type="dxa"/>
              <w:right w:w="12" w:type="dxa"/>
            </w:tcMar>
            <w:vAlign w:val="center"/>
          </w:tcPr>
          <w:p w14:paraId="510555B0">
            <w:pPr>
              <w:spacing w:line="300" w:lineRule="exact"/>
              <w:jc w:val="center"/>
              <w:rPr>
                <w:rFonts w:ascii="Times New Roman" w:hAnsi="Times New Roman" w:eastAsia="方正仿宋_GBK" w:cs="方正仿宋_GBK"/>
                <w:b w:val="0"/>
                <w:bCs w:val="0"/>
                <w:kern w:val="0"/>
                <w:sz w:val="18"/>
                <w:szCs w:val="18"/>
                <w:lang w:bidi="ar"/>
              </w:rPr>
            </w:pPr>
          </w:p>
        </w:tc>
        <w:tc>
          <w:tcPr>
            <w:tcW w:w="80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CAB2E69">
            <w:pPr>
              <w:widowControl/>
              <w:spacing w:line="300" w:lineRule="exact"/>
              <w:jc w:val="center"/>
              <w:textAlignment w:val="center"/>
              <w:rPr>
                <w:rFonts w:ascii="Times New Roman" w:hAnsi="Times New Roman" w:eastAsia="方正仿宋_GBK" w:cs="方正仿宋_GBK"/>
                <w:b w:val="0"/>
                <w:bCs w:val="0"/>
                <w:kern w:val="0"/>
                <w:sz w:val="18"/>
                <w:szCs w:val="18"/>
                <w:lang w:bidi="ar"/>
              </w:rPr>
            </w:pPr>
            <w:r>
              <w:rPr>
                <w:rFonts w:hint="eastAsia" w:ascii="Times New Roman" w:hAnsi="Times New Roman" w:eastAsia="方正仿宋_GBK" w:cs="方正仿宋_GBK"/>
                <w:b w:val="0"/>
                <w:bCs w:val="0"/>
                <w:kern w:val="0"/>
                <w:sz w:val="18"/>
                <w:szCs w:val="18"/>
                <w:lang w:bidi="ar"/>
              </w:rPr>
              <w:t>总投资</w:t>
            </w:r>
          </w:p>
        </w:tc>
        <w:tc>
          <w:tcPr>
            <w:tcW w:w="81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0E558C9">
            <w:pPr>
              <w:widowControl/>
              <w:spacing w:line="300" w:lineRule="exact"/>
              <w:jc w:val="center"/>
              <w:textAlignment w:val="center"/>
              <w:rPr>
                <w:rFonts w:ascii="Times New Roman" w:hAnsi="Times New Roman" w:eastAsia="方正仿宋_GBK" w:cs="方正仿宋_GBK"/>
                <w:b w:val="0"/>
                <w:bCs w:val="0"/>
                <w:kern w:val="0"/>
                <w:sz w:val="18"/>
                <w:szCs w:val="18"/>
                <w:lang w:bidi="ar"/>
              </w:rPr>
            </w:pPr>
            <w:r>
              <w:rPr>
                <w:rFonts w:hint="eastAsia" w:ascii="Times New Roman" w:hAnsi="Times New Roman" w:eastAsia="方正仿宋_GBK" w:cs="方正仿宋_GBK"/>
                <w:b w:val="0"/>
                <w:bCs w:val="0"/>
                <w:kern w:val="0"/>
                <w:sz w:val="18"/>
                <w:szCs w:val="18"/>
                <w:lang w:bidi="ar"/>
              </w:rPr>
              <w:t>中央</w:t>
            </w:r>
            <w:r>
              <w:rPr>
                <w:rFonts w:hint="eastAsia" w:ascii="Times New Roman" w:hAnsi="Times New Roman" w:eastAsia="方正仿宋_GBK" w:cs="方正仿宋_GBK"/>
                <w:b w:val="0"/>
                <w:bCs w:val="0"/>
                <w:kern w:val="0"/>
                <w:sz w:val="18"/>
                <w:szCs w:val="18"/>
                <w:lang w:bidi="ar"/>
              </w:rPr>
              <w:br w:type="textWrapping"/>
            </w:r>
            <w:r>
              <w:rPr>
                <w:rFonts w:hint="eastAsia" w:ascii="Times New Roman" w:hAnsi="Times New Roman" w:eastAsia="方正仿宋_GBK" w:cs="方正仿宋_GBK"/>
                <w:b w:val="0"/>
                <w:bCs w:val="0"/>
                <w:kern w:val="0"/>
                <w:sz w:val="18"/>
                <w:szCs w:val="18"/>
                <w:lang w:bidi="ar"/>
              </w:rPr>
              <w:t>预算内投资需求</w:t>
            </w:r>
          </w:p>
        </w:tc>
        <w:tc>
          <w:tcPr>
            <w:tcW w:w="63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6E028FE">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专项债券资金需求</w:t>
            </w:r>
          </w:p>
        </w:tc>
        <w:tc>
          <w:tcPr>
            <w:tcW w:w="56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3AB72B4">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县级</w:t>
            </w:r>
            <w:r>
              <w:rPr>
                <w:rFonts w:hint="eastAsia" w:ascii="Times New Roman" w:hAnsi="Times New Roman" w:eastAsia="方正仿宋_GBK" w:cs="方正仿宋_GBK"/>
                <w:b w:val="0"/>
                <w:bCs w:val="0"/>
                <w:kern w:val="0"/>
                <w:sz w:val="18"/>
                <w:szCs w:val="18"/>
                <w:lang w:bidi="ar"/>
              </w:rPr>
              <w:br w:type="textWrapping"/>
            </w:r>
            <w:r>
              <w:rPr>
                <w:rFonts w:hint="eastAsia" w:ascii="Times New Roman" w:hAnsi="Times New Roman" w:eastAsia="方正仿宋_GBK" w:cs="方正仿宋_GBK"/>
                <w:b w:val="0"/>
                <w:bCs w:val="0"/>
                <w:kern w:val="0"/>
                <w:sz w:val="18"/>
                <w:szCs w:val="18"/>
                <w:lang w:bidi="ar"/>
              </w:rPr>
              <w:t>资金需求</w:t>
            </w:r>
          </w:p>
        </w:tc>
        <w:tc>
          <w:tcPr>
            <w:tcW w:w="57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48CF0E6">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银行</w:t>
            </w:r>
            <w:r>
              <w:rPr>
                <w:rFonts w:hint="eastAsia" w:ascii="Times New Roman" w:hAnsi="Times New Roman" w:eastAsia="方正仿宋_GBK" w:cs="方正仿宋_GBK"/>
                <w:b w:val="0"/>
                <w:bCs w:val="0"/>
                <w:kern w:val="0"/>
                <w:sz w:val="18"/>
                <w:szCs w:val="18"/>
                <w:lang w:bidi="ar"/>
              </w:rPr>
              <w:br w:type="textWrapping"/>
            </w:r>
            <w:r>
              <w:rPr>
                <w:rFonts w:hint="eastAsia" w:ascii="Times New Roman" w:hAnsi="Times New Roman" w:eastAsia="方正仿宋_GBK" w:cs="方正仿宋_GBK"/>
                <w:b w:val="0"/>
                <w:bCs w:val="0"/>
                <w:kern w:val="0"/>
                <w:sz w:val="18"/>
                <w:szCs w:val="18"/>
                <w:lang w:bidi="ar"/>
              </w:rPr>
              <w:t>贷款</w:t>
            </w:r>
          </w:p>
        </w:tc>
        <w:tc>
          <w:tcPr>
            <w:tcW w:w="62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9A22D07">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业主</w:t>
            </w:r>
            <w:r>
              <w:rPr>
                <w:rFonts w:hint="eastAsia" w:ascii="Times New Roman" w:hAnsi="Times New Roman" w:eastAsia="方正仿宋_GBK" w:cs="方正仿宋_GBK"/>
                <w:b w:val="0"/>
                <w:bCs w:val="0"/>
                <w:kern w:val="0"/>
                <w:sz w:val="18"/>
                <w:szCs w:val="18"/>
                <w:lang w:bidi="ar"/>
              </w:rPr>
              <w:br w:type="textWrapping"/>
            </w:r>
            <w:r>
              <w:rPr>
                <w:rFonts w:hint="eastAsia" w:ascii="Times New Roman" w:hAnsi="Times New Roman" w:eastAsia="方正仿宋_GBK" w:cs="方正仿宋_GBK"/>
                <w:b w:val="0"/>
                <w:bCs w:val="0"/>
                <w:kern w:val="0"/>
                <w:sz w:val="18"/>
                <w:szCs w:val="18"/>
                <w:lang w:bidi="ar"/>
              </w:rPr>
              <w:t>自筹</w:t>
            </w:r>
          </w:p>
        </w:tc>
        <w:tc>
          <w:tcPr>
            <w:tcW w:w="60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C711427">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其它</w:t>
            </w:r>
            <w:r>
              <w:rPr>
                <w:rFonts w:hint="eastAsia" w:ascii="Times New Roman" w:hAnsi="Times New Roman" w:eastAsia="方正仿宋_GBK" w:cs="方正仿宋_GBK"/>
                <w:b w:val="0"/>
                <w:bCs w:val="0"/>
                <w:kern w:val="0"/>
                <w:sz w:val="18"/>
                <w:szCs w:val="18"/>
                <w:lang w:bidi="ar"/>
              </w:rPr>
              <w:br w:type="textWrapping"/>
            </w:r>
            <w:r>
              <w:rPr>
                <w:rFonts w:hint="eastAsia" w:ascii="Times New Roman" w:hAnsi="Times New Roman" w:eastAsia="方正仿宋_GBK" w:cs="方正仿宋_GBK"/>
                <w:b w:val="0"/>
                <w:bCs w:val="0"/>
                <w:kern w:val="0"/>
                <w:sz w:val="18"/>
                <w:szCs w:val="18"/>
                <w:lang w:bidi="ar"/>
              </w:rPr>
              <w:t>投资需求</w:t>
            </w:r>
          </w:p>
        </w:tc>
      </w:tr>
      <w:tr w14:paraId="289039EF">
        <w:tblPrEx>
          <w:tblCellMar>
            <w:top w:w="0" w:type="dxa"/>
            <w:left w:w="0" w:type="dxa"/>
            <w:bottom w:w="0" w:type="dxa"/>
            <w:right w:w="0" w:type="dxa"/>
          </w:tblCellMar>
        </w:tblPrEx>
        <w:trPr>
          <w:trHeight w:val="2210" w:hRule="atLeast"/>
        </w:trPr>
        <w:tc>
          <w:tcPr>
            <w:tcW w:w="4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6B74E93">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 xml:space="preserve">24 </w:t>
            </w:r>
          </w:p>
        </w:tc>
        <w:tc>
          <w:tcPr>
            <w:tcW w:w="133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624D442">
            <w:pPr>
              <w:widowControl/>
              <w:spacing w:line="300" w:lineRule="exact"/>
              <w:jc w:val="left"/>
              <w:textAlignment w:val="center"/>
              <w:rPr>
                <w:rFonts w:ascii="Times New Roman" w:hAnsi="Times New Roman" w:eastAsia="方正仿宋_GBK" w:cs="方正仿宋_GBK"/>
                <w:b w:val="0"/>
                <w:bCs w:val="0"/>
                <w:kern w:val="0"/>
                <w:sz w:val="18"/>
                <w:szCs w:val="18"/>
                <w:lang w:bidi="ar"/>
              </w:rPr>
            </w:pPr>
            <w:r>
              <w:rPr>
                <w:rFonts w:hint="eastAsia" w:ascii="Times New Roman" w:hAnsi="Times New Roman" w:eastAsia="方正仿宋_GBK" w:cs="方正仿宋_GBK"/>
                <w:b w:val="0"/>
                <w:bCs w:val="0"/>
                <w:kern w:val="0"/>
                <w:sz w:val="18"/>
                <w:szCs w:val="18"/>
                <w:lang w:bidi="ar"/>
              </w:rPr>
              <w:t>云阳县智慧医疗建设项目</w:t>
            </w:r>
          </w:p>
        </w:tc>
        <w:tc>
          <w:tcPr>
            <w:tcW w:w="464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FCAAE74">
            <w:pPr>
              <w:widowControl/>
              <w:spacing w:line="300" w:lineRule="exact"/>
              <w:jc w:val="left"/>
              <w:textAlignment w:val="center"/>
              <w:rPr>
                <w:rFonts w:ascii="Times New Roman" w:hAnsi="Times New Roman" w:eastAsia="方正仿宋_GBK" w:cs="方正仿宋_GBK"/>
                <w:b w:val="0"/>
                <w:bCs w:val="0"/>
                <w:kern w:val="0"/>
                <w:sz w:val="18"/>
                <w:szCs w:val="18"/>
                <w:lang w:bidi="ar"/>
              </w:rPr>
            </w:pPr>
            <w:r>
              <w:rPr>
                <w:rFonts w:hint="eastAsia" w:ascii="Times New Roman" w:hAnsi="Times New Roman" w:eastAsia="方正仿宋_GBK" w:cs="方正仿宋_GBK"/>
                <w:b w:val="0"/>
                <w:bCs w:val="0"/>
                <w:kern w:val="0"/>
                <w:sz w:val="18"/>
                <w:szCs w:val="18"/>
                <w:lang w:bidi="ar"/>
              </w:rPr>
              <w:t>建立健康医疗大数据中心，构建全民健康信息平台，建设区域医疗健康信息系统；升级虚拟专网，建设5G智慧医疗示范网；开发“健康云阳”APP或微信公众号；打造“智慧医院”，搭建远程医疗服务体系；建立5G急救系统和卫生健康应急指挥平台。</w:t>
            </w:r>
          </w:p>
        </w:tc>
        <w:tc>
          <w:tcPr>
            <w:tcW w:w="60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178191C">
            <w:pPr>
              <w:spacing w:line="300" w:lineRule="exact"/>
              <w:jc w:val="center"/>
              <w:rPr>
                <w:rFonts w:ascii="Times New Roman" w:hAnsi="Times New Roman" w:eastAsia="方正仿宋_GBK" w:cs="方正仿宋_GBK"/>
                <w:b w:val="0"/>
                <w:bCs w:val="0"/>
                <w:sz w:val="18"/>
                <w:szCs w:val="18"/>
              </w:rPr>
            </w:pPr>
          </w:p>
        </w:tc>
        <w:tc>
          <w:tcPr>
            <w:tcW w:w="56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32F1185">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全县各医疗机构</w:t>
            </w:r>
          </w:p>
        </w:tc>
        <w:tc>
          <w:tcPr>
            <w:tcW w:w="51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A651F39">
            <w:pPr>
              <w:widowControl/>
              <w:spacing w:line="300" w:lineRule="exact"/>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 xml:space="preserve"> </w:t>
            </w:r>
          </w:p>
        </w:tc>
        <w:tc>
          <w:tcPr>
            <w:tcW w:w="82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D051B32">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 xml:space="preserve">2020-2022 </w:t>
            </w:r>
          </w:p>
        </w:tc>
        <w:tc>
          <w:tcPr>
            <w:tcW w:w="80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EF4EF34">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sz w:val="18"/>
                <w:szCs w:val="18"/>
              </w:rPr>
              <w:t>1570</w:t>
            </w:r>
          </w:p>
        </w:tc>
        <w:tc>
          <w:tcPr>
            <w:tcW w:w="81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BDF6689">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kern w:val="0"/>
                <w:sz w:val="18"/>
                <w:szCs w:val="18"/>
                <w:lang w:bidi="ar"/>
              </w:rPr>
              <w:t xml:space="preserve"> </w:t>
            </w:r>
          </w:p>
        </w:tc>
        <w:tc>
          <w:tcPr>
            <w:tcW w:w="63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19884BB">
            <w:pPr>
              <w:spacing w:line="300" w:lineRule="exact"/>
              <w:jc w:val="center"/>
              <w:rPr>
                <w:rFonts w:ascii="Times New Roman" w:hAnsi="Times New Roman" w:eastAsia="方正仿宋_GBK" w:cs="方正仿宋_GBK"/>
                <w:b w:val="0"/>
                <w:bCs w:val="0"/>
                <w:sz w:val="18"/>
                <w:szCs w:val="18"/>
              </w:rPr>
            </w:pPr>
          </w:p>
        </w:tc>
        <w:tc>
          <w:tcPr>
            <w:tcW w:w="56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F0231FA">
            <w:pPr>
              <w:spacing w:line="300" w:lineRule="exact"/>
              <w:jc w:val="center"/>
              <w:rPr>
                <w:rFonts w:ascii="Times New Roman" w:hAnsi="Times New Roman" w:eastAsia="方正仿宋_GBK" w:cs="方正仿宋_GBK"/>
                <w:b w:val="0"/>
                <w:bCs w:val="0"/>
                <w:sz w:val="18"/>
                <w:szCs w:val="18"/>
              </w:rPr>
            </w:pPr>
          </w:p>
        </w:tc>
        <w:tc>
          <w:tcPr>
            <w:tcW w:w="57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429226A">
            <w:pPr>
              <w:spacing w:line="300" w:lineRule="exact"/>
              <w:jc w:val="center"/>
              <w:rPr>
                <w:rFonts w:ascii="Times New Roman" w:hAnsi="Times New Roman" w:eastAsia="方正仿宋_GBK" w:cs="方正仿宋_GBK"/>
                <w:b w:val="0"/>
                <w:bCs w:val="0"/>
                <w:sz w:val="18"/>
                <w:szCs w:val="18"/>
              </w:rPr>
            </w:pPr>
          </w:p>
        </w:tc>
        <w:tc>
          <w:tcPr>
            <w:tcW w:w="62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0EF0758">
            <w:pPr>
              <w:spacing w:line="300" w:lineRule="exact"/>
              <w:jc w:val="center"/>
              <w:rPr>
                <w:rFonts w:ascii="Times New Roman" w:hAnsi="Times New Roman" w:eastAsia="方正仿宋_GBK" w:cs="方正仿宋_GBK"/>
                <w:b w:val="0"/>
                <w:bCs w:val="0"/>
                <w:sz w:val="18"/>
                <w:szCs w:val="18"/>
              </w:rPr>
            </w:pPr>
          </w:p>
        </w:tc>
        <w:tc>
          <w:tcPr>
            <w:tcW w:w="60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98DE768">
            <w:pPr>
              <w:spacing w:line="300" w:lineRule="exact"/>
              <w:jc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sz w:val="18"/>
                <w:szCs w:val="18"/>
              </w:rPr>
              <w:t>1570</w:t>
            </w:r>
          </w:p>
        </w:tc>
      </w:tr>
      <w:tr w14:paraId="193F1283">
        <w:tblPrEx>
          <w:tblCellMar>
            <w:top w:w="0" w:type="dxa"/>
            <w:left w:w="0" w:type="dxa"/>
            <w:bottom w:w="0" w:type="dxa"/>
            <w:right w:w="0" w:type="dxa"/>
          </w:tblCellMar>
        </w:tblPrEx>
        <w:trPr>
          <w:trHeight w:val="1152" w:hRule="atLeast"/>
        </w:trPr>
        <w:tc>
          <w:tcPr>
            <w:tcW w:w="4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500CCCC">
            <w:pPr>
              <w:widowControl/>
              <w:spacing w:line="300" w:lineRule="exact"/>
              <w:jc w:val="center"/>
              <w:textAlignment w:val="center"/>
              <w:rPr>
                <w:rFonts w:ascii="Times New Roman" w:hAnsi="Times New Roman" w:eastAsia="方正仿宋_GBK" w:cs="方正仿宋_GBK"/>
                <w:b w:val="0"/>
                <w:bCs w:val="0"/>
                <w:kern w:val="0"/>
                <w:sz w:val="18"/>
                <w:szCs w:val="18"/>
                <w:lang w:bidi="ar"/>
              </w:rPr>
            </w:pPr>
            <w:r>
              <w:rPr>
                <w:rFonts w:hint="eastAsia" w:ascii="Times New Roman" w:hAnsi="Times New Roman" w:eastAsia="方正仿宋_GBK" w:cs="方正仿宋_GBK"/>
                <w:b w:val="0"/>
                <w:bCs w:val="0"/>
                <w:kern w:val="0"/>
                <w:sz w:val="18"/>
                <w:szCs w:val="18"/>
                <w:lang w:bidi="ar"/>
              </w:rPr>
              <w:t>25</w:t>
            </w:r>
          </w:p>
        </w:tc>
        <w:tc>
          <w:tcPr>
            <w:tcW w:w="133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126B190">
            <w:pPr>
              <w:widowControl/>
              <w:spacing w:line="300" w:lineRule="exact"/>
              <w:jc w:val="left"/>
              <w:textAlignment w:val="center"/>
              <w:rPr>
                <w:rFonts w:ascii="Times New Roman" w:hAnsi="Times New Roman" w:eastAsia="方正仿宋_GBK" w:cs="方正仿宋_GBK"/>
                <w:b w:val="0"/>
                <w:bCs w:val="0"/>
                <w:kern w:val="0"/>
                <w:sz w:val="18"/>
                <w:szCs w:val="18"/>
                <w:lang w:bidi="ar"/>
              </w:rPr>
            </w:pPr>
            <w:r>
              <w:rPr>
                <w:rFonts w:hint="eastAsia" w:ascii="Times New Roman" w:hAnsi="Times New Roman" w:eastAsia="方正仿宋_GBK" w:cs="方正仿宋_GBK"/>
                <w:b w:val="0"/>
                <w:bCs w:val="0"/>
                <w:kern w:val="0"/>
                <w:sz w:val="18"/>
                <w:szCs w:val="18"/>
                <w:lang w:bidi="ar"/>
              </w:rPr>
              <w:t>云阳县泥溪镇卫生院项目</w:t>
            </w:r>
          </w:p>
        </w:tc>
        <w:tc>
          <w:tcPr>
            <w:tcW w:w="464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85DE8A8">
            <w:pPr>
              <w:widowControl/>
              <w:spacing w:line="300" w:lineRule="exact"/>
              <w:jc w:val="left"/>
              <w:textAlignment w:val="center"/>
              <w:rPr>
                <w:rFonts w:ascii="Times New Roman" w:hAnsi="Times New Roman" w:eastAsia="方正仿宋_GBK" w:cs="方正仿宋_GBK"/>
                <w:b w:val="0"/>
                <w:bCs w:val="0"/>
                <w:kern w:val="0"/>
                <w:sz w:val="18"/>
                <w:szCs w:val="18"/>
                <w:lang w:bidi="ar"/>
              </w:rPr>
            </w:pPr>
            <w:r>
              <w:rPr>
                <w:rFonts w:hint="eastAsia" w:ascii="Times New Roman" w:hAnsi="Times New Roman" w:eastAsia="方正仿宋_GBK" w:cs="方正仿宋_GBK"/>
                <w:b w:val="0"/>
                <w:bCs w:val="0"/>
                <w:kern w:val="0"/>
                <w:sz w:val="18"/>
                <w:szCs w:val="18"/>
                <w:lang w:bidi="ar"/>
              </w:rPr>
              <w:t>迁扩建业务用房3000平方米</w:t>
            </w:r>
          </w:p>
        </w:tc>
        <w:tc>
          <w:tcPr>
            <w:tcW w:w="60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FAC2F81">
            <w:pPr>
              <w:spacing w:line="300" w:lineRule="exact"/>
              <w:jc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sz w:val="18"/>
                <w:szCs w:val="18"/>
              </w:rPr>
              <w:t>5</w:t>
            </w:r>
          </w:p>
        </w:tc>
        <w:tc>
          <w:tcPr>
            <w:tcW w:w="56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30BDED0">
            <w:pPr>
              <w:widowControl/>
              <w:spacing w:line="300" w:lineRule="exact"/>
              <w:jc w:val="center"/>
              <w:textAlignment w:val="center"/>
              <w:rPr>
                <w:rFonts w:ascii="Times New Roman" w:hAnsi="Times New Roman" w:eastAsia="方正仿宋_GBK" w:cs="方正仿宋_GBK"/>
                <w:b w:val="0"/>
                <w:bCs w:val="0"/>
                <w:kern w:val="0"/>
                <w:sz w:val="18"/>
                <w:szCs w:val="18"/>
                <w:lang w:bidi="ar"/>
              </w:rPr>
            </w:pPr>
            <w:r>
              <w:rPr>
                <w:rFonts w:hint="eastAsia" w:ascii="Times New Roman" w:hAnsi="Times New Roman" w:eastAsia="方正仿宋_GBK" w:cs="方正仿宋_GBK"/>
                <w:b w:val="0"/>
                <w:bCs w:val="0"/>
                <w:kern w:val="0"/>
                <w:sz w:val="18"/>
                <w:szCs w:val="18"/>
                <w:lang w:bidi="ar"/>
              </w:rPr>
              <w:t>泥溪镇</w:t>
            </w:r>
          </w:p>
        </w:tc>
        <w:tc>
          <w:tcPr>
            <w:tcW w:w="51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AB15CAF">
            <w:pPr>
              <w:widowControl/>
              <w:spacing w:line="300" w:lineRule="exact"/>
              <w:textAlignment w:val="center"/>
              <w:rPr>
                <w:rFonts w:ascii="Times New Roman" w:hAnsi="Times New Roman" w:eastAsia="方正仿宋_GBK" w:cs="方正仿宋_GBK"/>
                <w:b w:val="0"/>
                <w:bCs w:val="0"/>
                <w:kern w:val="0"/>
                <w:sz w:val="18"/>
                <w:szCs w:val="18"/>
                <w:lang w:bidi="ar"/>
              </w:rPr>
            </w:pPr>
          </w:p>
        </w:tc>
        <w:tc>
          <w:tcPr>
            <w:tcW w:w="82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99FEC28">
            <w:pPr>
              <w:widowControl/>
              <w:spacing w:line="300" w:lineRule="exact"/>
              <w:jc w:val="center"/>
              <w:textAlignment w:val="center"/>
              <w:rPr>
                <w:rFonts w:ascii="Times New Roman" w:hAnsi="Times New Roman" w:eastAsia="方正仿宋_GBK" w:cs="方正仿宋_GBK"/>
                <w:b w:val="0"/>
                <w:bCs w:val="0"/>
                <w:kern w:val="0"/>
                <w:sz w:val="18"/>
                <w:szCs w:val="18"/>
                <w:lang w:bidi="ar"/>
              </w:rPr>
            </w:pPr>
            <w:r>
              <w:rPr>
                <w:rFonts w:hint="eastAsia" w:ascii="Times New Roman" w:hAnsi="Times New Roman" w:eastAsia="方正仿宋_GBK" w:cs="方正仿宋_GBK"/>
                <w:b w:val="0"/>
                <w:bCs w:val="0"/>
                <w:kern w:val="0"/>
                <w:sz w:val="18"/>
                <w:szCs w:val="18"/>
                <w:lang w:bidi="ar"/>
              </w:rPr>
              <w:t>2024-2025</w:t>
            </w:r>
          </w:p>
        </w:tc>
        <w:tc>
          <w:tcPr>
            <w:tcW w:w="80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5439935">
            <w:pPr>
              <w:widowControl/>
              <w:spacing w:line="300" w:lineRule="exact"/>
              <w:jc w:val="center"/>
              <w:textAlignment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sz w:val="18"/>
                <w:szCs w:val="18"/>
              </w:rPr>
              <w:t>1500</w:t>
            </w:r>
          </w:p>
        </w:tc>
        <w:tc>
          <w:tcPr>
            <w:tcW w:w="81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E3A0890">
            <w:pPr>
              <w:widowControl/>
              <w:spacing w:line="300" w:lineRule="exact"/>
              <w:jc w:val="center"/>
              <w:textAlignment w:val="center"/>
              <w:rPr>
                <w:rFonts w:ascii="Times New Roman" w:hAnsi="Times New Roman" w:eastAsia="方正仿宋_GBK" w:cs="方正仿宋_GBK"/>
                <w:b w:val="0"/>
                <w:bCs w:val="0"/>
                <w:kern w:val="0"/>
                <w:sz w:val="18"/>
                <w:szCs w:val="18"/>
                <w:lang w:bidi="ar"/>
              </w:rPr>
            </w:pPr>
          </w:p>
        </w:tc>
        <w:tc>
          <w:tcPr>
            <w:tcW w:w="63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382E349">
            <w:pPr>
              <w:spacing w:line="300" w:lineRule="exact"/>
              <w:jc w:val="center"/>
              <w:rPr>
                <w:rFonts w:ascii="Times New Roman" w:hAnsi="Times New Roman" w:eastAsia="方正仿宋_GBK" w:cs="方正仿宋_GBK"/>
                <w:b w:val="0"/>
                <w:bCs w:val="0"/>
                <w:sz w:val="18"/>
                <w:szCs w:val="18"/>
              </w:rPr>
            </w:pPr>
          </w:p>
        </w:tc>
        <w:tc>
          <w:tcPr>
            <w:tcW w:w="56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F148908">
            <w:pPr>
              <w:spacing w:line="300" w:lineRule="exact"/>
              <w:jc w:val="center"/>
              <w:rPr>
                <w:rFonts w:ascii="Times New Roman" w:hAnsi="Times New Roman" w:eastAsia="方正仿宋_GBK" w:cs="方正仿宋_GBK"/>
                <w:b w:val="0"/>
                <w:bCs w:val="0"/>
                <w:sz w:val="18"/>
                <w:szCs w:val="18"/>
              </w:rPr>
            </w:pPr>
          </w:p>
        </w:tc>
        <w:tc>
          <w:tcPr>
            <w:tcW w:w="57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8B43832">
            <w:pPr>
              <w:spacing w:line="300" w:lineRule="exact"/>
              <w:jc w:val="center"/>
              <w:rPr>
                <w:rFonts w:ascii="Times New Roman" w:hAnsi="Times New Roman" w:eastAsia="方正仿宋_GBK" w:cs="方正仿宋_GBK"/>
                <w:b w:val="0"/>
                <w:bCs w:val="0"/>
                <w:sz w:val="18"/>
                <w:szCs w:val="18"/>
              </w:rPr>
            </w:pPr>
          </w:p>
        </w:tc>
        <w:tc>
          <w:tcPr>
            <w:tcW w:w="62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4998AC0">
            <w:pPr>
              <w:spacing w:line="300" w:lineRule="exact"/>
              <w:jc w:val="center"/>
              <w:rPr>
                <w:rFonts w:ascii="Times New Roman" w:hAnsi="Times New Roman" w:eastAsia="方正仿宋_GBK" w:cs="方正仿宋_GBK"/>
                <w:b w:val="0"/>
                <w:bCs w:val="0"/>
                <w:sz w:val="18"/>
                <w:szCs w:val="18"/>
              </w:rPr>
            </w:pPr>
          </w:p>
        </w:tc>
        <w:tc>
          <w:tcPr>
            <w:tcW w:w="60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8EF876C">
            <w:pPr>
              <w:spacing w:line="300" w:lineRule="exact"/>
              <w:jc w:val="center"/>
              <w:rPr>
                <w:rFonts w:ascii="Times New Roman" w:hAnsi="Times New Roman" w:eastAsia="方正仿宋_GBK" w:cs="方正仿宋_GBK"/>
                <w:b w:val="0"/>
                <w:bCs w:val="0"/>
                <w:sz w:val="18"/>
                <w:szCs w:val="18"/>
              </w:rPr>
            </w:pPr>
            <w:r>
              <w:rPr>
                <w:rFonts w:hint="eastAsia" w:ascii="Times New Roman" w:hAnsi="Times New Roman" w:eastAsia="方正仿宋_GBK" w:cs="方正仿宋_GBK"/>
                <w:b w:val="0"/>
                <w:bCs w:val="0"/>
                <w:sz w:val="18"/>
                <w:szCs w:val="18"/>
              </w:rPr>
              <w:t>1500</w:t>
            </w:r>
          </w:p>
        </w:tc>
      </w:tr>
    </w:tbl>
    <w:p w14:paraId="2CC01780"/>
    <w:sectPr>
      <w:footerReference r:id="rId5" w:type="default"/>
      <w:pgSz w:w="16781" w:h="11849" w:orient="landscape"/>
      <w:pgMar w:top="1417" w:right="2098" w:bottom="1417" w:left="1984" w:header="851" w:footer="992" w:gutter="0"/>
      <w:pgBorders>
        <w:top w:val="none" w:sz="0" w:space="0"/>
        <w:left w:val="none" w:sz="0" w:space="0"/>
        <w:bottom w:val="none" w:sz="0" w:space="0"/>
        <w:right w:val="none" w:sz="0" w:space="0"/>
      </w:pgBorders>
      <w:pgNumType w:fmt="decimal"/>
      <w:cols w:space="720" w:num="1"/>
      <w:rtlGutter w:val="0"/>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9AEFD8">
    <w:pPr>
      <w:widowControl w:val="0"/>
      <w:tabs>
        <w:tab w:val="center" w:pos="4153"/>
        <w:tab w:val="right" w:pos="8306"/>
      </w:tabs>
      <w:snapToGrid w:val="0"/>
      <w:jc w:val="right"/>
      <w:rPr>
        <w:rFonts w:ascii="Calibri" w:hAnsi="Calibri" w:eastAsia="宋体" w:cs="黑体"/>
        <w:kern w:val="2"/>
        <w:sz w:val="18"/>
        <w:szCs w:val="18"/>
        <w:lang w:val="en-US" w:eastAsia="zh-CN" w:bidi="ar-SA"/>
      </w:rPr>
    </w:pPr>
    <w:r>
      <w:rPr>
        <w:rFonts w:ascii="Calibri" w:hAnsi="Calibri" w:eastAsia="宋体" w:cs="黑体"/>
        <w:kern w:val="2"/>
        <w:sz w:val="28"/>
        <w:szCs w:val="18"/>
        <w:lang w:val="en-US" w:eastAsia="zh-CN" w:bidi="ar-SA"/>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-104775</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2013A15">
                          <w:pPr>
                            <w:widowControl w:val="0"/>
                            <w:tabs>
                              <w:tab w:val="center" w:pos="4153"/>
                              <w:tab w:val="right" w:pos="8306"/>
                            </w:tabs>
                            <w:snapToGrid w:val="0"/>
                            <w:ind w:left="210" w:leftChars="100" w:right="252" w:rightChars="12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 </w:t>
                          </w: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1</w:t>
                          </w:r>
                          <w:r>
                            <w:rPr>
                              <w:rFonts w:hint="eastAsia" w:ascii="宋体" w:hAnsi="宋体" w:eastAsia="宋体" w:cs="宋体"/>
                              <w:kern w:val="2"/>
                              <w:sz w:val="28"/>
                              <w:szCs w:val="28"/>
                              <w:lang w:val="en-US" w:eastAsia="zh-CN" w:bidi="ar-SA"/>
                            </w:rPr>
                            <w:fldChar w:fldCharType="end"/>
                          </w:r>
                          <w:r>
                            <w:rPr>
                              <w:rFonts w:hint="eastAsia" w:ascii="宋体" w:hAnsi="宋体" w:eastAsia="宋体" w:cs="宋体"/>
                              <w:kern w:val="2"/>
                              <w:sz w:val="28"/>
                              <w:szCs w:val="28"/>
                              <w:lang w:val="en-US" w:eastAsia="zh-CN" w:bidi="ar-SA"/>
                            </w:rPr>
                            <w:t xml:space="preserve"> —</w:t>
                          </w:r>
                        </w:p>
                      </w:txbxContent>
                    </wps:txbx>
                    <wps:bodyPr vert="horz" wrap="none" lIns="0" tIns="0" rIns="0" bIns="0" anchor="t" anchorCtr="0" upright="0">
                      <a:spAutoFit/>
                    </wps:bodyPr>
                  </wps:wsp>
                </a:graphicData>
              </a:graphic>
            </wp:anchor>
          </w:drawing>
        </mc:Choice>
        <mc:Fallback>
          <w:pict>
            <v:shape id="文本框 3" o:spid="_x0000_s1026" o:spt="202" type="#_x0000_t202" style="position:absolute;left:0pt;margin-top:-8.25pt;height:144pt;width:144pt;mso-position-horizontal:outside;mso-position-horizontal-relative:margin;mso-wrap-style:none;z-index:251660288;mso-width-relative:page;mso-height-relative:page;" filled="f" stroked="f" coordsize="21600,21600" o:gfxdata="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L+3vjDVAAAACAEAAA8AAAAA&#10;AAAAAQAgAAAAIgAAAGRycy9kb3ducmV2LnhtbFBLAQIUABQAAAAIAIdO4kBrDT4Z3gEAAL4DAAAO&#10;AAAAAAAAAAEAIAAAACQBAABkcnMvZTJvRG9jLnhtbFBLBQYAAAAABgAGAFkBAAB0BQAAAAA=&#10;">
              <v:fill on="f" focussize="0,0"/>
              <v:stroke on="f"/>
              <v:imagedata o:title=""/>
              <o:lock v:ext="edit" aspectratio="f"/>
              <v:textbox inset="0mm,0mm,0mm,0mm" style="mso-fit-shape-to-text:t;">
                <w:txbxContent>
                  <w:p w14:paraId="72013A15">
                    <w:pPr>
                      <w:widowControl w:val="0"/>
                      <w:tabs>
                        <w:tab w:val="center" w:pos="4153"/>
                        <w:tab w:val="right" w:pos="8306"/>
                      </w:tabs>
                      <w:snapToGrid w:val="0"/>
                      <w:ind w:left="210" w:leftChars="100" w:right="252" w:rightChars="12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 </w:t>
                    </w: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1</w:t>
                    </w:r>
                    <w:r>
                      <w:rPr>
                        <w:rFonts w:hint="eastAsia" w:ascii="宋体" w:hAnsi="宋体" w:eastAsia="宋体" w:cs="宋体"/>
                        <w:kern w:val="2"/>
                        <w:sz w:val="28"/>
                        <w:szCs w:val="28"/>
                        <w:lang w:val="en-US" w:eastAsia="zh-CN" w:bidi="ar-SA"/>
                      </w:rPr>
                      <w:fldChar w:fldCharType="end"/>
                    </w:r>
                    <w:r>
                      <w:rPr>
                        <w:rFonts w:hint="eastAsia" w:ascii="宋体" w:hAnsi="宋体" w:eastAsia="宋体" w:cs="宋体"/>
                        <w:kern w:val="2"/>
                        <w:sz w:val="28"/>
                        <w:szCs w:val="28"/>
                        <w:lang w:val="en-US" w:eastAsia="zh-CN" w:bidi="ar-SA"/>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2562DB">
    <w:pPr>
      <w:widowControl w:val="0"/>
      <w:tabs>
        <w:tab w:val="center" w:pos="4153"/>
        <w:tab w:val="right" w:pos="8306"/>
      </w:tabs>
      <w:snapToGrid w:val="0"/>
      <w:jc w:val="left"/>
      <w:rPr>
        <w:rFonts w:ascii="宋体" w:hAnsi="宋体" w:eastAsia="宋体" w:cs="黑体"/>
        <w:kern w:val="2"/>
        <w:sz w:val="28"/>
        <w:szCs w:val="28"/>
        <w:lang w:val="en-US" w:eastAsia="zh-CN" w:bidi="ar-SA"/>
      </w:rPr>
    </w:pPr>
    <w:r>
      <w:rPr>
        <w:rFonts w:ascii="Calibri" w:hAnsi="Calibri" w:eastAsia="宋体" w:cs="黑体"/>
        <w:kern w:val="2"/>
        <w:sz w:val="2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posOffset>-9525</wp:posOffset>
              </wp:positionH>
              <wp:positionV relativeFrom="paragraph">
                <wp:posOffset>9525</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D7B1281">
                          <w:pPr>
                            <w:widowControl w:val="0"/>
                            <w:tabs>
                              <w:tab w:val="center" w:pos="4153"/>
                              <w:tab w:val="right" w:pos="8306"/>
                            </w:tabs>
                            <w:snapToGrid w:val="0"/>
                            <w:ind w:left="252" w:leftChars="120" w:right="252" w:rightChars="12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 </w:t>
                          </w: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2</w:t>
                          </w:r>
                          <w:r>
                            <w:rPr>
                              <w:rFonts w:hint="eastAsia" w:ascii="宋体" w:hAnsi="宋体" w:eastAsia="宋体" w:cs="宋体"/>
                              <w:kern w:val="2"/>
                              <w:sz w:val="28"/>
                              <w:szCs w:val="28"/>
                              <w:lang w:val="en-US" w:eastAsia="zh-CN" w:bidi="ar-SA"/>
                            </w:rPr>
                            <w:fldChar w:fldCharType="end"/>
                          </w:r>
                          <w:r>
                            <w:rPr>
                              <w:rFonts w:hint="eastAsia" w:ascii="宋体" w:hAnsi="宋体" w:eastAsia="宋体" w:cs="宋体"/>
                              <w:kern w:val="2"/>
                              <w:sz w:val="28"/>
                              <w:szCs w:val="28"/>
                              <w:lang w:val="en-US" w:eastAsia="zh-CN" w:bidi="ar-SA"/>
                            </w:rPr>
                            <w:t xml:space="preserve"> —</w:t>
                          </w:r>
                        </w:p>
                      </w:txbxContent>
                    </wps:txbx>
                    <wps:bodyPr vert="horz" wrap="none" lIns="0" tIns="0" rIns="0" bIns="0" anchor="t" anchorCtr="0" upright="0">
                      <a:spAutoFit/>
                    </wps:bodyPr>
                  </wps:wsp>
                </a:graphicData>
              </a:graphic>
            </wp:anchor>
          </w:drawing>
        </mc:Choice>
        <mc:Fallback>
          <w:pict>
            <v:shape id="文本框 2" o:spid="_x0000_s1026" o:spt="202" type="#_x0000_t202" style="position:absolute;left:0pt;margin-left:-0.75pt;margin-top:0.75pt;height:144pt;width:144pt;mso-position-horizontal-relative:margin;mso-wrap-style:none;z-index:251659264;mso-width-relative:page;mso-height-relative:page;" filled="f" stroked="f" coordsize="21600,21600" o:gfxdata="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CprfpHTAAAACAEAAA8AAAAAAAAA&#10;AQAgAAAAIgAAAGRycy9kb3ducmV2LnhtbFBLAQIUABQAAAAIAIdO4kBERFAp3QEAAL4DAAAOAAAA&#10;AAAAAAEAIAAAACIBAABkcnMvZTJvRG9jLnhtbFBLBQYAAAAABgAGAFkBAABxBQAAAAA=&#10;">
              <v:fill on="f" focussize="0,0"/>
              <v:stroke on="f"/>
              <v:imagedata o:title=""/>
              <o:lock v:ext="edit" aspectratio="f"/>
              <v:textbox inset="0mm,0mm,0mm,0mm" style="mso-fit-shape-to-text:t;">
                <w:txbxContent>
                  <w:p w14:paraId="1D7B1281">
                    <w:pPr>
                      <w:widowControl w:val="0"/>
                      <w:tabs>
                        <w:tab w:val="center" w:pos="4153"/>
                        <w:tab w:val="right" w:pos="8306"/>
                      </w:tabs>
                      <w:snapToGrid w:val="0"/>
                      <w:ind w:left="252" w:leftChars="120" w:right="252" w:rightChars="12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 </w:t>
                    </w: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2</w:t>
                    </w:r>
                    <w:r>
                      <w:rPr>
                        <w:rFonts w:hint="eastAsia" w:ascii="宋体" w:hAnsi="宋体" w:eastAsia="宋体" w:cs="宋体"/>
                        <w:kern w:val="2"/>
                        <w:sz w:val="28"/>
                        <w:szCs w:val="28"/>
                        <w:lang w:val="en-US" w:eastAsia="zh-CN" w:bidi="ar-SA"/>
                      </w:rPr>
                      <w:fldChar w:fldCharType="end"/>
                    </w:r>
                    <w:r>
                      <w:rPr>
                        <w:rFonts w:hint="eastAsia" w:ascii="宋体" w:hAnsi="宋体" w:eastAsia="宋体" w:cs="宋体"/>
                        <w:kern w:val="2"/>
                        <w:sz w:val="28"/>
                        <w:szCs w:val="28"/>
                        <w:lang w:val="en-US" w:eastAsia="zh-CN" w:bidi="ar-SA"/>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E55EAA">
    <w:pPr>
      <w:pStyle w:val="8"/>
      <w:jc w:val="right"/>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-104775</wp:posOffset>
              </wp:positionV>
              <wp:extent cx="1828800" cy="1828800"/>
              <wp:effectExtent l="0" t="0" r="0" b="0"/>
              <wp:wrapNone/>
              <wp:docPr id="3"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E569492">
                          <w:pPr>
                            <w:pStyle w:val="8"/>
                            <w:ind w:left="210" w:leftChars="100" w:right="210" w:rightChars="100"/>
                            <w:rPr>
                              <w:rFonts w:hint="eastAsia" w:ascii="宋体" w:hAnsi="宋体" w:eastAsia="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vert="horz" wrap="none" lIns="0" tIns="0" rIns="0" bIns="0" anchor="t" anchorCtr="0" upright="0">
                      <a:spAutoFit/>
                    </wps:bodyPr>
                  </wps:wsp>
                </a:graphicData>
              </a:graphic>
            </wp:anchor>
          </w:drawing>
        </mc:Choice>
        <mc:Fallback>
          <w:pict>
            <v:shape id="文本框 4" o:spid="_x0000_s1026" o:spt="202" type="#_x0000_t202" style="position:absolute;left:0pt;margin-top:-8.25pt;height:144pt;width:144pt;mso-position-horizontal:outside;mso-position-horizontal-relative:margin;mso-wrap-style:none;z-index:251661312;mso-width-relative:page;mso-height-relative:page;" filled="f" stroked="f" coordsize="21600,21600" o:gfxdata="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L+3vjDVAAAACAEAAA8AAAAA&#10;AAAAAQAgAAAAIgAAAGRycy9kb3ducmV2LnhtbFBLAQIUABQAAAAIAIdO4kBMq2F63gEAAL4DAAAO&#10;AAAAAAAAAAEAIAAAACQBAABkcnMvZTJvRG9jLnhtbFBLBQYAAAAABgAGAFkBAAB0BQAAAAA=&#10;">
              <v:fill on="f" focussize="0,0"/>
              <v:stroke on="f"/>
              <v:imagedata o:title=""/>
              <o:lock v:ext="edit" aspectratio="f"/>
              <v:textbox inset="0mm,0mm,0mm,0mm" style="mso-fit-shape-to-text:t;">
                <w:txbxContent>
                  <w:p w14:paraId="3E569492">
                    <w:pPr>
                      <w:pStyle w:val="8"/>
                      <w:ind w:left="210" w:leftChars="100" w:right="210" w:rightChars="100"/>
                      <w:rPr>
                        <w:rFonts w:hint="eastAsia" w:ascii="宋体" w:hAnsi="宋体" w:eastAsia="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3ED6EE6"/>
    <w:multiLevelType w:val="singleLevel"/>
    <w:tmpl w:val="D3ED6EE6"/>
    <w:lvl w:ilvl="0" w:tentative="0">
      <w:start w:val="1"/>
      <w:numFmt w:val="decimal"/>
      <w:suff w:val="space"/>
      <w:lvlText w:val="%1."/>
      <w:lvlJc w:val="left"/>
    </w:lvl>
  </w:abstractNum>
  <w:abstractNum w:abstractNumId="1">
    <w:nsid w:val="EF6E4EC9"/>
    <w:multiLevelType w:val="singleLevel"/>
    <w:tmpl w:val="EF6E4EC9"/>
    <w:lvl w:ilvl="0" w:tentative="0">
      <w:start w:val="31"/>
      <w:numFmt w:val="decimal"/>
      <w:suff w:val="space"/>
      <w:lvlText w:val="%1."/>
      <w:lvlJc w:val="left"/>
    </w:lvl>
  </w:abstractNum>
  <w:abstractNum w:abstractNumId="2">
    <w:nsid w:val="FFF6FFCD"/>
    <w:multiLevelType w:val="singleLevel"/>
    <w:tmpl w:val="FFF6FFCD"/>
    <w:lvl w:ilvl="0" w:tentative="0">
      <w:start w:val="2"/>
      <w:numFmt w:val="decimal"/>
      <w:suff w:val="space"/>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A4OGM0OWFiM2U4MDc5Y2UxMGU3ODI2MDJjZGQ5NTkifQ=="/>
  </w:docVars>
  <w:rsids>
    <w:rsidRoot w:val="00000000"/>
    <w:rsid w:val="07FB7BE4"/>
    <w:rsid w:val="25C2467A"/>
    <w:rsid w:val="2A4628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paragraph" w:styleId="3">
    <w:name w:val="heading 2"/>
    <w:basedOn w:val="1"/>
    <w:next w:val="1"/>
    <w:qFormat/>
    <w:uiPriority w:val="9"/>
    <w:pPr>
      <w:keepNext/>
      <w:keepLines/>
      <w:spacing w:before="260" w:after="260" w:line="416" w:lineRule="auto"/>
      <w:outlineLvl w:val="1"/>
    </w:pPr>
    <w:rPr>
      <w:rFonts w:ascii="等线 Light" w:hAnsi="等线 Light" w:eastAsia="等线 Light" w:cs="Times New Roman"/>
      <w:b/>
      <w:bCs/>
      <w:sz w:val="32"/>
      <w:szCs w:val="32"/>
    </w:rPr>
  </w:style>
  <w:style w:type="character" w:default="1" w:styleId="10">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customStyle="1" w:styleId="2">
    <w:name w:val="正文缩进1"/>
    <w:qFormat/>
    <w:uiPriority w:val="0"/>
    <w:pPr>
      <w:widowControl w:val="0"/>
      <w:ind w:firstLine="420" w:firstLineChars="200"/>
      <w:jc w:val="both"/>
    </w:pPr>
    <w:rPr>
      <w:rFonts w:ascii="Calibri" w:hAnsi="Calibri" w:eastAsia="宋体" w:cs="Times New Roman"/>
      <w:kern w:val="2"/>
      <w:sz w:val="21"/>
      <w:szCs w:val="24"/>
      <w:lang w:val="en-US" w:eastAsia="zh-CN" w:bidi="ar-SA"/>
    </w:rPr>
  </w:style>
  <w:style w:type="paragraph" w:styleId="4">
    <w:name w:val="annotation text"/>
    <w:basedOn w:val="1"/>
    <w:unhideWhenUsed/>
    <w:qFormat/>
    <w:uiPriority w:val="99"/>
    <w:pPr>
      <w:jc w:val="left"/>
    </w:pPr>
    <w:rPr>
      <w:rFonts w:ascii="Calibri" w:hAnsi="Calibri" w:eastAsia="宋体" w:cs="Times New Roman"/>
    </w:rPr>
  </w:style>
  <w:style w:type="paragraph" w:styleId="5">
    <w:name w:val="Body Text"/>
    <w:basedOn w:val="1"/>
    <w:next w:val="6"/>
    <w:qFormat/>
    <w:uiPriority w:val="0"/>
    <w:pPr>
      <w:spacing w:after="120"/>
    </w:pPr>
    <w:rPr>
      <w:rFonts w:ascii="Times New Roman" w:hAnsi="Times New Roman" w:cs="Times New Roman"/>
    </w:rPr>
  </w:style>
  <w:style w:type="paragraph" w:styleId="6">
    <w:name w:val="Body Text Indent"/>
    <w:basedOn w:val="1"/>
    <w:unhideWhenUsed/>
    <w:qFormat/>
    <w:uiPriority w:val="99"/>
    <w:pPr>
      <w:spacing w:after="120"/>
      <w:ind w:left="420" w:leftChars="200"/>
    </w:pPr>
  </w:style>
  <w:style w:type="paragraph" w:styleId="7">
    <w:name w:val="Plain Text"/>
    <w:basedOn w:val="1"/>
    <w:unhideWhenUsed/>
    <w:qFormat/>
    <w:uiPriority w:val="0"/>
    <w:rPr>
      <w:rFonts w:ascii="宋体" w:hAnsi="Courier New"/>
      <w:szCs w:val="21"/>
    </w:rPr>
  </w:style>
  <w:style w:type="paragraph" w:styleId="8">
    <w:name w:val="footer"/>
    <w:basedOn w:val="1"/>
    <w:qFormat/>
    <w:uiPriority w:val="99"/>
    <w:pPr>
      <w:tabs>
        <w:tab w:val="center" w:pos="4153"/>
        <w:tab w:val="right" w:pos="8306"/>
      </w:tabs>
      <w:snapToGrid w:val="0"/>
      <w:jc w:val="left"/>
    </w:pPr>
    <w:rPr>
      <w:sz w:val="18"/>
      <w:szCs w:val="18"/>
    </w:rPr>
  </w:style>
  <w:style w:type="paragraph" w:customStyle="1" w:styleId="11">
    <w:name w:val="WPSOffice手动目录 1"/>
    <w:qFormat/>
    <w:uiPriority w:val="0"/>
    <w:rPr>
      <w:rFonts w:ascii="Times New Roman" w:hAnsi="Times New Roman" w:eastAsia="宋体" w:cs="Times New Roman"/>
      <w:lang w:val="en-US" w:eastAsia="zh-CN" w:bidi="ar-SA"/>
    </w:rPr>
  </w:style>
  <w:style w:type="paragraph" w:customStyle="1" w:styleId="12">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13">
    <w:name w:val="UserStyle_0"/>
    <w:qFormat/>
    <w:uiPriority w:val="0"/>
    <w:pPr>
      <w:textAlignment w:val="baseline"/>
    </w:pPr>
    <w:rPr>
      <w:rFonts w:ascii="方正小标宋_GBK" w:hAnsi="Times New Roman" w:eastAsia="方正小标宋_GBK" w:cs="Times New Roman"/>
      <w:color w:val="000000"/>
      <w:sz w:val="24"/>
      <w:szCs w:val="24"/>
      <w:lang w:val="en-US" w:eastAsia="zh-CN" w:bidi="ar-SA"/>
    </w:rPr>
  </w:style>
  <w:style w:type="paragraph" w:customStyle="1" w:styleId="14">
    <w:name w:val="BodyText"/>
    <w:basedOn w:val="1"/>
    <w:qFormat/>
    <w:uiPriority w:val="0"/>
    <w:pPr>
      <w:widowControl/>
      <w:spacing w:after="120"/>
      <w:textAlignment w:val="baseline"/>
    </w:pPr>
    <w:rPr>
      <w:rFonts w:ascii="Times New Roman" w:hAnsi="Times New Roman" w:cs="Times New Roman"/>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55</Pages>
  <Words>29190</Words>
  <Characters>30644</Characters>
  <Lines>0</Lines>
  <Paragraphs>0</Paragraphs>
  <TotalTime>3</TotalTime>
  <ScaleCrop>false</ScaleCrop>
  <LinksUpToDate>false</LinksUpToDate>
  <CharactersWithSpaces>30846</CharactersWithSpaces>
  <Application>WPS Office_12.8.2.18913_F1E327BC-269C-435d-A152-05C5408002CA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2024-07-29T00:54:00Z</dcterms:created>
  <dc:creator>86139</dc:creator>
  <cp:lastModifiedBy>喵喵三个</cp:lastModifiedBy>
  <dcterms:modified xsi:type="dcterms:W3CDTF">2026-07-08T11:26:58Z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2052-12.8.2.18913</vt:lpwstr>
  </property>
  <property fmtid="{D5CDD505-2E9C-101B-9397-08002B2CF9AE}" pid="3" name="ICV">
    <vt:lpwstr>F73973D893574503A55BFA38B617BD8B_12</vt:lpwstr>
  </property>
</Properties>
</file>