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重庆市云阳县人和街道办事处</w:t>
      </w:r>
    </w:p>
    <w:p>
      <w:pPr>
        <w:pStyle w:val="4"/>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2021年度部门决算情况说明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黑体_GBK" w:hAnsi="方正黑体_GBK" w:eastAsia="方正黑体_GBK" w:cs="方正黑体_GBK"/>
          <w:b w:val="0"/>
          <w:bCs w:val="0"/>
          <w:sz w:val="32"/>
          <w:szCs w:val="32"/>
        </w:rPr>
      </w:pP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一、部门基本情况</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（一）职能职责</w:t>
      </w:r>
    </w:p>
    <w:p>
      <w:pPr>
        <w:keepNext w:val="0"/>
        <w:keepLines w:val="0"/>
        <w:pageBreakBefore w:val="0"/>
        <w:widowControl/>
        <w:kinsoku/>
        <w:overflowPunct/>
        <w:topLinePunct w:val="0"/>
        <w:autoSpaceDE/>
        <w:autoSpaceDN/>
        <w:bidi w:val="0"/>
        <w:adjustRightInd/>
        <w:snapToGrid/>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阳县人和街道办事处主要负责综合协调、文电、会务、机要、档案等机关日常运转；承担重要文稿起草、交办督办、信息、政务公开、电子政务；党的建设、纪检、宣传、统战、武装、机构编制、干部人事、民宗侨台、群团等职责；组织人大代表视察、调研、评议等活动，收集、整理、交办代表建议；负责经济发展规划、农村经营管理、经济社会统计、扶贫开发、移民后扶； 负责民政、教育、卫生、计生、老龄、文化、体育、社会救助、残疾人事业、劳动就业、社会保障、退役军人管理；负责信访、人民调解、社会治安综合治理、防范和处理邪教；负责村镇规划、村镇建设、市政公用、市容环卫、环境保护；负责财政收支、预决算、总会计、惠农资金兑付、财政资金监督检查、绩效管理、村级财务管理；负责安全生产宣传教育和综合监管，协助开展矿山、危险化学品、烟花爆竹等安全生产日常监管工作，食品药品监督管理，应急管理；集中行使依法授权或委托的行政执法权。具体集中行使依法授权或委托的农林水利、规划建设、环境保护、卫生计生、文化旅游、民政管理、道路交通等领域的行政执法权。</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（二）机构设置</w:t>
      </w:r>
    </w:p>
    <w:p>
      <w:pPr>
        <w:keepNext w:val="0"/>
        <w:keepLines w:val="0"/>
        <w:pageBreakBefore w:val="0"/>
        <w:widowControl/>
        <w:kinsoku/>
        <w:overflowPunct/>
        <w:topLinePunct w:val="0"/>
        <w:autoSpaceDE/>
        <w:autoSpaceDN/>
        <w:bidi w:val="0"/>
        <w:adjustRightInd/>
        <w:snapToGrid/>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人和街道办事处职责职能，2021年人和街道办事处设16个内设机构。党政办公室、党群工作办公室、人民代表大会办公室、经济发展办公室（挂统计办公室、农村经营管理办公室、扶贫开发办公室牌子）、民政和社会事务办公室（挂卫生健康办公室、物业管理办公室牌子）、平安建设办公室、规划建设管理环保办公室、财政办公室、应急管理办公室、综合行政执法办公室、农业服务中心、社区文化服务中心、劳动就业和社会保障服务所、退役军人服务站、综合行政执法大队、社区事务服务中心。</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（三）单位构成</w:t>
      </w:r>
    </w:p>
    <w:p>
      <w:pPr>
        <w:keepNext w:val="0"/>
        <w:keepLines w:val="0"/>
        <w:pageBreakBefore w:val="0"/>
        <w:widowControl/>
        <w:kinsoku/>
        <w:overflowPunct/>
        <w:topLinePunct w:val="0"/>
        <w:autoSpaceDE/>
        <w:autoSpaceDN/>
        <w:bidi w:val="0"/>
        <w:adjustRightInd/>
        <w:snapToGrid/>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预算单位构成看，纳入本部门2021年度决算编制的二级预算单位主要包括云阳县人和街道社区事务服务中心、人和街道综合行政执法大队、人和街道农业服务中心、人和街道劳动就业和社会保障服务所、人和街道社区文化服务中心、人和街道退役军人服务站6个事业单位。</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二、部门决算情况说明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（一）收入支出决算总体情况说明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2021年度收入总计7,368.77万元，支出总计7,368.77万元。收支较上年决算数增加515.15万元、增长7.5%，主要原因是社会保障和就业支出等项目增加。</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2021年度收入合计5,784.90万元，较上年决算数减少105.54万元，下降1.8%，主要原因是一般公共预算财政拨款减少。其中：财政拨款收入5,784.90万元，占100%。此外，年初结转和结余1,583.87万元。</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2021年度支出合计5,503.23万元，较上年决算数增加481.93万元，增长9.6%，主要原因是主要原因是社会保障和就业等项目支出增加。其中：基本支出1,747.47万元，占31.8%；项目支出3,755.76万元，占68.2%。</w:t>
      </w:r>
      <w:r>
        <w:rPr>
          <w:rStyle w:val="7"/>
          <w:rFonts w:hint="eastAsia" w:ascii="方正仿宋_GBK" w:hAnsi="方正仿宋_GBK" w:eastAsia="方正仿宋_GBK" w:cs="方正仿宋_GBK"/>
          <w:sz w:val="32"/>
          <w:szCs w:val="32"/>
        </w:rPr>
        <w:t> </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2021年度年末结转和结余1,865.54万元，较上年决算数增加33.22万元，增长1.8%，主要原因是年初财政拨款结转和结余增加620万。</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（二）财政拨款收入支出决算总体情况说明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2021年度财政拨款收、支总计7,368.77万元。与2020年相比，财政拨款收、支总计各增加515.15万元，增长7.5%。主要原因是卫生健康支出等项目增加。</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（三）一般公共预算财政拨款收入支出决算情况说明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2021年度一般公共预算财政拨款收入4,551.58万元，较上年决算数减少87.34万元，下降1.9%。较年初预算数增加401.99万元，增长9.7%。主要原因是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增加一般公共预算项目</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sz w:val="32"/>
          <w:szCs w:val="32"/>
        </w:rPr>
        <w:t>云阳财农</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91号人和街道莲花社区新建红肉脐橙园项目25</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元、云阳财农</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2021</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105号号水毁河堤修复项目20</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元、云阳财农</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26号人和街道莲花社区饮水工程14</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元、云阳财农</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11号农村饮水工程维修养护项目10</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元、云阳财农</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18号陈大毛面业技改扩能项目陈大毛面业技改扩能项目110</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元、云阳财农</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77号人和街道（大豆）精深加工生产线项目200</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元、云阳财农</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19号人和街道长河村卢红纽赫尔种植园新建项目16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元、云阳财农</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63号人和街道龙水村蔬菜基地质量提升建设项目54</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元、云阳财预</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4号公共卫生服务支出15</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元、云阳财预</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4号王本成救助补偿金76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4300</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元、云阳财预</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4号人居环境整治资金104</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w:t>
      </w:r>
      <w:r>
        <w:rPr>
          <w:rFonts w:hint="eastAsia" w:ascii="方正仿宋_GBK" w:hAnsi="方正仿宋_GBK" w:eastAsia="方正仿宋_GBK" w:cs="方正仿宋_GBK"/>
          <w:color w:val="FF0000"/>
          <w:sz w:val="32"/>
          <w:szCs w:val="32"/>
        </w:rPr>
        <w:t>。</w:t>
      </w:r>
      <w:r>
        <w:rPr>
          <w:rFonts w:hint="eastAsia" w:ascii="方正仿宋_GBK" w:hAnsi="方正仿宋_GBK" w:eastAsia="方正仿宋_GBK" w:cs="方正仿宋_GBK"/>
          <w:sz w:val="32"/>
          <w:szCs w:val="32"/>
        </w:rPr>
        <w:t>此外，年初财政拨款结转和结余910.05万元。</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color w:val="FF0000"/>
          <w:sz w:val="32"/>
          <w:szCs w:val="32"/>
          <w:lang w:eastAsia="zh-CN"/>
        </w:rPr>
      </w:pPr>
      <w:r>
        <w:rPr>
          <w:rStyle w:val="7"/>
          <w:rFonts w:hint="eastAsia" w:ascii="方正仿宋_GBK" w:hAnsi="方正仿宋_GBK" w:eastAsia="方正仿宋_GBK" w:cs="方正仿宋_GBK"/>
          <w:sz w:val="32"/>
          <w:szCs w:val="32"/>
        </w:rPr>
        <w:t>2.支出情况。</w:t>
      </w:r>
      <w:r>
        <w:rPr>
          <w:rFonts w:hint="eastAsia" w:ascii="方正仿宋_GBK" w:hAnsi="方正仿宋_GBK" w:eastAsia="方正仿宋_GBK" w:cs="方正仿宋_GBK"/>
          <w:sz w:val="32"/>
          <w:szCs w:val="32"/>
        </w:rPr>
        <w:t>2021年度一般公共预算财政拨款支出4,399.26万元，较上年决算数增加49.58万元，增长1.1%。主要原因是人员增加、工资调标、项目拨款增加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较年初预算数减少730.09万元，下降14.2%。</w:t>
      </w:r>
      <w:r>
        <w:rPr>
          <w:rFonts w:hint="eastAsia" w:ascii="方正仿宋_GBK" w:hAnsi="方正仿宋_GBK" w:eastAsia="方正仿宋_GBK" w:cs="方正仿宋_GBK"/>
          <w:color w:val="000000" w:themeColor="text1"/>
          <w:sz w:val="32"/>
          <w:szCs w:val="32"/>
          <w14:textFill>
            <w14:solidFill>
              <w14:schemeClr w14:val="tx1"/>
            </w14:solidFill>
          </w14:textFill>
        </w:rPr>
        <w:t>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社会保障与就业支出、城乡社区支出、住房保障支出减少。</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lang w:val="en-US" w:eastAsia="zh-CN"/>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2021年度年末一般公共预算财政拨款结转和结余1,062.37万元，较上年决算数增加82.61万元，增长8.4%，主要原因是20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年政府性基金项目增加</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 xml:space="preserve">本部门2021年度一般公共预算财政拨款支出主要用于以下几个方面： </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（1）一般公共服务支出1,182.91万元，占26.9%，较年初预算数减少345.52万元，下降22.6%，主要原因是主要原因是严格控制一般支出，落实党中央“过紧日子”精神。</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）公共安全支出5.40万元，占0.1%，较年初预算数增加5.40万元，增长100%，主要原因是疫情防控支出增加。</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）文化旅游体育与传媒支出42.81万元，占1%，较年初预算数减少8.84万元，下降17.1%，主要原因是主要原因是节庆活动减少。</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）社会保障与就业支出2,061.35万元，占46.9%，较年初预算数减少559.21万元，下降21.3%</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）卫生健康支出115.45万元，占2.6%，较年初预算数减少5.53万元，下降4.6%，主要原因是在职人员退休导致医保缴费减少。</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）节能环保支出18.67万元，占0.4%，较年初预算数减少67.33万元，下降78.3%，主要原因是严格落实节能环保政策，建设节能型政府。</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）城乡社区支出32.79万元，占0.7%，较年初预算数减少25.57万元，下降43.78%</w:t>
      </w:r>
      <w:r>
        <w:rPr>
          <w:rFonts w:hint="eastAsia" w:ascii="方正仿宋_GBK" w:hAnsi="方正仿宋_GBK" w:eastAsia="方正仿宋_GBK" w:cs="方正仿宋_GBK"/>
          <w:sz w:val="32"/>
          <w:szCs w:val="32"/>
          <w:lang w:eastAsia="zh-CN"/>
        </w:rPr>
        <w:t>，主要原因是减少了农村环卫设施经费。</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）农林水支出787.21万元，占17.9%，较年初预算数增加374.91万元，增长90.93%，主要原因是产业园机耕道、人行便道等项目支出增加。</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）交通运输支出20.18万元，占0.5%，较年初预算数减少23.87万元，下降54.2%，主要原因是在职人员绩效水平降低。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）住房保障支出74.34万元，占1.7%，较年初预算数减少20.68万元，下降21.8%，主要原因是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人员变动减少住房公积金。</w:t>
      </w:r>
      <w:r>
        <w:rPr>
          <w:rFonts w:hint="eastAsia" w:ascii="方正仿宋_GBK" w:hAnsi="方正仿宋_GBK" w:eastAsia="方正仿宋_GBK" w:cs="方正仿宋_GBK"/>
          <w:sz w:val="32"/>
          <w:szCs w:val="32"/>
        </w:rPr>
        <w:t> </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）灾害防治及应急管理支出52.89万元，占1.2%，较年初预算数减少43.11万元，下降44.9%，主要原因是汛灾较往年减少。</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（四）一般公共预算财政拨款基本支出决算情况说明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一般公共财政拨款基本支出1,747.47万元。其中：人员经费1,466.87万元，较上年决算数增加16.12万元，增长1.1%，主要原因是人员工资调资、追加退休人员一次性退休补助等。人员经费用途主要包括基本工资、津贴补贴、奖金、对个人和家庭补助、社会保障缴费、卫生健康支出、住房保障支出。公用经费280.61万元，较上年决算数减少203.16万元，下降42%，主要原因是节约开支，严控支出。公用经费用途主要包括办公费、差旅费、邮电费、物管费、其他交通费。</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（五）政府性基金预算收支决算情况说明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政府性基金预算财政拨款年初结转结余673.81万元，年末结转结余803.17万元。本年收入1,233.32万元，较上年决算数减少18.21万元，下降1.5%，主要原因是城乡社区等项目收入减少。本年支出1,103.97万元，较上年决算数增加432.35万元，增长64.4%，主要原因是城乡社区等项目支出增加。</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（六）国有资本经营预算财政拨款支出决算情况说明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本部门2021年度无国有资本经营预算财政拨款支出。</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三、“三公”经费情况说明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（一）“三公”经费支出总体情况说明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三公”经费支出共计3.75万元，较年初预算数减少6.25万元，下降62.5%，，较上年支出数减少3.51万元，下降48.3%，主要原因一是严格落实公车使用规定，严禁公车私用，公车运行维护成本大幅下降；二是本单位2021年度未发生公务接待支出。</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（二）“三公”经费分项支出情况</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2021年度本部门无因公出国（境）活动。</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2021年度无公务用车购置。</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运行维护费3.75万元，主要用于主要用于执法执勤用车县内因公出行、下村检查等工作所需车辆的燃料费、维修费、保险费等。费用支出较年初预算数减少6.25万元，下降62.5%，较上年支出数减少1.82万元，下降32.7%，主要原因是严格落实公车使用规定，严禁公车私用，公车运行维护成本大幅下降。</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2021年度本部门无公务接待活动。</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（三）“三公”经费实物量情况</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本部门因公出国（境）共计0个团组，0人；公务用车购置0辆，公务车保有量为1辆；国内公务接待0批次0人，其中：国内外事接待0批次，0人；国（境）外公务接待0批次，0人。2021年本部门人均接待费0.00元，车均购置费0.00万元，车均维护费3.75万元。</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四、其他需要说明的事项</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（一）一般公共预算财政拨款会议费和培训费情况说明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本年度会议费支出8.99万元，较上年决算数减少23.21万元，下降72.1%；本年度培训费支出3.12万元，较上年决算数减少2.93万元，下降48.4%，主要原因是认真贯彻落实中央</w:t>
      </w:r>
      <w:bookmarkStart w:id="0" w:name="_GoBack"/>
      <w:r>
        <w:rPr>
          <w:rFonts w:hint="eastAsia" w:ascii="方正仿宋_GBK" w:hAnsi="方正仿宋_GBK" w:eastAsia="方正仿宋_GBK" w:cs="方正仿宋_GBK"/>
          <w:sz w:val="32"/>
          <w:szCs w:val="32"/>
        </w:rPr>
        <w:t>八项</w:t>
      </w:r>
      <w:bookmarkEnd w:id="0"/>
      <w:r>
        <w:rPr>
          <w:rFonts w:hint="eastAsia" w:ascii="方正仿宋_GBK" w:hAnsi="方正仿宋_GBK" w:eastAsia="方正仿宋_GBK" w:cs="方正仿宋_GBK"/>
          <w:sz w:val="32"/>
          <w:szCs w:val="32"/>
        </w:rPr>
        <w:t>规定精神，精简会议及培训活动。</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（二）机关运行经费情况说明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本部门机关运行经费支出280.00万元，机关运行经费主要用于开支办公费、差旅费、邮电费、物管费、其他交通费支出。机关运行经费较上年决算数减少203.77万元，下降42.1%，主要原因是节约开支，严控支出。</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（三）国有资产占用情况说明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截至2021年12月31日，本部门共有车辆1辆，其中，应急保障用车1辆。</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（四）政府采购支出情况说明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2021年度我单位未发生政府采购事项，无相关经费支出。</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五、预算绩效管理情况说明</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Style w:val="7"/>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（一）预算绩效管理工作开展情况</w:t>
      </w:r>
    </w:p>
    <w:p>
      <w:pPr>
        <w:keepNext w:val="0"/>
        <w:keepLines w:val="0"/>
        <w:pageBreakBefore w:val="0"/>
        <w:widowControl/>
        <w:kinsoku/>
        <w:overflowPunct/>
        <w:topLinePunct w:val="0"/>
        <w:autoSpaceDE/>
        <w:autoSpaceDN/>
        <w:bidi w:val="0"/>
        <w:adjustRightInd/>
        <w:snapToGrid/>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根据预算绩效管理要求，我街道对</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个项目开展了绩效自评，涉及金额</w:t>
      </w:r>
      <w:r>
        <w:rPr>
          <w:rFonts w:hint="eastAsia" w:ascii="方正仿宋_GBK" w:hAnsi="方正仿宋_GBK" w:eastAsia="方正仿宋_GBK" w:cs="方正仿宋_GBK"/>
          <w:sz w:val="32"/>
          <w:szCs w:val="32"/>
          <w:lang w:val="en-US" w:eastAsia="zh-CN"/>
        </w:rPr>
        <w:t>495.9</w:t>
      </w:r>
      <w:r>
        <w:rPr>
          <w:rFonts w:hint="eastAsia" w:ascii="方正仿宋_GBK" w:hAnsi="方正仿宋_GBK" w:eastAsia="方正仿宋_GBK" w:cs="方正仿宋_GBK"/>
          <w:sz w:val="32"/>
          <w:szCs w:val="32"/>
        </w:rPr>
        <w:t>万元，其中，以填报目标自评表形式开展自评1项，涉及资金</w:t>
      </w:r>
      <w:r>
        <w:rPr>
          <w:rFonts w:hint="eastAsia" w:ascii="方正仿宋_GBK" w:hAnsi="方正仿宋_GBK" w:eastAsia="方正仿宋_GBK" w:cs="方正仿宋_GBK"/>
          <w:sz w:val="32"/>
          <w:szCs w:val="32"/>
          <w:lang w:val="en-US" w:eastAsia="zh-CN"/>
        </w:rPr>
        <w:t>495.9</w:t>
      </w:r>
      <w:r>
        <w:rPr>
          <w:rFonts w:hint="eastAsia" w:ascii="方正仿宋_GBK" w:hAnsi="方正仿宋_GBK" w:eastAsia="方正仿宋_GBK" w:cs="方正仿宋_GBK"/>
          <w:sz w:val="32"/>
          <w:szCs w:val="32"/>
        </w:rPr>
        <w:t>万元。从评价情况来看，我街道以绩效目标实现为导向，加强制度建设，提升自评质量，上述</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个项目均得到了有效实施，发挥了财政资金使用效益。</w:t>
      </w:r>
    </w:p>
    <w:p>
      <w:pPr>
        <w:keepNext w:val="0"/>
        <w:keepLines w:val="0"/>
        <w:pageBreakBefore w:val="0"/>
        <w:widowControl/>
        <w:kinsoku/>
        <w:overflowPunct/>
        <w:topLinePunct w:val="0"/>
        <w:autoSpaceDE/>
        <w:autoSpaceDN/>
        <w:bidi w:val="0"/>
        <w:adjustRightInd/>
        <w:snapToGrid/>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绩效自评结果（农业项目支出绩效自评表）</w:t>
      </w:r>
    </w:p>
    <w:p>
      <w:pPr>
        <w:keepNext w:val="0"/>
        <w:keepLines w:val="0"/>
        <w:pageBreakBefore w:val="0"/>
        <w:widowControl/>
        <w:kinsoku/>
        <w:overflowPunct/>
        <w:topLinePunct w:val="0"/>
        <w:autoSpaceDE/>
        <w:autoSpaceDN/>
        <w:bidi w:val="0"/>
        <w:adjustRightInd/>
        <w:snapToGrid/>
        <w:spacing w:beforeAutospacing="0" w:afterAutospacing="0" w:line="578" w:lineRule="exact"/>
        <w:ind w:firstLine="640" w:firstLineChars="200"/>
        <w:rPr>
          <w:rFonts w:hint="eastAsia" w:ascii="方正仿宋_GBK" w:hAnsi="方正仿宋_GBK" w:eastAsia="方正仿宋_GBK" w:cs="方正仿宋_GBK"/>
          <w:sz w:val="32"/>
          <w:szCs w:val="32"/>
        </w:rPr>
      </w:pP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jc w:val="center"/>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云阳县人和街道办事处项目支出绩效自评表</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jc w:val="center"/>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（2021年度）</w:t>
      </w:r>
    </w:p>
    <w:tbl>
      <w:tblPr>
        <w:tblStyle w:val="5"/>
        <w:tblW w:w="8516"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541"/>
        <w:gridCol w:w="857"/>
        <w:gridCol w:w="995"/>
        <w:gridCol w:w="650"/>
        <w:gridCol w:w="975"/>
        <w:gridCol w:w="212"/>
        <w:gridCol w:w="781"/>
        <w:gridCol w:w="771"/>
        <w:gridCol w:w="255"/>
        <w:gridCol w:w="352"/>
        <w:gridCol w:w="520"/>
        <w:gridCol w:w="208"/>
        <w:gridCol w:w="527"/>
        <w:gridCol w:w="87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98"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项目名称</w:t>
            </w:r>
          </w:p>
        </w:tc>
        <w:tc>
          <w:tcPr>
            <w:tcW w:w="7118" w:type="dxa"/>
            <w:gridSpan w:val="1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云阳县2021年人和街道莲花社区新建红肉脐橙园项目等</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个项目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1398"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主管部门</w:t>
            </w:r>
          </w:p>
        </w:tc>
        <w:tc>
          <w:tcPr>
            <w:tcW w:w="3613"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云阳县农业农村发展委员会</w:t>
            </w:r>
          </w:p>
        </w:tc>
        <w:tc>
          <w:tcPr>
            <w:tcW w:w="102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实施单位</w:t>
            </w:r>
          </w:p>
        </w:tc>
        <w:tc>
          <w:tcPr>
            <w:tcW w:w="2479"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云阳县人和街道办事处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1398" w:type="dxa"/>
            <w:gridSpan w:val="2"/>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项目资金</w:t>
            </w:r>
            <w:r>
              <w:rPr>
                <w:rFonts w:hint="eastAsia" w:ascii="方正仿宋_GBK" w:hAnsi="方正仿宋_GBK" w:eastAsia="方正仿宋_GBK" w:cs="方正仿宋_GBK"/>
                <w:color w:val="333333"/>
                <w:sz w:val="32"/>
                <w:szCs w:val="32"/>
              </w:rPr>
              <w:br w:type="textWrapping"/>
            </w:r>
            <w:r>
              <w:rPr>
                <w:rFonts w:hint="eastAsia" w:ascii="方正仿宋_GBK" w:hAnsi="方正仿宋_GBK" w:eastAsia="方正仿宋_GBK" w:cs="方正仿宋_GBK"/>
                <w:color w:val="333333"/>
                <w:sz w:val="32"/>
                <w:szCs w:val="32"/>
              </w:rPr>
              <w:t>（万元）</w:t>
            </w:r>
          </w:p>
        </w:tc>
        <w:tc>
          <w:tcPr>
            <w:tcW w:w="164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年初预算数</w:t>
            </w:r>
          </w:p>
        </w:tc>
        <w:tc>
          <w:tcPr>
            <w:tcW w:w="993"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全年预算数</w:t>
            </w:r>
          </w:p>
        </w:tc>
        <w:tc>
          <w:tcPr>
            <w:tcW w:w="102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全年执行数</w:t>
            </w:r>
          </w:p>
        </w:tc>
        <w:tc>
          <w:tcPr>
            <w:tcW w:w="87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分值</w:t>
            </w:r>
          </w:p>
        </w:tc>
        <w:tc>
          <w:tcPr>
            <w:tcW w:w="73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执行率</w:t>
            </w:r>
          </w:p>
        </w:tc>
        <w:tc>
          <w:tcPr>
            <w:tcW w:w="8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1398"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164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年度资金总额</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333333"/>
                <w:sz w:val="32"/>
                <w:szCs w:val="32"/>
                <w:lang w:val="en-US" w:eastAsia="zh-CN"/>
              </w:rPr>
              <w:t>495.9</w:t>
            </w:r>
          </w:p>
        </w:tc>
        <w:tc>
          <w:tcPr>
            <w:tcW w:w="993"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333333"/>
                <w:sz w:val="32"/>
                <w:szCs w:val="32"/>
                <w:lang w:val="en-US" w:eastAsia="zh-CN"/>
              </w:rPr>
              <w:t>495.9</w:t>
            </w:r>
          </w:p>
        </w:tc>
        <w:tc>
          <w:tcPr>
            <w:tcW w:w="102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333333"/>
                <w:sz w:val="32"/>
                <w:szCs w:val="32"/>
                <w:lang w:val="en-US" w:eastAsia="zh-CN"/>
              </w:rPr>
              <w:t>481.4</w:t>
            </w:r>
          </w:p>
        </w:tc>
        <w:tc>
          <w:tcPr>
            <w:tcW w:w="87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7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97%</w:t>
            </w:r>
          </w:p>
        </w:tc>
        <w:tc>
          <w:tcPr>
            <w:tcW w:w="8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1398"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164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其中：当年财政拨款</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val="en-US" w:eastAsia="zh-CN"/>
              </w:rPr>
              <w:t>495.9</w:t>
            </w:r>
          </w:p>
        </w:tc>
        <w:tc>
          <w:tcPr>
            <w:tcW w:w="993"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val="en-US" w:eastAsia="zh-CN"/>
              </w:rPr>
              <w:t>495.9</w:t>
            </w:r>
          </w:p>
        </w:tc>
        <w:tc>
          <w:tcPr>
            <w:tcW w:w="102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val="en-US" w:eastAsia="zh-CN"/>
              </w:rPr>
              <w:t>481.4</w:t>
            </w:r>
          </w:p>
        </w:tc>
        <w:tc>
          <w:tcPr>
            <w:tcW w:w="87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w:t>
            </w:r>
          </w:p>
        </w:tc>
        <w:tc>
          <w:tcPr>
            <w:tcW w:w="7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100%</w:t>
            </w:r>
          </w:p>
        </w:tc>
        <w:tc>
          <w:tcPr>
            <w:tcW w:w="8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1398"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164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     上年结转资金</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93"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102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7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w:t>
            </w:r>
          </w:p>
        </w:tc>
        <w:tc>
          <w:tcPr>
            <w:tcW w:w="7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1398"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164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 其他资金</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93"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102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7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w:t>
            </w:r>
          </w:p>
        </w:tc>
        <w:tc>
          <w:tcPr>
            <w:tcW w:w="73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541"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年度总体目标</w:t>
            </w:r>
          </w:p>
        </w:tc>
        <w:tc>
          <w:tcPr>
            <w:tcW w:w="4470"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预期目标</w:t>
            </w:r>
          </w:p>
        </w:tc>
        <w:tc>
          <w:tcPr>
            <w:tcW w:w="3505" w:type="dxa"/>
            <w:gridSpan w:val="7"/>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541"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4470" w:type="dxa"/>
            <w:gridSpan w:val="6"/>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农业项目得到实施</w:t>
            </w:r>
          </w:p>
        </w:tc>
        <w:tc>
          <w:tcPr>
            <w:tcW w:w="3505" w:type="dxa"/>
            <w:gridSpan w:val="7"/>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完成</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541" w:type="dxa"/>
            <w:vMerge w:val="restart"/>
            <w:tcBorders>
              <w:top w:val="nil"/>
              <w:left w:val="single" w:color="auto" w:sz="6" w:space="0"/>
              <w:bottom w:val="nil"/>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绩</w:t>
            </w:r>
            <w:r>
              <w:rPr>
                <w:rFonts w:hint="eastAsia" w:ascii="方正仿宋_GBK" w:hAnsi="方正仿宋_GBK" w:eastAsia="方正仿宋_GBK" w:cs="方正仿宋_GBK"/>
                <w:color w:val="333333"/>
                <w:sz w:val="32"/>
                <w:szCs w:val="32"/>
              </w:rPr>
              <w:br w:type="textWrapping"/>
            </w:r>
            <w:r>
              <w:rPr>
                <w:rFonts w:hint="eastAsia" w:ascii="方正仿宋_GBK" w:hAnsi="方正仿宋_GBK" w:eastAsia="方正仿宋_GBK" w:cs="方正仿宋_GBK"/>
                <w:color w:val="333333"/>
                <w:sz w:val="32"/>
                <w:szCs w:val="32"/>
              </w:rPr>
              <w:t>效</w:t>
            </w:r>
            <w:r>
              <w:rPr>
                <w:rFonts w:hint="eastAsia" w:ascii="方正仿宋_GBK" w:hAnsi="方正仿宋_GBK" w:eastAsia="方正仿宋_GBK" w:cs="方正仿宋_GBK"/>
                <w:color w:val="333333"/>
                <w:sz w:val="32"/>
                <w:szCs w:val="32"/>
              </w:rPr>
              <w:br w:type="textWrapping"/>
            </w:r>
            <w:r>
              <w:rPr>
                <w:rFonts w:hint="eastAsia" w:ascii="方正仿宋_GBK" w:hAnsi="方正仿宋_GBK" w:eastAsia="方正仿宋_GBK" w:cs="方正仿宋_GBK"/>
                <w:color w:val="333333"/>
                <w:sz w:val="32"/>
                <w:szCs w:val="32"/>
              </w:rPr>
              <w:t>指</w:t>
            </w:r>
            <w:r>
              <w:rPr>
                <w:rFonts w:hint="eastAsia" w:ascii="方正仿宋_GBK" w:hAnsi="方正仿宋_GBK" w:eastAsia="方正仿宋_GBK" w:cs="方正仿宋_GBK"/>
                <w:color w:val="333333"/>
                <w:sz w:val="32"/>
                <w:szCs w:val="32"/>
              </w:rPr>
              <w:br w:type="textWrapping"/>
            </w:r>
            <w:r>
              <w:rPr>
                <w:rFonts w:hint="eastAsia" w:ascii="方正仿宋_GBK" w:hAnsi="方正仿宋_GBK" w:eastAsia="方正仿宋_GBK" w:cs="方正仿宋_GBK"/>
                <w:color w:val="333333"/>
                <w:sz w:val="32"/>
                <w:szCs w:val="32"/>
              </w:rPr>
              <w:t>标</w:t>
            </w:r>
          </w:p>
        </w:tc>
        <w:tc>
          <w:tcPr>
            <w:tcW w:w="8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一级指标</w:t>
            </w:r>
          </w:p>
        </w:tc>
        <w:tc>
          <w:tcPr>
            <w:tcW w:w="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二级指标</w:t>
            </w:r>
          </w:p>
        </w:tc>
        <w:tc>
          <w:tcPr>
            <w:tcW w:w="1837"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三级指标</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年度</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指标值</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实际</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完成值</w:t>
            </w:r>
          </w:p>
        </w:tc>
        <w:tc>
          <w:tcPr>
            <w:tcW w:w="607"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分值</w:t>
            </w: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得分</w:t>
            </w:r>
          </w:p>
        </w:tc>
        <w:tc>
          <w:tcPr>
            <w:tcW w:w="1399"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偏差原因分析及改进措施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产出指标</w:t>
            </w:r>
          </w:p>
        </w:tc>
        <w:tc>
          <w:tcPr>
            <w:tcW w:w="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数量指标</w:t>
            </w: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指标1：新建改建项目数量</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333333"/>
                <w:sz w:val="32"/>
                <w:szCs w:val="32"/>
              </w:rPr>
              <w:t>≥</w:t>
            </w:r>
            <w:r>
              <w:rPr>
                <w:rFonts w:hint="eastAsia" w:ascii="方正仿宋_GBK" w:hAnsi="方正仿宋_GBK" w:eastAsia="方正仿宋_GBK" w:cs="方正仿宋_GBK"/>
                <w:color w:val="333333"/>
                <w:sz w:val="32"/>
                <w:szCs w:val="32"/>
                <w:lang w:val="en-US" w:eastAsia="zh-CN"/>
              </w:rPr>
              <w:t>4</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tabs>
                <w:tab w:val="left" w:pos="515"/>
              </w:tabs>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607" w:type="dxa"/>
            <w:gridSpan w:val="2"/>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60</w:t>
            </w: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9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质量指标</w:t>
            </w: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指标1：工程质量</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合格</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合格</w:t>
            </w:r>
          </w:p>
        </w:tc>
        <w:tc>
          <w:tcPr>
            <w:tcW w:w="607" w:type="dxa"/>
            <w:gridSpan w:val="2"/>
            <w:vMerge w:val="continue"/>
            <w:tcBorders>
              <w:top w:val="nil"/>
              <w:left w:val="nil"/>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9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指标2：工程进度完工</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100%</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100%</w:t>
            </w:r>
          </w:p>
        </w:tc>
        <w:tc>
          <w:tcPr>
            <w:tcW w:w="607" w:type="dxa"/>
            <w:gridSpan w:val="2"/>
            <w:vMerge w:val="continue"/>
            <w:tcBorders>
              <w:top w:val="nil"/>
              <w:left w:val="nil"/>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时效指标</w:t>
            </w: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指标1：工程拨款及时率</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≧97%</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≧97%</w:t>
            </w:r>
          </w:p>
        </w:tc>
        <w:tc>
          <w:tcPr>
            <w:tcW w:w="607" w:type="dxa"/>
            <w:gridSpan w:val="2"/>
            <w:vMerge w:val="continue"/>
            <w:tcBorders>
              <w:top w:val="nil"/>
              <w:left w:val="nil"/>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15</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成本指标</w:t>
            </w: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指标1：柑橘管护补助标准</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≧44元/亩</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100%</w:t>
            </w:r>
          </w:p>
        </w:tc>
        <w:tc>
          <w:tcPr>
            <w:tcW w:w="607" w:type="dxa"/>
            <w:gridSpan w:val="2"/>
            <w:vMerge w:val="continue"/>
            <w:tcBorders>
              <w:top w:val="nil"/>
              <w:left w:val="nil"/>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效益指标</w:t>
            </w:r>
          </w:p>
        </w:tc>
        <w:tc>
          <w:tcPr>
            <w:tcW w:w="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经济效益</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w:t>
            </w: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指标1：带动增加脱贫人口全年总收入</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≧1万元</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≧96%</w:t>
            </w:r>
          </w:p>
        </w:tc>
        <w:tc>
          <w:tcPr>
            <w:tcW w:w="607" w:type="dxa"/>
            <w:gridSpan w:val="2"/>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30</w:t>
            </w: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45"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社会效益</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w:t>
            </w: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指标1：受益脱贫人口数</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≧5人</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100%</w:t>
            </w:r>
          </w:p>
        </w:tc>
        <w:tc>
          <w:tcPr>
            <w:tcW w:w="607" w:type="dxa"/>
            <w:gridSpan w:val="2"/>
            <w:vMerge w:val="continue"/>
            <w:tcBorders>
              <w:top w:val="nil"/>
              <w:left w:val="nil"/>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可持续影响指标</w:t>
            </w: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指标1：项目存续期限</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≧1年</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≧98%</w:t>
            </w:r>
          </w:p>
        </w:tc>
        <w:tc>
          <w:tcPr>
            <w:tcW w:w="607" w:type="dxa"/>
            <w:gridSpan w:val="2"/>
            <w:vMerge w:val="continue"/>
            <w:tcBorders>
              <w:top w:val="nil"/>
              <w:left w:val="nil"/>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541"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c>
          <w:tcPr>
            <w:tcW w:w="8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满意度</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w:t>
            </w:r>
          </w:p>
        </w:tc>
        <w:tc>
          <w:tcPr>
            <w:tcW w:w="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服务对象满意度指标</w:t>
            </w:r>
          </w:p>
        </w:tc>
        <w:tc>
          <w:tcPr>
            <w:tcW w:w="183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指标1：援助对象满意度</w:t>
            </w:r>
          </w:p>
        </w:tc>
        <w:tc>
          <w:tcPr>
            <w:tcW w:w="7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≧98%</w:t>
            </w:r>
          </w:p>
        </w:tc>
        <w:tc>
          <w:tcPr>
            <w:tcW w:w="7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≧98%</w:t>
            </w:r>
          </w:p>
        </w:tc>
        <w:tc>
          <w:tcPr>
            <w:tcW w:w="607"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5782"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 总分</w:t>
            </w:r>
          </w:p>
        </w:tc>
        <w:tc>
          <w:tcPr>
            <w:tcW w:w="607"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100</w:t>
            </w:r>
          </w:p>
        </w:tc>
        <w:tc>
          <w:tcPr>
            <w:tcW w:w="728"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95</w:t>
            </w:r>
          </w:p>
        </w:tc>
        <w:tc>
          <w:tcPr>
            <w:tcW w:w="139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00" w:lineRule="exact"/>
              <w:ind w:firstLine="0" w:firstLineChars="0"/>
              <w:rPr>
                <w:rFonts w:hint="eastAsia" w:ascii="方正仿宋_GBK" w:hAnsi="方正仿宋_GBK" w:eastAsia="方正仿宋_GBK" w:cs="方正仿宋_GBK"/>
                <w:color w:val="333333"/>
                <w:sz w:val="32"/>
                <w:szCs w:val="32"/>
              </w:rPr>
            </w:pPr>
          </w:p>
        </w:tc>
      </w:tr>
    </w:tbl>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400" w:lineRule="exact"/>
        <w:ind w:firstLine="0" w:firstLineChars="0"/>
        <w:rPr>
          <w:rStyle w:val="7"/>
          <w:rFonts w:hint="eastAsia" w:ascii="方正仿宋_GBK" w:hAnsi="方正仿宋_GBK" w:eastAsia="方正仿宋_GBK" w:cs="方正仿宋_GBK"/>
          <w:sz w:val="32"/>
          <w:szCs w:val="32"/>
        </w:rPr>
      </w:pP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400" w:lineRule="exact"/>
        <w:ind w:firstLine="0" w:firstLineChars="0"/>
        <w:rPr>
          <w:rStyle w:val="7"/>
          <w:rFonts w:hint="eastAsia" w:ascii="方正仿宋_GBK" w:hAnsi="方正仿宋_GBK" w:eastAsia="方正仿宋_GBK" w:cs="方正仿宋_GBK"/>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0" w:firstLineChars="0"/>
        <w:textAlignment w:val="auto"/>
        <w:rPr>
          <w:rStyle w:val="7"/>
          <w:rFonts w:hint="eastAsia" w:ascii="方正仿宋_GBK" w:hAnsi="方正仿宋_GBK" w:eastAsia="方正仿宋_GBK" w:cs="方正仿宋_GBK"/>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（二）事业收入</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（四）其他收入</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（五）使用非财政拨款结余</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（六）年初结转和结余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（七）结余分配</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（八）年末结转和结余</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（十）项目支出</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（十一）经营支出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（十二）“三公”经费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（十三）机关运行经费</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（十六）对个人和家庭的补助（支出经济分类科目类级）</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3" w:firstLineChars="200"/>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（十七）其他资本性支出（支出经济分类科目类级）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textAlignment w:val="auto"/>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七、决算公开联系方式及信息反馈渠道</w:t>
      </w:r>
    </w:p>
    <w:p>
      <w:pPr>
        <w:pStyle w:val="4"/>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本单位决算公开信息反馈和联系方式：023-55507001。</w:t>
      </w:r>
    </w:p>
    <w:sectPr>
      <w:footerReference r:id="rId3" w:type="default"/>
      <w:pgSz w:w="11907"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MTM3OGVhM2U3NTEyMTY2OTI4ZjEzMWIwMTMyOTEifQ=="/>
  </w:docVars>
  <w:rsids>
    <w:rsidRoot w:val="00C616FB"/>
    <w:rsid w:val="00103897"/>
    <w:rsid w:val="00113F98"/>
    <w:rsid w:val="00163554"/>
    <w:rsid w:val="002C1CDC"/>
    <w:rsid w:val="00406164"/>
    <w:rsid w:val="0041279E"/>
    <w:rsid w:val="004216BE"/>
    <w:rsid w:val="005A1705"/>
    <w:rsid w:val="006459E7"/>
    <w:rsid w:val="0075582E"/>
    <w:rsid w:val="00791C46"/>
    <w:rsid w:val="007E066D"/>
    <w:rsid w:val="00882282"/>
    <w:rsid w:val="00B33F7A"/>
    <w:rsid w:val="00B75F3A"/>
    <w:rsid w:val="00C528D3"/>
    <w:rsid w:val="00C616FB"/>
    <w:rsid w:val="00D678D5"/>
    <w:rsid w:val="00DD4D07"/>
    <w:rsid w:val="00E061BA"/>
    <w:rsid w:val="00E07A1A"/>
    <w:rsid w:val="00E20D47"/>
    <w:rsid w:val="00E51401"/>
    <w:rsid w:val="00FD21BC"/>
    <w:rsid w:val="01730582"/>
    <w:rsid w:val="02D768EE"/>
    <w:rsid w:val="05874E19"/>
    <w:rsid w:val="05D709B3"/>
    <w:rsid w:val="07CD02C0"/>
    <w:rsid w:val="098238B8"/>
    <w:rsid w:val="0A193C90"/>
    <w:rsid w:val="0ADB0F46"/>
    <w:rsid w:val="0AFC4C4D"/>
    <w:rsid w:val="0B154457"/>
    <w:rsid w:val="0C7927C4"/>
    <w:rsid w:val="0E6D0107"/>
    <w:rsid w:val="0F753717"/>
    <w:rsid w:val="10460E18"/>
    <w:rsid w:val="142E0338"/>
    <w:rsid w:val="15DB629E"/>
    <w:rsid w:val="17EC6540"/>
    <w:rsid w:val="19440AAA"/>
    <w:rsid w:val="1C9A6126"/>
    <w:rsid w:val="1CD001DE"/>
    <w:rsid w:val="20DB11AA"/>
    <w:rsid w:val="21681312"/>
    <w:rsid w:val="237044C9"/>
    <w:rsid w:val="290A0F1C"/>
    <w:rsid w:val="29267861"/>
    <w:rsid w:val="2AAD7DB1"/>
    <w:rsid w:val="2DD1025A"/>
    <w:rsid w:val="32340DB8"/>
    <w:rsid w:val="33570C83"/>
    <w:rsid w:val="3B36794F"/>
    <w:rsid w:val="3E9C21BE"/>
    <w:rsid w:val="3FCB2D5B"/>
    <w:rsid w:val="417A7AAF"/>
    <w:rsid w:val="46902609"/>
    <w:rsid w:val="480212E4"/>
    <w:rsid w:val="48EE1869"/>
    <w:rsid w:val="4A3B288C"/>
    <w:rsid w:val="4B72439F"/>
    <w:rsid w:val="4C3A079A"/>
    <w:rsid w:val="4E2B2C17"/>
    <w:rsid w:val="4F195165"/>
    <w:rsid w:val="50574197"/>
    <w:rsid w:val="519C4558"/>
    <w:rsid w:val="52A15B9E"/>
    <w:rsid w:val="550F6DEF"/>
    <w:rsid w:val="55CB540B"/>
    <w:rsid w:val="59FB2037"/>
    <w:rsid w:val="5B0A0784"/>
    <w:rsid w:val="5C182A2D"/>
    <w:rsid w:val="5C5A1297"/>
    <w:rsid w:val="611C2FBF"/>
    <w:rsid w:val="64FA2810"/>
    <w:rsid w:val="665C3E5E"/>
    <w:rsid w:val="66B544EF"/>
    <w:rsid w:val="66E63727"/>
    <w:rsid w:val="67A930D3"/>
    <w:rsid w:val="6C5D448C"/>
    <w:rsid w:val="6FA50623"/>
    <w:rsid w:val="70B7181E"/>
    <w:rsid w:val="71241A1C"/>
    <w:rsid w:val="72D51220"/>
    <w:rsid w:val="73EB05CF"/>
    <w:rsid w:val="74AE1D28"/>
    <w:rsid w:val="74C84BEC"/>
    <w:rsid w:val="75C458AB"/>
    <w:rsid w:val="774424D0"/>
    <w:rsid w:val="77514BED"/>
    <w:rsid w:val="7A150154"/>
    <w:rsid w:val="7A4D3D91"/>
    <w:rsid w:val="7AF1296F"/>
    <w:rsid w:val="7C7C095E"/>
    <w:rsid w:val="7CF130FA"/>
    <w:rsid w:val="7D00333D"/>
    <w:rsid w:val="7D4E40A8"/>
    <w:rsid w:val="7DEE7639"/>
    <w:rsid w:val="7FF6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5659</Words>
  <Characters>6429</Characters>
  <Lines>10</Lines>
  <Paragraphs>13</Paragraphs>
  <TotalTime>2</TotalTime>
  <ScaleCrop>false</ScaleCrop>
  <LinksUpToDate>false</LinksUpToDate>
  <CharactersWithSpaces>6435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2022-10-12T01:33:00Z</dcterms:created>
  <dc:creator>asus</dc:creator>
  <cp:lastModifiedBy>张西西</cp:lastModifiedBy>
  <dcterms:modified xsi:type="dcterms:W3CDTF">2023-07-11T08:51:57Z</dcterms:modified>
  <dc:title>公开报告模板</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07E519A84AB444E98216D68DFC406FAD</vt:lpwstr>
  </property>
</Properties>
</file>