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重庆市云阳县人和街道办事处</w:t>
      </w:r>
    </w:p>
    <w:p>
      <w:pPr>
        <w:pStyle w:val="4"/>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2021年度部门决算情况说明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黑体_GBK" w:hAnsi="方正黑体_GBK" w:eastAsia="方正黑体_GBK" w:cs="方正黑体_GBK"/>
          <w:b w:val="0"/>
          <w:bCs w:val="0"/>
          <w:sz w:val="32"/>
          <w:szCs w:val="32"/>
        </w:rPr>
      </w:pP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（一）职能职责</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县人和街道办事处主要负责综合协调、文电、会务、机要、档案等机关日常运转；承担重要文稿起草、交办督办、信息、政务公开、电子政务；党的建设、纪检、宣传、统战、武装、机构编制、干部人事、民宗侨台、群团等职责；组织人大代表视察、调研、评议等活动，收集、整理、交办代表建议；负责经济发展规划、农村经营管理、经济社会统计、扶贫开发、移民后扶； 负责民政、教育、卫生、计生、老龄、文化、体育、社会救助、残疾人事业、劳动就业、社会保障、退役军人管理；负责信访、人民调解、社会治安综合治理、防范和处理邪教；负责村镇规划、村镇建设、市政公用、市容环卫、环境保护；负责财政收支、预决算、总会计、惠农资金兑付、财政资金监督检查、绩效管理、村级财务管理；负责安全生产宣传教育和综合监管，协助开展矿山、危险化学品、烟花爆竹等安全生产日常监管工作，食品药品监督管理，应急管理；集中行使依法授权或委托的行政执法权。具体集中行使依法授权或委托的农林水利、规划建设、环境保护、卫生计生、文化旅游、民政管理、道路交通等领域的行政执法权。</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（二）机构设置</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人和街道办事处职责职能，2021年人和街道办事处设16个内设机构。党政办公室、党群工作办公室、人民代表大会办公室、经济发展办公室（挂统计办公室、农村经营管理办公室、扶贫开发办公室牌子）、民政和社会事务办公室（挂卫生健康办公室、物业管理办公室牌子）、平安建设办公室、规划建设管理环保办公室、财政办公室、应急管理办公室、综合行政执法办公室、农业服务中心、社区文化服务中心、劳动就业和社会保障服务所、退役军人服务站、综合行政执法大队、社区事务服务中心。</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（三）单位构成</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预算单位构成看，纳入本部门2021年度决算编制的二级预算单位主要包括云阳县人和街道社区事务服务中心、人和街道综合行政执法大队、人和街道农业服务中心、人和街道劳动就业和社会保障服务所、人和街道社区文化服务中心、人和街道退役军人服务站6个事业单位。</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二、部门决算情况说明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（一）收入支出决算总体情况说明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1.总体情况。</w:t>
      </w:r>
      <w:r>
        <w:rPr>
          <w:rFonts w:hint="eastAsia" w:ascii="方正仿宋_GBK" w:hAnsi="方正仿宋_GBK" w:eastAsia="方正仿宋_GBK" w:cs="方正仿宋_GBK"/>
          <w:sz w:val="32"/>
          <w:szCs w:val="32"/>
        </w:rPr>
        <w:t>2021年度收入总计7,368.77万元，支出总计7,368.77万元。收支较上年决算数增加515.15万元、增长7.5%，主要原因是社会保障和就业支出等项目增加。</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2.收入情况。</w:t>
      </w:r>
      <w:r>
        <w:rPr>
          <w:rFonts w:hint="eastAsia" w:ascii="方正仿宋_GBK" w:hAnsi="方正仿宋_GBK" w:eastAsia="方正仿宋_GBK" w:cs="方正仿宋_GBK"/>
          <w:sz w:val="32"/>
          <w:szCs w:val="32"/>
        </w:rPr>
        <w:t>2021年度收入合计5,784.90万元，较上年决算数减少105.54万元，下降1.8%，主要原因是一般公共预算财政拨款减少。其中：财政拨款收入5,784.90万元，占100%。此外，年初结转和结余1,583.87万元。</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Style w:val="7"/>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3.支出情况。</w:t>
      </w:r>
      <w:r>
        <w:rPr>
          <w:rFonts w:hint="eastAsia" w:ascii="方正仿宋_GBK" w:hAnsi="方正仿宋_GBK" w:eastAsia="方正仿宋_GBK" w:cs="方正仿宋_GBK"/>
          <w:sz w:val="32"/>
          <w:szCs w:val="32"/>
        </w:rPr>
        <w:t>2021年度支出合计5,503.23万元，较上年决算数增加481.93万元，增长9.6%，主要原因是主要原因是社会保障和就业等项目支出增加。其中：基本支出1,747.47万元，占31.8%；项目支出3,755.76万元，占68.2%。</w:t>
      </w:r>
      <w:r>
        <w:rPr>
          <w:rStyle w:val="7"/>
          <w:rFonts w:hint="eastAsia" w:ascii="方正仿宋_GBK" w:hAnsi="方正仿宋_GBK" w:eastAsia="方正仿宋_GBK" w:cs="方正仿宋_GBK"/>
          <w:sz w:val="32"/>
          <w:szCs w:val="32"/>
        </w:rPr>
        <w:t> </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4.结转结余情况。</w:t>
      </w:r>
      <w:r>
        <w:rPr>
          <w:rFonts w:hint="eastAsia" w:ascii="方正仿宋_GBK" w:hAnsi="方正仿宋_GBK" w:eastAsia="方正仿宋_GBK" w:cs="方正仿宋_GBK"/>
          <w:sz w:val="32"/>
          <w:szCs w:val="32"/>
        </w:rPr>
        <w:t>2021年度年末结转和结余1,865.54万元，较上年决算数增加33.22万元，增长1.8%，主要原因是年初财政拨款结转和结余增加620万。</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2021年度财政拨款收、支总计7,368.77万元。与2020年相比，财政拨款收、支总计各增加515.15万元，增长7.5%。主要原因是卫生健康支出等项目增加。</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（三）一般公共预算财政拨款收入支出决算情况说明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1.收入情况。</w:t>
      </w:r>
      <w:r>
        <w:rPr>
          <w:rFonts w:hint="eastAsia" w:ascii="方正仿宋_GBK" w:hAnsi="方正仿宋_GBK" w:eastAsia="方正仿宋_GBK" w:cs="方正仿宋_GBK"/>
          <w:sz w:val="32"/>
          <w:szCs w:val="32"/>
        </w:rPr>
        <w:t>2021年度一般公共预算财政拨款收入4,551.58万元，较上年决算数减少87.34万元，下降1.9%。较年初预算数增加401.99万元，增长9.7%。主要原因是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增加一般公共预算项目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sz w:val="32"/>
          <w:szCs w:val="32"/>
        </w:rPr>
        <w:t>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91号人和街道莲花社区新建红肉脐橙园项目25</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2021</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105号号水毁河堤修复项目20</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26号人和街道莲花社区饮水工程14</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11号农村饮水工程维修养护项目10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18号陈大毛面业技改扩能项目陈大毛面业技改扩能项目110</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77号人和街道（大豆）精深加工生产线项目200</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19号人和街道长河村卢红纽赫尔种植园新建项目16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9</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元、云阳财农</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63号人和街道龙水村蔬菜基地质量提升建设项目54</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元、云阳财预</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4号公共卫生服务支出15</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元、云阳财预</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4号王本成救助补偿金76</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4300</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元、云阳财预</w:t>
      </w:r>
      <w:r>
        <w:rPr>
          <w:rFonts w:hint="eastAsia" w:ascii="方正仿宋_GBK" w:hAnsi="方正仿宋_GBK" w:eastAsia="方正仿宋_GBK" w:cs="方正仿宋_GBK"/>
          <w:sz w:val="32"/>
          <w:szCs w:val="32"/>
          <w:lang w:eastAsia="zh-CN"/>
        </w:rPr>
        <w:t>〔2021〕</w:t>
      </w:r>
      <w:r>
        <w:rPr>
          <w:rFonts w:hint="eastAsia" w:ascii="方正仿宋_GBK" w:hAnsi="方正仿宋_GBK" w:eastAsia="方正仿宋_GBK" w:cs="方正仿宋_GBK"/>
          <w:sz w:val="32"/>
          <w:szCs w:val="32"/>
        </w:rPr>
        <w:t>4号人居环境整治资金104</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sz w:val="32"/>
          <w:szCs w:val="32"/>
        </w:rPr>
        <w:t>此外，年初财政拨款结转和结余910.05万元。</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color w:val="FF0000"/>
          <w:sz w:val="32"/>
          <w:szCs w:val="32"/>
          <w:lang w:eastAsia="zh-CN"/>
        </w:rPr>
      </w:pPr>
      <w:r>
        <w:rPr>
          <w:rStyle w:val="7"/>
          <w:rFonts w:hint="eastAsia" w:ascii="方正仿宋_GBK" w:hAnsi="方正仿宋_GBK" w:eastAsia="方正仿宋_GBK" w:cs="方正仿宋_GBK"/>
          <w:sz w:val="32"/>
          <w:szCs w:val="32"/>
        </w:rPr>
        <w:t>2.支出情况。</w:t>
      </w:r>
      <w:r>
        <w:rPr>
          <w:rFonts w:hint="eastAsia" w:ascii="方正仿宋_GBK" w:hAnsi="方正仿宋_GBK" w:eastAsia="方正仿宋_GBK" w:cs="方正仿宋_GBK"/>
          <w:sz w:val="32"/>
          <w:szCs w:val="32"/>
        </w:rPr>
        <w:t>2021年度一般公共预算财政拨款支出4,399.26万元，较上年决算数增加49.58万元，增长1.1%。主要原因是人员增加、工资调标、项目拨款增加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较年初预算数减少730.09万元，下降14.2%。</w:t>
      </w:r>
      <w:r>
        <w:rPr>
          <w:rFonts w:hint="eastAsia" w:ascii="方正仿宋_GBK" w:hAnsi="方正仿宋_GBK" w:eastAsia="方正仿宋_GBK" w:cs="方正仿宋_GBK"/>
          <w:color w:val="000000" w:themeColor="text1"/>
          <w:sz w:val="32"/>
          <w:szCs w:val="32"/>
          <w14:textFill>
            <w14:solidFill>
              <w14:schemeClr w14:val="tx1"/>
            </w14:solidFill>
          </w14:textFill>
        </w:rPr>
        <w:t>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社会保障与就业支出、城乡社区支出、住房保障支出减少。</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lang w:val="en-US" w:eastAsia="zh-CN"/>
        </w:rPr>
      </w:pPr>
      <w:r>
        <w:rPr>
          <w:rStyle w:val="7"/>
          <w:rFonts w:hint="eastAsia" w:ascii="方正仿宋_GBK" w:hAnsi="方正仿宋_GBK" w:eastAsia="方正仿宋_GBK" w:cs="方正仿宋_GBK"/>
          <w:sz w:val="32"/>
          <w:szCs w:val="32"/>
        </w:rPr>
        <w:t>3.结转结余情况。</w:t>
      </w:r>
      <w:r>
        <w:rPr>
          <w:rFonts w:hint="eastAsia" w:ascii="方正仿宋_GBK" w:hAnsi="方正仿宋_GBK" w:eastAsia="方正仿宋_GBK" w:cs="方正仿宋_GBK"/>
          <w:sz w:val="32"/>
          <w:szCs w:val="32"/>
        </w:rPr>
        <w:t>2021年度年末一般公共预算财政拨款结转和结余1,062.37万元，较上年决算数增加82.61万元，增长8.4%，主要原因是20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年政府性基金项目增加</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4.比较情况。</w:t>
      </w:r>
      <w:r>
        <w:rPr>
          <w:rFonts w:hint="eastAsia" w:ascii="方正仿宋_GBK" w:hAnsi="方正仿宋_GBK" w:eastAsia="方正仿宋_GBK" w:cs="方正仿宋_GBK"/>
          <w:sz w:val="32"/>
          <w:szCs w:val="32"/>
        </w:rPr>
        <w:t xml:space="preserve">本部门2021年度一般公共预算财政拨款支出主要用于以下几个方面： </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（1）一般公共服务支出1,182.91万元，占26.9%，较年初预算数减少345.52万元，下降22.6%，主要原因是主要原因是严格控制一般支出，落实党中央“过紧日子”精神。</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）公共安全支出5.40万元，占0.1%，较年初预算数增加5.40万元，增长100%，主要原因是疫情防控支出增加。</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）文化旅游体育与传媒支出42.81万元，占1%，较年初预算数减少8.84万元，下降17.1%，主要原因是主要原因是节庆活动减少。</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）社会保障与就业支出2,061.35万元，占46.9%，较年初预算数减少559.21万元，下降21.3%</w:t>
      </w:r>
      <w:r>
        <w:rPr>
          <w:rFonts w:hint="eastAsia" w:ascii="方正仿宋_GBK" w:hAnsi="方正仿宋_GBK" w:eastAsia="方正仿宋_GBK" w:cs="方正仿宋_GBK"/>
          <w:sz w:val="32"/>
          <w:szCs w:val="32"/>
          <w:lang w:eastAsia="zh-CN"/>
        </w:rPr>
        <w:t>。</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）卫生健康支出115.45万元，占2.6%，较年初预算数减少5.53万元，下降4.6%，主要原因是在职人员退休导致医保缴费减少。</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）节能环保支出18.67万元，占0.4%，较年初预算数减少67.33万元，下降78.3%，主要原因是严格落实节能环保政策，建设节能型政府。</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）城乡社区支出32.79万元，占0.7%，较年初预算数减少25.57万元，下降43.78%</w:t>
      </w:r>
      <w:r>
        <w:rPr>
          <w:rFonts w:hint="eastAsia" w:ascii="方正仿宋_GBK" w:hAnsi="方正仿宋_GBK" w:eastAsia="方正仿宋_GBK" w:cs="方正仿宋_GBK"/>
          <w:sz w:val="32"/>
          <w:szCs w:val="32"/>
          <w:lang w:eastAsia="zh-CN"/>
        </w:rPr>
        <w:t>，主要原因是减少了农村环卫设施经费。</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）农林水支出787.21万元，占17.9%，较年初预算数增加374.91万元，增长90.93%，主要原因是产业园机耕道、人行便道等项目支出增加。</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）交通运输支出20.18万元，占0.5%，较年初预算数减少23.87万元，下降54.2%，主要原因是在职人员绩效水平降低。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）住房保障支出74.34万元，占1.7%，较年初预算数减少20.68万元，下降21.8%，主要原因是</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人员变动减少住房公积金。</w:t>
      </w:r>
      <w:r>
        <w:rPr>
          <w:rFonts w:hint="eastAsia" w:ascii="方正仿宋_GBK" w:hAnsi="方正仿宋_GBK" w:eastAsia="方正仿宋_GBK" w:cs="方正仿宋_GBK"/>
          <w:sz w:val="32"/>
          <w:szCs w:val="32"/>
        </w:rPr>
        <w:t> </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）灾害防治及应急管理支出52.89万元，占1.2%，较年初预算数减少43.11万元，下降44.9%，主要原因是汛灾较往年减少。</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一般公共财政拨款基本支出1,747.47万元。其中：人员经费1,466.87万元，较上年决算数增加16.12万元，增长1.1%，主要原因是人员工资调资、追加退休人员一次性退休补助等。人员经费用途主要包括基本工资、津贴补贴、奖金、对个人和家庭补助、社会保障缴费、卫生健康支出、住房保障支出。公用经费280.61万元，较上年决算数减少203.16万元，下降42%，主要原因是节约开支，严控支出。公用经费用途主要包括办公费、差旅费、邮电费、物管费、其他交通费。</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（五）政府性基金预算收支决算情况说明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政府性基金预算财政拨款年初结转结余673.81万元，年末结转结余803.17万元。本年收入1,233.32万元，较上年决算数减少18.21万元，下降1.5%，主要原因是城乡社区等项目收入减少。本年支出1,103.97万元，较上年决算数增加432.35万元，增长64.4%，主要原因是城乡社区等项目支出增加。</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（六）国有资本经营预算财政拨款支出决算情况说明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本部门2021年度无国有资本经营预算财政拨款支出。</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三、“三公”经费情况说明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（一）“三公”经费支出总体情况说明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三公”经费支出共计3.75万元，较年初预算数减少6.25万元，下降62.5%，，较上年支出数减少3.51万元，下降48.3%，主要原因一是严格落实公车使用规定，严禁公车私用，公车运行维护成本大幅下降；二是本单位2021年度未发生公务接待支出。</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（二）“三公”经费分项支出情况</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2021年度本部门无因公出国（境）活动。</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2021年度无公务用车购置。</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3.75万元，主要用于主要用于执法执勤用车县内因公出行、下村检查等工作所需车辆的燃料费、维修费、保险费等。费用支出较年初预算数减少6.25万元，下降62.5%，较上年支出数减少1.82万元，下降32.7%，主要原因是严格落实公车使用规定，严禁公车私用，公车运行维护成本大幅下降。</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2021年度本部门无公务接待活动。</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（三）“三公”经费实物量情况</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因公出国（境）共计0个团组，0人；公务用车购置0辆，公务车保有量为1辆；国内公务接待0批次0人，其中：国内外事接待0批次，0人；国（境）外公务接待0批次，0人。2021年本部门人均接待费0.00元，车均购置费0.00万元，车均维护费3.75万元。</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四、其他需要说明的事项</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（一）一般公共预算财政拨款会议费和培训费情况说明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本年度会议费支出8.99万元，较上年决算数减少23.21万元，下降72.1%；本年度培训费支出3.12万元，较上年决算数减少2.93万元，下降48.4%，主要原因是认真贯彻落实中央</w:t>
      </w:r>
      <w:bookmarkStart w:id="0" w:name="_GoBack"/>
      <w:r>
        <w:rPr>
          <w:rFonts w:hint="eastAsia" w:ascii="方正仿宋_GBK" w:hAnsi="方正仿宋_GBK" w:eastAsia="方正仿宋_GBK" w:cs="方正仿宋_GBK"/>
          <w:sz w:val="32"/>
          <w:szCs w:val="32"/>
        </w:rPr>
        <w:t>八项</w:t>
      </w:r>
      <w:bookmarkEnd w:id="0"/>
      <w:r>
        <w:rPr>
          <w:rFonts w:hint="eastAsia" w:ascii="方正仿宋_GBK" w:hAnsi="方正仿宋_GBK" w:eastAsia="方正仿宋_GBK" w:cs="方正仿宋_GBK"/>
          <w:sz w:val="32"/>
          <w:szCs w:val="32"/>
        </w:rPr>
        <w:t>规定精神，精简会议及培训活动。</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（二）机关运行经费情况说明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度本部门机关运行经费支出280.00万元，机关运行经费主要用于开支办公费、差旅费、邮电费、物管费、其他交通费支出。机关运行经费较上年决算数减少203.77万元，下降42.1%，主要原因是节约开支，严控支出。</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（三）国有资产占用情况说明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截至2021年12月31日，本部门共有车辆1辆，其中，应急保障用车1辆。</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（四）政府采购支出情况说明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2021年度我单位未发生政府采购事项，无相关经费支出。</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五、预算绩效管理情况说明</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Style w:val="7"/>
          <w:rFonts w:hint="eastAsia"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（一）预算绩效管理工作开展情况</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根据预算绩效管理要求，我街道对</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个项目开展了绩效自评，涉及金额</w:t>
      </w:r>
      <w:r>
        <w:rPr>
          <w:rFonts w:hint="eastAsia" w:ascii="方正仿宋_GBK" w:hAnsi="方正仿宋_GBK" w:eastAsia="方正仿宋_GBK" w:cs="方正仿宋_GBK"/>
          <w:sz w:val="32"/>
          <w:szCs w:val="32"/>
          <w:lang w:val="en-US" w:eastAsia="zh-CN"/>
        </w:rPr>
        <w:t>495.9</w:t>
      </w:r>
      <w:r>
        <w:rPr>
          <w:rFonts w:hint="eastAsia" w:ascii="方正仿宋_GBK" w:hAnsi="方正仿宋_GBK" w:eastAsia="方正仿宋_GBK" w:cs="方正仿宋_GBK"/>
          <w:sz w:val="32"/>
          <w:szCs w:val="32"/>
        </w:rPr>
        <w:t>万元，其中，以填报目标自评表形式开展自评1项，涉及资金</w:t>
      </w:r>
      <w:r>
        <w:rPr>
          <w:rFonts w:hint="eastAsia" w:ascii="方正仿宋_GBK" w:hAnsi="方正仿宋_GBK" w:eastAsia="方正仿宋_GBK" w:cs="方正仿宋_GBK"/>
          <w:sz w:val="32"/>
          <w:szCs w:val="32"/>
          <w:lang w:val="en-US" w:eastAsia="zh-CN"/>
        </w:rPr>
        <w:t>495.9</w:t>
      </w:r>
      <w:r>
        <w:rPr>
          <w:rFonts w:hint="eastAsia" w:ascii="方正仿宋_GBK" w:hAnsi="方正仿宋_GBK" w:eastAsia="方正仿宋_GBK" w:cs="方正仿宋_GBK"/>
          <w:sz w:val="32"/>
          <w:szCs w:val="32"/>
        </w:rPr>
        <w:t>万元。从评价情况来看，我街道以绩效目标实现为导向，加强制度建设，提升自评质量，上述</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个项目均得到了有效实施，发挥了财政资金使用效益。</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绩效自评结果（农业项目支出绩效自评表）</w:t>
      </w:r>
    </w:p>
    <w:p>
      <w:pPr>
        <w:keepNext w:val="0"/>
        <w:keepLines w:val="0"/>
        <w:pageBreakBefore w:val="0"/>
        <w:widowControl/>
        <w:kinsoku/>
        <w:overflowPunct/>
        <w:topLinePunct w:val="0"/>
        <w:autoSpaceDE/>
        <w:autoSpaceDN/>
        <w:bidi w:val="0"/>
        <w:adjustRightInd/>
        <w:snapToGrid/>
        <w:spacing w:beforeAutospacing="0" w:afterAutospacing="0" w:line="578" w:lineRule="exact"/>
        <w:ind w:firstLine="640" w:firstLineChars="200"/>
        <w:rPr>
          <w:rFonts w:hint="eastAsia" w:ascii="方正仿宋_GBK" w:hAnsi="方正仿宋_GBK" w:eastAsia="方正仿宋_GBK" w:cs="方正仿宋_GBK"/>
          <w:sz w:val="32"/>
          <w:szCs w:val="32"/>
        </w:rPr>
      </w:pP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jc w:val="center"/>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云阳县人和街道办事处项目支出绩效自评表</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jc w:val="center"/>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（2021年度）</w:t>
      </w:r>
    </w:p>
    <w:tbl>
      <w:tblPr>
        <w:tblStyle w:val="5"/>
        <w:tblW w:w="851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541"/>
        <w:gridCol w:w="857"/>
        <w:gridCol w:w="995"/>
        <w:gridCol w:w="650"/>
        <w:gridCol w:w="975"/>
        <w:gridCol w:w="212"/>
        <w:gridCol w:w="781"/>
        <w:gridCol w:w="771"/>
        <w:gridCol w:w="255"/>
        <w:gridCol w:w="352"/>
        <w:gridCol w:w="520"/>
        <w:gridCol w:w="208"/>
        <w:gridCol w:w="527"/>
        <w:gridCol w:w="87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1398"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项目名称</w:t>
            </w:r>
          </w:p>
        </w:tc>
        <w:tc>
          <w:tcPr>
            <w:tcW w:w="7118" w:type="dxa"/>
            <w:gridSpan w:val="1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textAlignment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云阳县2021年人和街道莲花社区新建红肉脐橙园项目等</w:t>
            </w:r>
            <w:r>
              <w:rPr>
                <w:rFonts w:hint="eastAsia" w:ascii="方正仿宋_GBK" w:hAnsi="方正仿宋_GBK" w:eastAsia="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个项目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主管部门</w:t>
            </w:r>
          </w:p>
        </w:tc>
        <w:tc>
          <w:tcPr>
            <w:tcW w:w="3613"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云阳县农业农村发展委员会</w:t>
            </w: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实施单位</w:t>
            </w:r>
          </w:p>
        </w:tc>
        <w:tc>
          <w:tcPr>
            <w:tcW w:w="2479"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云阳县人和街道办事处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项目资金</w:t>
            </w:r>
            <w:r>
              <w:rPr>
                <w:rFonts w:hint="eastAsia" w:ascii="方正仿宋_GBK" w:hAnsi="方正仿宋_GBK" w:eastAsia="方正仿宋_GBK" w:cs="方正仿宋_GBK"/>
                <w:color w:val="333333"/>
                <w:sz w:val="32"/>
                <w:szCs w:val="32"/>
              </w:rPr>
              <w:br w:type="textWrapping"/>
            </w:r>
            <w:r>
              <w:rPr>
                <w:rFonts w:hint="eastAsia" w:ascii="方正仿宋_GBK" w:hAnsi="方正仿宋_GBK" w:eastAsia="方正仿宋_GBK" w:cs="方正仿宋_GBK"/>
                <w:color w:val="333333"/>
                <w:sz w:val="32"/>
                <w:szCs w:val="32"/>
              </w:rPr>
              <w:t>（万元）</w:t>
            </w:r>
          </w:p>
        </w:tc>
        <w:tc>
          <w:tcPr>
            <w:tcW w:w="164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年初预算数</w:t>
            </w:r>
          </w:p>
        </w:tc>
        <w:tc>
          <w:tcPr>
            <w:tcW w:w="99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全年预算数</w:t>
            </w: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全年执行数</w:t>
            </w:r>
          </w:p>
        </w:tc>
        <w:tc>
          <w:tcPr>
            <w:tcW w:w="87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分值</w:t>
            </w:r>
          </w:p>
        </w:tc>
        <w:tc>
          <w:tcPr>
            <w:tcW w:w="73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执行率</w:t>
            </w:r>
          </w:p>
        </w:tc>
        <w:tc>
          <w:tcPr>
            <w:tcW w:w="87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64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年度资金总额</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2"/>
                <w:szCs w:val="32"/>
                <w:lang w:val="en-US" w:eastAsia="zh-CN"/>
              </w:rPr>
              <w:t>495.9</w:t>
            </w:r>
          </w:p>
        </w:tc>
        <w:tc>
          <w:tcPr>
            <w:tcW w:w="99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2"/>
                <w:szCs w:val="32"/>
                <w:lang w:val="en-US" w:eastAsia="zh-CN"/>
              </w:rPr>
              <w:t>495.9</w:t>
            </w: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333333"/>
                <w:sz w:val="32"/>
                <w:szCs w:val="32"/>
                <w:lang w:val="en-US" w:eastAsia="zh-CN"/>
              </w:rPr>
              <w:t>481.4</w:t>
            </w:r>
          </w:p>
        </w:tc>
        <w:tc>
          <w:tcPr>
            <w:tcW w:w="87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73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97%</w:t>
            </w:r>
          </w:p>
        </w:tc>
        <w:tc>
          <w:tcPr>
            <w:tcW w:w="87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64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其中：当年财政拨款</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lang w:val="en-US" w:eastAsia="zh-CN"/>
              </w:rPr>
              <w:t>495.9</w:t>
            </w:r>
          </w:p>
        </w:tc>
        <w:tc>
          <w:tcPr>
            <w:tcW w:w="99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lang w:val="en-US" w:eastAsia="zh-CN"/>
              </w:rPr>
              <w:t>495.9</w:t>
            </w: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lang w:val="en-US" w:eastAsia="zh-CN"/>
              </w:rPr>
              <w:t>481.4</w:t>
            </w:r>
          </w:p>
        </w:tc>
        <w:tc>
          <w:tcPr>
            <w:tcW w:w="87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c>
          <w:tcPr>
            <w:tcW w:w="73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87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64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     上年结转资金</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7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c>
          <w:tcPr>
            <w:tcW w:w="73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7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398" w:type="dxa"/>
            <w:gridSpan w:val="2"/>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64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 其他资金</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3"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02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72"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c>
          <w:tcPr>
            <w:tcW w:w="73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7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541"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年度总体目标</w:t>
            </w:r>
          </w:p>
        </w:tc>
        <w:tc>
          <w:tcPr>
            <w:tcW w:w="4470"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预期目标</w:t>
            </w:r>
          </w:p>
        </w:tc>
        <w:tc>
          <w:tcPr>
            <w:tcW w:w="3505"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10" w:hRule="atLeast"/>
          <w:jc w:val="center"/>
        </w:trPr>
        <w:tc>
          <w:tcPr>
            <w:tcW w:w="541"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4470"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农业项目得到实施</w:t>
            </w:r>
          </w:p>
        </w:tc>
        <w:tc>
          <w:tcPr>
            <w:tcW w:w="3505"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完成</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541" w:type="dxa"/>
            <w:vMerge w:val="restart"/>
            <w:tcBorders>
              <w:top w:val="nil"/>
              <w:left w:val="single" w:color="auto" w:sz="6" w:space="0"/>
              <w:bottom w:val="nil"/>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绩</w:t>
            </w:r>
            <w:r>
              <w:rPr>
                <w:rFonts w:hint="eastAsia" w:ascii="方正仿宋_GBK" w:hAnsi="方正仿宋_GBK" w:eastAsia="方正仿宋_GBK" w:cs="方正仿宋_GBK"/>
                <w:color w:val="333333"/>
                <w:sz w:val="32"/>
                <w:szCs w:val="32"/>
              </w:rPr>
              <w:br w:type="textWrapping"/>
            </w:r>
            <w:r>
              <w:rPr>
                <w:rFonts w:hint="eastAsia" w:ascii="方正仿宋_GBK" w:hAnsi="方正仿宋_GBK" w:eastAsia="方正仿宋_GBK" w:cs="方正仿宋_GBK"/>
                <w:color w:val="333333"/>
                <w:sz w:val="32"/>
                <w:szCs w:val="32"/>
              </w:rPr>
              <w:t>效</w:t>
            </w:r>
            <w:r>
              <w:rPr>
                <w:rFonts w:hint="eastAsia" w:ascii="方正仿宋_GBK" w:hAnsi="方正仿宋_GBK" w:eastAsia="方正仿宋_GBK" w:cs="方正仿宋_GBK"/>
                <w:color w:val="333333"/>
                <w:sz w:val="32"/>
                <w:szCs w:val="32"/>
              </w:rPr>
              <w:br w:type="textWrapping"/>
            </w:r>
            <w:r>
              <w:rPr>
                <w:rFonts w:hint="eastAsia" w:ascii="方正仿宋_GBK" w:hAnsi="方正仿宋_GBK" w:eastAsia="方正仿宋_GBK" w:cs="方正仿宋_GBK"/>
                <w:color w:val="333333"/>
                <w:sz w:val="32"/>
                <w:szCs w:val="32"/>
              </w:rPr>
              <w:t>指</w:t>
            </w:r>
            <w:r>
              <w:rPr>
                <w:rFonts w:hint="eastAsia" w:ascii="方正仿宋_GBK" w:hAnsi="方正仿宋_GBK" w:eastAsia="方正仿宋_GBK" w:cs="方正仿宋_GBK"/>
                <w:color w:val="333333"/>
                <w:sz w:val="32"/>
                <w:szCs w:val="32"/>
              </w:rPr>
              <w:br w:type="textWrapping"/>
            </w:r>
            <w:r>
              <w:rPr>
                <w:rFonts w:hint="eastAsia" w:ascii="方正仿宋_GBK" w:hAnsi="方正仿宋_GBK" w:eastAsia="方正仿宋_GBK" w:cs="方正仿宋_GBK"/>
                <w:color w:val="333333"/>
                <w:sz w:val="32"/>
                <w:szCs w:val="32"/>
              </w:rPr>
              <w:t>标</w:t>
            </w:r>
          </w:p>
        </w:tc>
        <w:tc>
          <w:tcPr>
            <w:tcW w:w="85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一级指标</w:t>
            </w: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二级指标</w:t>
            </w:r>
          </w:p>
        </w:tc>
        <w:tc>
          <w:tcPr>
            <w:tcW w:w="1837"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三级指标</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年度</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指标值</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实际</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完成值</w:t>
            </w:r>
          </w:p>
        </w:tc>
        <w:tc>
          <w:tcPr>
            <w:tcW w:w="6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分值</w:t>
            </w: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得分</w:t>
            </w:r>
          </w:p>
        </w:tc>
        <w:tc>
          <w:tcPr>
            <w:tcW w:w="1399"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产出指标</w:t>
            </w: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数量指标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指标1：新建改建项目数量</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val="en-US" w:eastAsia="zh-CN"/>
              </w:rPr>
              <w:t>4</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tabs>
                <w:tab w:val="left" w:pos="515"/>
              </w:tabs>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607"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60</w:t>
            </w: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质量指标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指标1：工程质量</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合格</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合格</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指标2：工程进度完工</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时效指标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指标1：工程拨款及时率</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≧97%</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≧97%</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15</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成本指标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指标1：柑橘管护补助标准</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≧44元/亩</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20"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效益指标</w:t>
            </w: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经济效益</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指标1：带动增加脱贫人口全年总收入</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≧1万元</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≧96%</w:t>
            </w:r>
          </w:p>
        </w:tc>
        <w:tc>
          <w:tcPr>
            <w:tcW w:w="607"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30</w:t>
            </w: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4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社会效益</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指标1：受益脱贫人口数</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≧5人</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可持续影响指标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指标1：项目存续期限</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≧1年</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≧98%</w:t>
            </w:r>
          </w:p>
        </w:tc>
        <w:tc>
          <w:tcPr>
            <w:tcW w:w="607"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541" w:type="dxa"/>
            <w:vMerge w:val="continue"/>
            <w:tcBorders>
              <w:top w:val="nil"/>
              <w:left w:val="single" w:color="auto" w:sz="6" w:space="0"/>
              <w:bottom w:val="nil"/>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c>
          <w:tcPr>
            <w:tcW w:w="85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满意度</w:t>
            </w:r>
          </w:p>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w:t>
            </w:r>
          </w:p>
        </w:tc>
        <w:tc>
          <w:tcPr>
            <w:tcW w:w="9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服务对象满意度指标</w:t>
            </w:r>
          </w:p>
        </w:tc>
        <w:tc>
          <w:tcPr>
            <w:tcW w:w="1837"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指标1：援助对象满意度</w:t>
            </w:r>
          </w:p>
        </w:tc>
        <w:tc>
          <w:tcPr>
            <w:tcW w:w="78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≧98%</w:t>
            </w:r>
          </w:p>
        </w:tc>
        <w:tc>
          <w:tcPr>
            <w:tcW w:w="771"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≧98%</w:t>
            </w:r>
          </w:p>
        </w:tc>
        <w:tc>
          <w:tcPr>
            <w:tcW w:w="6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5782" w:type="dxa"/>
            <w:gridSpan w:val="8"/>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 总分</w:t>
            </w:r>
          </w:p>
        </w:tc>
        <w:tc>
          <w:tcPr>
            <w:tcW w:w="60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100</w:t>
            </w:r>
          </w:p>
        </w:tc>
        <w:tc>
          <w:tcPr>
            <w:tcW w:w="72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0"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95</w:t>
            </w:r>
          </w:p>
        </w:tc>
        <w:tc>
          <w:tcPr>
            <w:tcW w:w="1399"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00" w:lineRule="exact"/>
              <w:ind w:firstLine="0" w:firstLineChars="0"/>
              <w:rPr>
                <w:rFonts w:hint="eastAsia" w:ascii="方正仿宋_GBK" w:hAnsi="方正仿宋_GBK" w:eastAsia="方正仿宋_GBK" w:cs="方正仿宋_GBK"/>
                <w:color w:val="333333"/>
                <w:sz w:val="32"/>
                <w:szCs w:val="32"/>
              </w:rPr>
            </w:pPr>
          </w:p>
        </w:tc>
      </w:tr>
    </w:tbl>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00" w:lineRule="exact"/>
        <w:ind w:firstLine="0" w:firstLineChars="0"/>
        <w:rPr>
          <w:rStyle w:val="7"/>
          <w:rFonts w:hint="eastAsia" w:ascii="方正仿宋_GBK" w:hAnsi="方正仿宋_GBK" w:eastAsia="方正仿宋_GBK" w:cs="方正仿宋_GBK"/>
          <w:sz w:val="32"/>
          <w:szCs w:val="32"/>
        </w:rPr>
      </w:pP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00" w:lineRule="exact"/>
        <w:ind w:firstLine="0" w:firstLineChars="0"/>
        <w:rPr>
          <w:rStyle w:val="7"/>
          <w:rFonts w:hint="eastAsia" w:ascii="方正仿宋_GBK" w:hAnsi="方正仿宋_GBK" w:eastAsia="方正仿宋_GBK" w:cs="方正仿宋_GBK"/>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0" w:firstLineChars="0"/>
        <w:textAlignment w:val="auto"/>
        <w:rPr>
          <w:rStyle w:val="7"/>
          <w:rFonts w:hint="eastAsia" w:ascii="方正仿宋_GBK" w:hAnsi="方正仿宋_GBK" w:eastAsia="方正仿宋_GBK" w:cs="方正仿宋_GBK"/>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六、专业名词解释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3" w:firstLineChars="200"/>
        <w:textAlignment w:val="auto"/>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3" w:firstLineChars="200"/>
        <w:rPr>
          <w:rFonts w:hint="eastAsia" w:ascii="方正仿宋_GBK" w:hAnsi="方正仿宋_GBK" w:eastAsia="方正仿宋_GBK" w:cs="方正仿宋_GBK"/>
          <w:sz w:val="32"/>
          <w:szCs w:val="32"/>
        </w:rPr>
      </w:pPr>
      <w:r>
        <w:rPr>
          <w:rStyle w:val="7"/>
          <w:rFonts w:hint="eastAsia" w:ascii="方正仿宋_GBK" w:hAnsi="方正仿宋_GBK" w:eastAsia="方正仿宋_GBK" w:cs="方正仿宋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8" w:lineRule="exact"/>
        <w:ind w:firstLine="640" w:firstLineChars="200"/>
        <w:textAlignment w:val="auto"/>
        <w:rPr>
          <w:rStyle w:val="7"/>
          <w:rFonts w:hint="eastAsia"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七、决算公开联系方式及信息反馈渠道</w:t>
      </w:r>
    </w:p>
    <w:p>
      <w:pPr>
        <w:pStyle w:val="4"/>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7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本单位决算公开信息反馈和联系方式：023-55507001。</w:t>
      </w:r>
    </w:p>
    <w:sectPr>
      <w:footerReference r:id="rId3" w:type="default"/>
      <w:pgSz w:w="11907" w:h="16840"/>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s>
  <w:rsids>
    <w:rsidRoot w:val="00C616FB"/>
    <w:rsid w:val="00103897"/>
    <w:rsid w:val="00113F98"/>
    <w:rsid w:val="00163554"/>
    <w:rsid w:val="002C1CDC"/>
    <w:rsid w:val="00406164"/>
    <w:rsid w:val="0041279E"/>
    <w:rsid w:val="004216BE"/>
    <w:rsid w:val="005A1705"/>
    <w:rsid w:val="006459E7"/>
    <w:rsid w:val="0075582E"/>
    <w:rsid w:val="00791C46"/>
    <w:rsid w:val="007E066D"/>
    <w:rsid w:val="00882282"/>
    <w:rsid w:val="00B33F7A"/>
    <w:rsid w:val="00B75F3A"/>
    <w:rsid w:val="00C528D3"/>
    <w:rsid w:val="00C616FB"/>
    <w:rsid w:val="00D678D5"/>
    <w:rsid w:val="00DD4D07"/>
    <w:rsid w:val="00E061BA"/>
    <w:rsid w:val="00E07A1A"/>
    <w:rsid w:val="00E20D47"/>
    <w:rsid w:val="00E51401"/>
    <w:rsid w:val="00FD21BC"/>
    <w:rsid w:val="01730582"/>
    <w:rsid w:val="02D768EE"/>
    <w:rsid w:val="05874E19"/>
    <w:rsid w:val="05D709B3"/>
    <w:rsid w:val="07CD02C0"/>
    <w:rsid w:val="098238B8"/>
    <w:rsid w:val="0A193C90"/>
    <w:rsid w:val="0ADB0F46"/>
    <w:rsid w:val="0AFC4C4D"/>
    <w:rsid w:val="0B154457"/>
    <w:rsid w:val="0C7927C4"/>
    <w:rsid w:val="0E6D0107"/>
    <w:rsid w:val="0F753717"/>
    <w:rsid w:val="10460E18"/>
    <w:rsid w:val="142E0338"/>
    <w:rsid w:val="15DB629E"/>
    <w:rsid w:val="17EC6540"/>
    <w:rsid w:val="19440AAA"/>
    <w:rsid w:val="1C9A6126"/>
    <w:rsid w:val="1CD001DE"/>
    <w:rsid w:val="20DB11AA"/>
    <w:rsid w:val="21681312"/>
    <w:rsid w:val="237044C9"/>
    <w:rsid w:val="290A0F1C"/>
    <w:rsid w:val="29267861"/>
    <w:rsid w:val="2AAD7DB1"/>
    <w:rsid w:val="2DD1025A"/>
    <w:rsid w:val="32340DB8"/>
    <w:rsid w:val="33570C83"/>
    <w:rsid w:val="3B36794F"/>
    <w:rsid w:val="3E9C21BE"/>
    <w:rsid w:val="3FCB2D5B"/>
    <w:rsid w:val="417A7AAF"/>
    <w:rsid w:val="46902609"/>
    <w:rsid w:val="480212E4"/>
    <w:rsid w:val="48EE1869"/>
    <w:rsid w:val="4A3B288C"/>
    <w:rsid w:val="4B72439F"/>
    <w:rsid w:val="4C3A079A"/>
    <w:rsid w:val="4E2B2C17"/>
    <w:rsid w:val="4F195165"/>
    <w:rsid w:val="50574197"/>
    <w:rsid w:val="519C4558"/>
    <w:rsid w:val="52A15B9E"/>
    <w:rsid w:val="550F6DEF"/>
    <w:rsid w:val="55CB540B"/>
    <w:rsid w:val="59FB2037"/>
    <w:rsid w:val="5B0A0784"/>
    <w:rsid w:val="5C182A2D"/>
    <w:rsid w:val="5C5A1297"/>
    <w:rsid w:val="611C2FBF"/>
    <w:rsid w:val="64FA2810"/>
    <w:rsid w:val="665C3E5E"/>
    <w:rsid w:val="66B544EF"/>
    <w:rsid w:val="66E63727"/>
    <w:rsid w:val="67A930D3"/>
    <w:rsid w:val="6C5D448C"/>
    <w:rsid w:val="6FA50623"/>
    <w:rsid w:val="70B7181E"/>
    <w:rsid w:val="71241A1C"/>
    <w:rsid w:val="72D51220"/>
    <w:rsid w:val="73EB05CF"/>
    <w:rsid w:val="74AE1D28"/>
    <w:rsid w:val="74C84BEC"/>
    <w:rsid w:val="75C458AB"/>
    <w:rsid w:val="774424D0"/>
    <w:rsid w:val="77514BED"/>
    <w:rsid w:val="7A150154"/>
    <w:rsid w:val="7A4D3D91"/>
    <w:rsid w:val="7AF1296F"/>
    <w:rsid w:val="7C7C095E"/>
    <w:rsid w:val="7CF130FA"/>
    <w:rsid w:val="7D00333D"/>
    <w:rsid w:val="7D4E40A8"/>
    <w:rsid w:val="7DEE7639"/>
    <w:rsid w:val="7FF6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qFormat/>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5659</Words>
  <Characters>6429</Characters>
  <Lines>10</Lines>
  <Paragraphs>13</Paragraphs>
  <TotalTime>2</TotalTime>
  <ScaleCrop>false</ScaleCrop>
  <LinksUpToDate>false</LinksUpToDate>
  <CharactersWithSpaces>6435</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2022-10-12T01:33:00Z</dcterms:created>
  <dc:creator>asus</dc:creator>
  <cp:lastModifiedBy>张西西</cp:lastModifiedBy>
  <dcterms:modified xsi:type="dcterms:W3CDTF">2023-07-11T08:51:57Z</dcterms:modified>
  <dc:title>公开报告模板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07E519A84AB444E98216D68DFC406FAD</vt:lpwstr>
  </property>
</Properties>
</file>