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892"/>
        </w:tabs>
        <w:kinsoku/>
        <w:wordWrap/>
        <w:overflowPunct/>
        <w:topLinePunct w:val="0"/>
        <w:autoSpaceDE/>
        <w:autoSpaceDN/>
        <w:bidi w:val="0"/>
        <w:adjustRightInd/>
        <w:snapToGrid/>
        <w:spacing w:beforeAutospacing="0" w:afterAutospacing="0" w:line="578" w:lineRule="exact"/>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云阳县盘龙街道文化服务中心</w:t>
      </w:r>
    </w:p>
    <w:p>
      <w:pPr>
        <w:keepNext w:val="0"/>
        <w:keepLines w:val="0"/>
        <w:pageBreakBefore w:val="0"/>
        <w:widowControl w:val="0"/>
        <w:tabs>
          <w:tab w:val="left" w:pos="5892"/>
        </w:tabs>
        <w:kinsoku/>
        <w:wordWrap/>
        <w:overflowPunct/>
        <w:topLinePunct w:val="0"/>
        <w:autoSpaceDE/>
        <w:autoSpaceDN/>
        <w:bidi w:val="0"/>
        <w:adjustRightInd/>
        <w:snapToGrid/>
        <w:spacing w:beforeAutospacing="0" w:afterAutospacing="0" w:line="578"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Times New Roman" w:hAnsi="Times New Roman" w:eastAsia="方正仿宋_GBK" w:cs="Times New Roman"/>
          <w:kern w:val="0"/>
          <w:sz w:val="44"/>
          <w:szCs w:val="44"/>
          <w:lang w:val="en-US" w:eastAsia="zh-CN" w:bidi="ar-SA"/>
        </w:rPr>
        <w:t>2022</w:t>
      </w:r>
      <w:r>
        <w:rPr>
          <w:rFonts w:hint="eastAsia" w:ascii="方正小标宋_GBK" w:hAnsi="方正小标宋_GBK" w:eastAsia="方正小标宋_GBK" w:cs="方正小标宋_GBK"/>
          <w:sz w:val="44"/>
          <w:szCs w:val="44"/>
        </w:rPr>
        <w:t>年度部门决算公开说明</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2" w:firstLineChars="200"/>
        <w:jc w:val="center"/>
        <w:textAlignment w:val="auto"/>
        <w:rPr>
          <w:rStyle w:val="7"/>
          <w:rFonts w:hint="eastAsia" w:ascii="方正仿宋_GBK" w:hAnsi="方正仿宋_GBK" w:eastAsia="方正仿宋_GBK" w:cs="方正仿宋_GBK"/>
          <w:sz w:val="32"/>
          <w:szCs w:val="32"/>
          <w:shd w:val="clear" w:fill="FFFFFF"/>
          <w:lang w:eastAsia="zh-CN"/>
        </w:rPr>
      </w:pP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eastAsia" w:ascii="方正黑体_GBK" w:hAnsi="方正黑体_GBK" w:eastAsia="方正黑体_GBK" w:cs="方正黑体_GBK"/>
          <w:b w:val="0"/>
          <w:bCs/>
          <w:sz w:val="32"/>
          <w:szCs w:val="32"/>
        </w:rPr>
      </w:pPr>
      <w:r>
        <w:rPr>
          <w:rStyle w:val="7"/>
          <w:rFonts w:hint="eastAsia" w:ascii="方正黑体_GBK" w:hAnsi="方正黑体_GBK" w:eastAsia="方正黑体_GBK" w:cs="方正黑体_GBK"/>
          <w:b w:val="0"/>
          <w:bCs/>
          <w:sz w:val="32"/>
          <w:szCs w:val="32"/>
          <w:shd w:val="clear" w:fill="FFFFFF"/>
          <w:lang w:eastAsia="zh-CN"/>
        </w:rPr>
        <w:t>一、部门基本情况</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eastAsia" w:ascii="方正楷体_GBK" w:hAnsi="方正楷体_GBK" w:eastAsia="方正楷体_GBK" w:cs="方正楷体_GBK"/>
          <w:b w:val="0"/>
          <w:bCs/>
          <w:sz w:val="32"/>
          <w:szCs w:val="32"/>
        </w:rPr>
      </w:pPr>
      <w:r>
        <w:rPr>
          <w:rStyle w:val="7"/>
          <w:rFonts w:hint="eastAsia" w:ascii="方正楷体_GBK" w:hAnsi="方正楷体_GBK" w:eastAsia="方正楷体_GBK" w:cs="方正楷体_GBK"/>
          <w:b w:val="0"/>
          <w:bCs/>
          <w:sz w:val="32"/>
          <w:szCs w:val="32"/>
          <w:shd w:val="clear" w:fill="FFFFFF"/>
          <w:lang w:eastAsia="zh-CN"/>
        </w:rPr>
        <w:t>（一）职能职责</w:t>
      </w:r>
    </w:p>
    <w:p>
      <w:pPr>
        <w:keepNext w:val="0"/>
        <w:keepLines w:val="0"/>
        <w:pageBreakBefore w:val="0"/>
        <w:kinsoku/>
        <w:wordWrap/>
        <w:overflowPunct/>
        <w:topLinePunct w:val="0"/>
        <w:autoSpaceDE/>
        <w:autoSpaceDN/>
        <w:bidi w:val="0"/>
        <w:adjustRightInd/>
        <w:spacing w:beforeAutospacing="0" w:afterAutospacing="0" w:line="578"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rPr>
        <w:t>负责文化、宣传、广播电视、体育、科技培训等方面服务工作；负责宣传文化体育阵地建设；负责组织开展文化娱乐和体育健身活动；负责辖区内文艺社团交流活动；负责民族民间非物质文化遗产搜集、整理、保护工作；负责辖区旅游资源普查、规划、整合、开发和相关保护工作；负责辖区内广播电视、电台节目的有关服务工作。</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eastAsia" w:ascii="方正黑体_GBK" w:hAnsi="方正黑体_GBK" w:eastAsia="方正黑体_GBK" w:cs="方正黑体_GBK"/>
          <w:b w:val="0"/>
          <w:bCs/>
          <w:sz w:val="32"/>
          <w:szCs w:val="32"/>
        </w:rPr>
      </w:pPr>
      <w:r>
        <w:rPr>
          <w:rStyle w:val="7"/>
          <w:rFonts w:hint="eastAsia" w:ascii="方正黑体_GBK" w:hAnsi="方正黑体_GBK" w:eastAsia="方正黑体_GBK" w:cs="方正黑体_GBK"/>
          <w:b w:val="0"/>
          <w:bCs/>
          <w:sz w:val="32"/>
          <w:szCs w:val="32"/>
          <w:shd w:val="clear" w:fill="FFFFFF"/>
          <w:lang w:eastAsia="zh-CN"/>
        </w:rPr>
        <w:t>二、部门决算情况说明</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eastAsia" w:ascii="方正楷体_GBK" w:hAnsi="方正楷体_GBK" w:eastAsia="方正楷体_GBK" w:cs="方正楷体_GBK"/>
          <w:b w:val="0"/>
          <w:bCs/>
          <w:sz w:val="32"/>
          <w:szCs w:val="32"/>
        </w:rPr>
      </w:pPr>
      <w:r>
        <w:rPr>
          <w:rStyle w:val="7"/>
          <w:rFonts w:hint="eastAsia" w:ascii="方正楷体_GBK" w:hAnsi="方正楷体_GBK" w:eastAsia="方正楷体_GBK" w:cs="方正楷体_GBK"/>
          <w:b w:val="0"/>
          <w:bCs/>
          <w:sz w:val="32"/>
          <w:szCs w:val="32"/>
          <w:shd w:val="clear" w:fill="FFFFFF"/>
          <w:lang w:eastAsia="zh-CN"/>
        </w:rPr>
        <w:t>（一）收入支出决算总体情况说明</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78" w:lineRule="exact"/>
        <w:ind w:left="0" w:right="0" w:firstLine="642"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1.总体情况。</w:t>
      </w:r>
      <w:r>
        <w:rPr>
          <w:rFonts w:hint="eastAsia" w:ascii="Times New Roman" w:hAnsi="Times New Roman" w:eastAsia="方正仿宋_GBK" w:cs="Times New Roman"/>
          <w:kern w:val="0"/>
          <w:sz w:val="32"/>
          <w:szCs w:val="32"/>
          <w:lang w:val="en-US" w:eastAsia="zh-CN" w:bidi="ar-SA"/>
        </w:rPr>
        <w:t>2022年度收入总计60.75万元，支出总计60.75万元。收支较上年决算数增加60.75万元,增长100%，主要原因是2021年本单位纳入云阳县盘龙街道办事处集中决算，未单独列决算，2022年新增为决算单位，上年决算数为0.00万元。</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78" w:lineRule="exact"/>
        <w:ind w:left="0" w:right="0" w:firstLine="642"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2.收入情况。</w:t>
      </w:r>
      <w:r>
        <w:rPr>
          <w:rFonts w:hint="eastAsia" w:ascii="Times New Roman" w:hAnsi="Times New Roman" w:eastAsia="方正仿宋_GBK" w:cs="Times New Roman"/>
          <w:b w:val="0"/>
          <w:bCs w:val="0"/>
          <w:kern w:val="0"/>
          <w:sz w:val="32"/>
          <w:szCs w:val="32"/>
          <w:lang w:val="en-US" w:eastAsia="zh-CN" w:bidi="ar-SA"/>
        </w:rPr>
        <w:t>2</w:t>
      </w:r>
      <w:r>
        <w:rPr>
          <w:rFonts w:hint="eastAsia" w:ascii="Times New Roman" w:hAnsi="Times New Roman" w:eastAsia="方正仿宋_GBK" w:cs="Times New Roman"/>
          <w:kern w:val="0"/>
          <w:sz w:val="32"/>
          <w:szCs w:val="32"/>
          <w:lang w:val="en-US" w:eastAsia="zh-CN" w:bidi="ar-SA"/>
        </w:rPr>
        <w:t>022年度收入合计60.75万元，较上年决算数增加60.75万元，增长100%，主要原因是2021年本单位纳入云阳县盘龙街道办事处集中决算，未单独列决算，2022年新增为决算单位，上年决算数为0.00万元。其中：财政拨款收入60.75万元，占100%。</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Fonts w:hint="eastAsia" w:ascii="Times New Roman" w:hAnsi="Times New Roman" w:eastAsia="方正仿宋_GBK" w:cs="Times New Roman"/>
          <w:kern w:val="0"/>
          <w:sz w:val="32"/>
          <w:szCs w:val="32"/>
          <w:lang w:val="en-US" w:eastAsia="zh-CN" w:bidi="ar-SA"/>
        </w:rPr>
      </w:pPr>
      <w:r>
        <w:rPr>
          <w:rStyle w:val="7"/>
          <w:rFonts w:hint="eastAsia" w:ascii="方正仿宋_GBK" w:hAnsi="方正仿宋_GBK" w:eastAsia="方正仿宋_GBK" w:cs="方正仿宋_GBK"/>
          <w:sz w:val="32"/>
          <w:szCs w:val="32"/>
          <w:shd w:val="clear" w:fill="FFFFFF"/>
          <w:lang w:val="en-US"/>
        </w:rPr>
        <w:t>3.</w:t>
      </w:r>
      <w:r>
        <w:rPr>
          <w:rStyle w:val="7"/>
          <w:rFonts w:hint="eastAsia" w:ascii="方正仿宋_GBK" w:hAnsi="方正仿宋_GBK" w:eastAsia="方正仿宋_GBK" w:cs="方正仿宋_GBK"/>
          <w:sz w:val="32"/>
          <w:szCs w:val="32"/>
          <w:shd w:val="clear" w:fill="FFFFFF"/>
          <w:lang w:eastAsia="zh-CN"/>
        </w:rPr>
        <w:t>支出情况。</w:t>
      </w:r>
      <w:r>
        <w:rPr>
          <w:rFonts w:hint="eastAsia" w:ascii="Times New Roman" w:hAnsi="Times New Roman" w:eastAsia="方正仿宋_GBK" w:cs="Times New Roman"/>
          <w:kern w:val="0"/>
          <w:sz w:val="32"/>
          <w:szCs w:val="32"/>
          <w:lang w:val="en-US" w:eastAsia="zh-CN" w:bidi="ar-SA"/>
        </w:rPr>
        <w:t>2022年度支出合计60.75万元，较上年决算增加60.75万元，增长100%，主要原因是2021年本单位纳入云阳县盘龙街道办事处集中决算，未单独列决算，2022年新增为决算单位，上年决算数为0.00万元。其中：基本支出60.75万元，占100%。其中：基本支出60.75万元，占100%。</w:t>
      </w:r>
    </w:p>
    <w:p>
      <w:pPr>
        <w:pStyle w:val="4"/>
        <w:keepNext w:val="0"/>
        <w:keepLines w:val="0"/>
        <w:pageBreakBefore w:val="0"/>
        <w:widowControl/>
        <w:numPr>
          <w:numId w:val="0"/>
        </w:numPr>
        <w:shd w:val="clear" w:fill="FFFFFF"/>
        <w:kinsoku/>
        <w:wordWrap/>
        <w:overflowPunct/>
        <w:topLinePunct w:val="0"/>
        <w:autoSpaceDE/>
        <w:autoSpaceDN/>
        <w:bidi w:val="0"/>
        <w:adjustRightInd/>
        <w:snapToGrid w:val="0"/>
        <w:spacing w:beforeAutospacing="0" w:afterAutospacing="0" w:line="578" w:lineRule="exact"/>
        <w:ind w:leftChars="200" w:right="0" w:rightChars="0" w:firstLine="321" w:firstLineChars="100"/>
        <w:textAlignment w:val="auto"/>
        <w:rPr>
          <w:rFonts w:hint="eastAsia" w:ascii="方正仿宋_GBK" w:hAnsi="方正仿宋_GBK" w:eastAsia="方正仿宋_GBK" w:cs="方正仿宋_GBK"/>
          <w:snapToGrid w:val="0"/>
          <w:sz w:val="32"/>
          <w:szCs w:val="32"/>
          <w:shd w:val="clear" w:fill="FFFFFF"/>
          <w:lang w:eastAsia="zh-CN"/>
        </w:rPr>
      </w:pPr>
      <w:r>
        <w:rPr>
          <w:rStyle w:val="7"/>
          <w:rFonts w:hint="eastAsia" w:ascii="方正仿宋_GBK" w:hAnsi="方正仿宋_GBK" w:eastAsia="方正仿宋_GBK" w:cs="方正仿宋_GBK"/>
          <w:sz w:val="32"/>
          <w:szCs w:val="32"/>
          <w:shd w:val="clear" w:fill="FFFFFF"/>
          <w:lang w:val="en-US" w:eastAsia="zh-CN"/>
        </w:rPr>
        <w:t>4</w:t>
      </w:r>
      <w:r>
        <w:rPr>
          <w:rStyle w:val="7"/>
          <w:rFonts w:hint="eastAsia" w:ascii="方正仿宋_GBK" w:hAnsi="方正仿宋_GBK" w:eastAsia="方正仿宋_GBK" w:cs="方正仿宋_GBK"/>
          <w:sz w:val="32"/>
          <w:szCs w:val="32"/>
          <w:shd w:val="clear" w:fill="FFFFFF"/>
          <w:lang w:val="en-US"/>
        </w:rPr>
        <w:t>.</w:t>
      </w:r>
      <w:r>
        <w:rPr>
          <w:rStyle w:val="7"/>
          <w:rFonts w:hint="eastAsia" w:ascii="方正仿宋_GBK" w:hAnsi="方正仿宋_GBK" w:eastAsia="方正仿宋_GBK" w:cs="方正仿宋_GBK"/>
          <w:sz w:val="32"/>
          <w:szCs w:val="32"/>
          <w:shd w:val="clear" w:fill="FFFFFF"/>
          <w:lang w:eastAsia="zh-CN"/>
        </w:rPr>
        <w:t>结转结余情况。</w:t>
      </w:r>
      <w:r>
        <w:rPr>
          <w:rFonts w:hint="eastAsia" w:ascii="Times New Roman" w:hAnsi="Times New Roman" w:eastAsia="方正仿宋_GBK" w:cs="Times New Roman"/>
          <w:kern w:val="0"/>
          <w:sz w:val="32"/>
          <w:szCs w:val="32"/>
          <w:lang w:val="en-US" w:eastAsia="zh-CN" w:bidi="ar-SA"/>
        </w:rPr>
        <w:t>2</w:t>
      </w:r>
      <w:r>
        <w:rPr>
          <w:rFonts w:hint="eastAsia" w:ascii="Times New Roman" w:hAnsi="Times New Roman" w:eastAsia="方正仿宋_GBK" w:cs="Times New Roman"/>
          <w:kern w:val="0"/>
          <w:sz w:val="32"/>
          <w:szCs w:val="32"/>
          <w:lang w:val="en-US" w:eastAsia="zh-CN" w:bidi="ar-SA"/>
        </w:rPr>
        <w:t>022年度年末结转和结余0.00万元。</w:t>
      </w:r>
    </w:p>
    <w:p>
      <w:pPr>
        <w:pStyle w:val="4"/>
        <w:keepNext w:val="0"/>
        <w:keepLines w:val="0"/>
        <w:pageBreakBefore w:val="0"/>
        <w:widowControl/>
        <w:numPr>
          <w:ilvl w:val="0"/>
          <w:numId w:val="0"/>
        </w:numPr>
        <w:shd w:val="clear" w:fill="FFFFFF"/>
        <w:kinsoku/>
        <w:wordWrap/>
        <w:overflowPunct/>
        <w:topLinePunct w:val="0"/>
        <w:autoSpaceDE/>
        <w:autoSpaceDN/>
        <w:bidi w:val="0"/>
        <w:adjustRightInd/>
        <w:snapToGrid w:val="0"/>
        <w:spacing w:beforeAutospacing="0" w:afterAutospacing="0" w:line="578" w:lineRule="exact"/>
        <w:ind w:right="0" w:rightChars="0" w:firstLine="640" w:firstLineChars="200"/>
        <w:textAlignment w:val="auto"/>
        <w:rPr>
          <w:rFonts w:hint="eastAsia" w:ascii="方正楷体_GBK" w:hAnsi="方正楷体_GBK" w:eastAsia="方正楷体_GBK" w:cs="方正楷体_GBK"/>
          <w:b w:val="0"/>
          <w:bCs/>
          <w:sz w:val="32"/>
          <w:szCs w:val="32"/>
        </w:rPr>
      </w:pPr>
      <w:r>
        <w:rPr>
          <w:rStyle w:val="7"/>
          <w:rFonts w:hint="eastAsia" w:ascii="方正楷体_GBK" w:hAnsi="方正楷体_GBK" w:eastAsia="方正楷体_GBK" w:cs="方正楷体_GBK"/>
          <w:b w:val="0"/>
          <w:bCs/>
          <w:sz w:val="32"/>
          <w:szCs w:val="32"/>
          <w:shd w:val="clear" w:fill="FFFFFF"/>
          <w:lang w:eastAsia="zh-CN"/>
        </w:rPr>
        <w:t>（二）财政拨款收入支出决算总体情况说明</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78" w:lineRule="exact"/>
        <w:ind w:left="0" w:right="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2022年度财政拨款收、支总计60.75万元。与2021年相比，财政拨款收、支总计各增加60.75万元，增长100%。主要原因是2021年本单位纳入云阳县盘龙街道办事处集中决算，未单独列决算，2022年新增为决算单位，上年决算数为0.00万元。</w:t>
      </w:r>
    </w:p>
    <w:p>
      <w:pPr>
        <w:pStyle w:val="4"/>
        <w:keepNext w:val="0"/>
        <w:keepLines w:val="0"/>
        <w:pageBreakBefore w:val="0"/>
        <w:widowControl/>
        <w:numPr>
          <w:ilvl w:val="0"/>
          <w:numId w:val="0"/>
        </w:numPr>
        <w:shd w:val="clear" w:fill="FFFFFF"/>
        <w:kinsoku/>
        <w:wordWrap/>
        <w:overflowPunct/>
        <w:topLinePunct w:val="0"/>
        <w:autoSpaceDE/>
        <w:autoSpaceDN/>
        <w:bidi w:val="0"/>
        <w:adjustRightInd/>
        <w:snapToGrid w:val="0"/>
        <w:spacing w:beforeAutospacing="0" w:afterAutospacing="0" w:line="578" w:lineRule="exact"/>
        <w:ind w:right="0" w:rightChars="0" w:firstLine="640" w:firstLineChars="200"/>
        <w:textAlignment w:val="auto"/>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楷体_GBK" w:hAnsi="方正楷体_GBK" w:eastAsia="方正楷体_GBK" w:cs="方正楷体_GBK"/>
          <w:b w:val="0"/>
          <w:bCs/>
          <w:sz w:val="32"/>
          <w:szCs w:val="32"/>
          <w:shd w:val="clear" w:fill="FFFFFF"/>
          <w:lang w:eastAsia="zh-CN"/>
        </w:rPr>
        <w:t>（三）一般公共预算财政拨款收入支出决算情况说明</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78" w:lineRule="exact"/>
        <w:ind w:left="0" w:right="0" w:firstLine="642"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1.收入情况。</w:t>
      </w:r>
      <w:r>
        <w:rPr>
          <w:rFonts w:hint="eastAsia" w:ascii="Times New Roman" w:hAnsi="Times New Roman" w:eastAsia="方正仿宋_GBK" w:cs="Times New Roman"/>
          <w:kern w:val="0"/>
          <w:sz w:val="32"/>
          <w:szCs w:val="32"/>
          <w:lang w:val="en-US" w:eastAsia="zh-CN" w:bidi="ar-SA"/>
        </w:rPr>
        <w:t>2022年度一般公共预算财政拨款收入60.75万元，较上年决算数增加60.75万元，，增长100%。主要原因是2021年本单位纳入云阳县盘龙街道办事处集中决算，未单独列决算，2022年新增为决算单位，上年决算数为0.00万元。较年初预算数增加7.11万元，增长13.3%。主要原因是人员工资调标。此外，年初财政拨款结转和结余0.00万元。</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78" w:lineRule="exact"/>
        <w:ind w:left="0" w:right="0" w:firstLine="642"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2.支出情况。</w:t>
      </w:r>
      <w:r>
        <w:rPr>
          <w:rFonts w:hint="eastAsia" w:ascii="Times New Roman" w:hAnsi="Times New Roman" w:eastAsia="方正仿宋_GBK" w:cs="Times New Roman"/>
          <w:kern w:val="0"/>
          <w:sz w:val="32"/>
          <w:szCs w:val="32"/>
          <w:lang w:val="en-US" w:eastAsia="zh-CN" w:bidi="ar-SA"/>
        </w:rPr>
        <w:t>2022年度一般公共预算财政拨款支出60.75万元，较上年决算数增加60.75万元，增长100%。主要原因是2021年本单位纳入云阳县盘龙街道办事处集中决算，未单独列决算，2022年新增为决算单位，上年决算数为0.00万元。较年初预算数增加7.11万元，增长13.3%。主要原因是人员工资调标。</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78" w:lineRule="exact"/>
        <w:ind w:left="0" w:right="0" w:firstLine="642"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3.结转结余情况。</w:t>
      </w:r>
      <w:r>
        <w:rPr>
          <w:rFonts w:hint="eastAsia" w:ascii="Times New Roman" w:hAnsi="Times New Roman" w:eastAsia="方正仿宋_GBK" w:cs="Times New Roman"/>
          <w:kern w:val="0"/>
          <w:sz w:val="32"/>
          <w:szCs w:val="32"/>
          <w:lang w:val="en-US" w:eastAsia="zh-CN" w:bidi="ar-SA"/>
        </w:rPr>
        <w:t>2022年度年末一般公共预算财政拨款结转和结余0.00万元，较上年决算数增加0.00万元，增长0%，主要原因是本单位不涉及结转结余。</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78" w:lineRule="exact"/>
        <w:ind w:left="0" w:right="0" w:firstLine="642"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4.比较情况。</w:t>
      </w:r>
      <w:r>
        <w:rPr>
          <w:rFonts w:hint="eastAsia" w:ascii="Times New Roman" w:hAnsi="Times New Roman" w:eastAsia="方正仿宋_GBK" w:cs="Times New Roman"/>
          <w:kern w:val="0"/>
          <w:sz w:val="32"/>
          <w:szCs w:val="32"/>
          <w:lang w:val="en-US" w:eastAsia="zh-CN" w:bidi="ar-SA"/>
        </w:rPr>
        <w:t>本部门2022年度一般公共预算财政拨款支出主要用于以下几个方面：</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78" w:lineRule="exact"/>
        <w:ind w:left="0" w:right="0"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（1）文化旅游体育与传媒支出43.54万元，占71.7%，较年初预算数增加7.11万元，增长19.5%，主要原因是主要原因是人员工资调标，社保增加。</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78" w:lineRule="exact"/>
        <w:ind w:left="0" w:right="0"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（2）社会保障与就业支出10.96万元，占18%，较年初预算数增加0.00万元，增长0%。</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78" w:lineRule="exact"/>
        <w:ind w:left="0" w:right="0"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（3）卫生健康支出3.18万元，占5.2%，较年初预算数增加0.00万元，增长0%。</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78" w:lineRule="exact"/>
        <w:ind w:left="0" w:right="0"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（4）住房保障支出3.07万元，占5.1%，较年初预算数增加0.00万元，增长0%。</w:t>
      </w:r>
    </w:p>
    <w:p>
      <w:pPr>
        <w:pStyle w:val="4"/>
        <w:keepNext w:val="0"/>
        <w:keepLines w:val="0"/>
        <w:pageBreakBefore w:val="0"/>
        <w:widowControl/>
        <w:numPr>
          <w:ilvl w:val="0"/>
          <w:numId w:val="0"/>
        </w:numPr>
        <w:shd w:val="clear" w:fill="FFFFFF"/>
        <w:kinsoku/>
        <w:wordWrap/>
        <w:overflowPunct/>
        <w:topLinePunct w:val="0"/>
        <w:autoSpaceDE/>
        <w:autoSpaceDN/>
        <w:bidi w:val="0"/>
        <w:adjustRightInd/>
        <w:snapToGrid w:val="0"/>
        <w:spacing w:beforeAutospacing="0" w:afterAutospacing="0" w:line="578" w:lineRule="exact"/>
        <w:ind w:right="0" w:rightChars="0" w:firstLine="640" w:firstLineChars="200"/>
        <w:textAlignment w:val="auto"/>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楷体_GBK" w:hAnsi="方正楷体_GBK" w:eastAsia="方正楷体_GBK" w:cs="方正楷体_GBK"/>
          <w:b w:val="0"/>
          <w:bCs/>
          <w:sz w:val="32"/>
          <w:szCs w:val="32"/>
          <w:shd w:val="clear" w:fill="FFFFFF"/>
          <w:lang w:eastAsia="zh-CN"/>
        </w:rPr>
        <w:t>（四）一般公共预算财政拨款基本支出决算情况说明</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2022年度一般公共预算财政拨款基本支出60.75万元。其中：人员经费59.81万元，较上年决算数增加59.81万元，增长100%，主要原因是2021年本单位纳入云阳县盘龙街道办事处集中决算，未单独列决算，2022年新增为决算单位。人员经费用途主要包括工资福利等。公用经费0.94万元，较上年决算数增加0.94万元，增长100%，主要原因是2021年本单位纳入云阳县盘龙街道办事处集中决算，未单独列决算，2022年新增为决算单位。公用经费用途主要包括工会经费、福利费、教育经费。</w:t>
      </w:r>
    </w:p>
    <w:p>
      <w:pPr>
        <w:pStyle w:val="4"/>
        <w:keepNext w:val="0"/>
        <w:keepLines w:val="0"/>
        <w:pageBreakBefore w:val="0"/>
        <w:widowControl/>
        <w:numPr>
          <w:ilvl w:val="0"/>
          <w:numId w:val="0"/>
        </w:numPr>
        <w:shd w:val="clear" w:fill="FFFFFF"/>
        <w:kinsoku/>
        <w:wordWrap/>
        <w:overflowPunct/>
        <w:topLinePunct w:val="0"/>
        <w:autoSpaceDE/>
        <w:autoSpaceDN/>
        <w:bidi w:val="0"/>
        <w:adjustRightInd/>
        <w:snapToGrid w:val="0"/>
        <w:spacing w:beforeAutospacing="0" w:afterAutospacing="0" w:line="578" w:lineRule="exact"/>
        <w:ind w:right="0" w:rightChars="0" w:firstLine="640" w:firstLineChars="200"/>
        <w:textAlignment w:val="auto"/>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楷体_GBK" w:hAnsi="方正楷体_GBK" w:eastAsia="方正楷体_GBK" w:cs="方正楷体_GBK"/>
          <w:b w:val="0"/>
          <w:bCs/>
          <w:sz w:val="32"/>
          <w:szCs w:val="32"/>
          <w:shd w:val="clear" w:fill="FFFFFF"/>
          <w:lang w:eastAsia="zh-CN"/>
        </w:rPr>
        <w:t>（五）政府性基金预算收支决算情况说明。</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78" w:lineRule="exact"/>
        <w:ind w:left="0" w:right="0"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本部门2022年度无政府性基金预算财政拨款收支。</w:t>
      </w:r>
    </w:p>
    <w:p>
      <w:pPr>
        <w:pStyle w:val="4"/>
        <w:keepNext w:val="0"/>
        <w:keepLines w:val="0"/>
        <w:pageBreakBefore w:val="0"/>
        <w:shd w:val="clear" w:color="auto"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Style w:val="7"/>
          <w:rFonts w:hint="eastAsia" w:ascii="方正楷体_GBK" w:hAnsi="方正楷体_GBK" w:eastAsia="方正楷体_GBK" w:cs="方正楷体_GBK"/>
          <w:b w:val="0"/>
          <w:bCs/>
          <w:sz w:val="32"/>
          <w:szCs w:val="32"/>
          <w:shd w:val="clear" w:fill="FFFFFF"/>
          <w:lang w:eastAsia="zh-CN"/>
        </w:rPr>
      </w:pPr>
      <w:r>
        <w:rPr>
          <w:rFonts w:hint="eastAsia" w:ascii="方正楷体_GBK" w:hAnsi="方正楷体_GBK" w:eastAsia="方正楷体_GBK" w:cs="方正楷体_GBK"/>
          <w:b/>
          <w:bCs w:val="0"/>
          <w:sz w:val="32"/>
          <w:szCs w:val="32"/>
        </w:rPr>
        <w:t xml:space="preserve"> </w:t>
      </w:r>
      <w:r>
        <w:rPr>
          <w:rStyle w:val="7"/>
          <w:rFonts w:hint="eastAsia" w:ascii="方正楷体_GBK" w:hAnsi="方正楷体_GBK" w:eastAsia="方正楷体_GBK" w:cs="方正楷体_GBK"/>
          <w:b w:val="0"/>
          <w:bCs/>
          <w:sz w:val="32"/>
          <w:szCs w:val="32"/>
          <w:shd w:val="clear" w:fill="FFFFFF"/>
          <w:lang w:eastAsia="zh-CN"/>
        </w:rPr>
        <w:t>（六）国有资本经营预算财政拨款支出决算情况说明。</w:t>
      </w:r>
    </w:p>
    <w:p>
      <w:pPr>
        <w:keepNext w:val="0"/>
        <w:keepLines w:val="0"/>
        <w:pageBreakBefore w:val="0"/>
        <w:kinsoku/>
        <w:wordWrap/>
        <w:overflowPunct/>
        <w:topLinePunct w:val="0"/>
        <w:autoSpaceDE/>
        <w:autoSpaceDN/>
        <w:bidi w:val="0"/>
        <w:adjustRightInd/>
        <w:spacing w:beforeAutospacing="0" w:afterAutospacing="0" w:line="578"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本部门2022年度无国有资本经营预算财政拨款支出。</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Fonts w:hint="eastAsia" w:ascii="方正黑体_GBK" w:hAnsi="方正黑体_GBK" w:eastAsia="方正黑体_GBK" w:cs="方正黑体_GBK"/>
          <w:b w:val="0"/>
          <w:bCs/>
          <w:sz w:val="32"/>
          <w:szCs w:val="32"/>
        </w:rPr>
      </w:pPr>
      <w:r>
        <w:rPr>
          <w:rStyle w:val="7"/>
          <w:rFonts w:hint="eastAsia" w:ascii="方正黑体_GBK" w:hAnsi="方正黑体_GBK" w:eastAsia="方正黑体_GBK" w:cs="方正黑体_GBK"/>
          <w:b w:val="0"/>
          <w:bCs/>
          <w:sz w:val="32"/>
          <w:szCs w:val="32"/>
          <w:shd w:val="clear" w:fill="FFFFFF"/>
          <w:lang w:eastAsia="zh-CN"/>
        </w:rPr>
        <w:t>三、</w:t>
      </w:r>
      <w:r>
        <w:rPr>
          <w:rStyle w:val="7"/>
          <w:rFonts w:hint="eastAsia" w:ascii="方正黑体_GBK" w:hAnsi="方正黑体_GBK" w:eastAsia="方正黑体_GBK" w:cs="方正黑体_GBK"/>
          <w:b w:val="0"/>
          <w:bCs/>
          <w:sz w:val="32"/>
          <w:szCs w:val="32"/>
          <w:shd w:val="clear" w:fill="FFFFFF"/>
          <w:lang w:val="en-US"/>
        </w:rPr>
        <w:t>“</w:t>
      </w:r>
      <w:r>
        <w:rPr>
          <w:rStyle w:val="7"/>
          <w:rFonts w:hint="eastAsia" w:ascii="方正黑体_GBK" w:hAnsi="方正黑体_GBK" w:eastAsia="方正黑体_GBK" w:cs="方正黑体_GBK"/>
          <w:b w:val="0"/>
          <w:bCs/>
          <w:sz w:val="32"/>
          <w:szCs w:val="32"/>
          <w:shd w:val="clear" w:fill="FFFFFF"/>
          <w:lang w:eastAsia="zh-CN"/>
        </w:rPr>
        <w:t>三公</w:t>
      </w:r>
      <w:r>
        <w:rPr>
          <w:rStyle w:val="7"/>
          <w:rFonts w:hint="eastAsia" w:ascii="方正黑体_GBK" w:hAnsi="方正黑体_GBK" w:eastAsia="方正黑体_GBK" w:cs="方正黑体_GBK"/>
          <w:b w:val="0"/>
          <w:bCs/>
          <w:sz w:val="32"/>
          <w:szCs w:val="32"/>
          <w:shd w:val="clear" w:fill="FFFFFF"/>
          <w:lang w:val="en-US"/>
        </w:rPr>
        <w:t>”</w:t>
      </w:r>
      <w:r>
        <w:rPr>
          <w:rStyle w:val="7"/>
          <w:rFonts w:hint="eastAsia" w:ascii="方正黑体_GBK" w:hAnsi="方正黑体_GBK" w:eastAsia="方正黑体_GBK" w:cs="方正黑体_GBK"/>
          <w:b w:val="0"/>
          <w:bCs/>
          <w:sz w:val="32"/>
          <w:szCs w:val="32"/>
          <w:shd w:val="clear" w:fill="FFFFFF"/>
          <w:lang w:eastAsia="zh-CN"/>
        </w:rPr>
        <w:t>经费情况说明</w:t>
      </w:r>
    </w:p>
    <w:p>
      <w:pPr>
        <w:pStyle w:val="4"/>
        <w:keepNext w:val="0"/>
        <w:keepLines w:val="0"/>
        <w:pageBreakBefore w:val="0"/>
        <w:widowControl/>
        <w:numPr>
          <w:ilvl w:val="0"/>
          <w:numId w:val="0"/>
        </w:numPr>
        <w:shd w:val="clear" w:fill="FFFFFF"/>
        <w:kinsoku/>
        <w:wordWrap/>
        <w:overflowPunct/>
        <w:topLinePunct w:val="0"/>
        <w:autoSpaceDE/>
        <w:autoSpaceDN/>
        <w:bidi w:val="0"/>
        <w:adjustRightInd/>
        <w:snapToGrid w:val="0"/>
        <w:spacing w:beforeAutospacing="0" w:afterAutospacing="0" w:line="578" w:lineRule="exact"/>
        <w:ind w:right="0" w:rightChars="0" w:firstLine="640" w:firstLineChars="200"/>
        <w:textAlignment w:val="auto"/>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楷体_GBK" w:hAnsi="方正楷体_GBK" w:eastAsia="方正楷体_GBK" w:cs="方正楷体_GBK"/>
          <w:b w:val="0"/>
          <w:bCs/>
          <w:sz w:val="32"/>
          <w:szCs w:val="32"/>
          <w:shd w:val="clear" w:fill="FFFFFF"/>
          <w:lang w:eastAsia="zh-CN"/>
        </w:rPr>
        <w:t>（一）</w:t>
      </w:r>
      <w:r>
        <w:rPr>
          <w:rStyle w:val="7"/>
          <w:rFonts w:hint="eastAsia" w:ascii="方正楷体_GBK" w:hAnsi="方正楷体_GBK" w:eastAsia="方正楷体_GBK" w:cs="方正楷体_GBK"/>
          <w:b w:val="0"/>
          <w:bCs/>
          <w:sz w:val="32"/>
          <w:szCs w:val="32"/>
          <w:shd w:val="clear" w:fill="FFFFFF"/>
          <w:lang w:val="en-US" w:eastAsia="zh-CN"/>
        </w:rPr>
        <w:t>“</w:t>
      </w:r>
      <w:r>
        <w:rPr>
          <w:rStyle w:val="7"/>
          <w:rFonts w:hint="eastAsia" w:ascii="方正楷体_GBK" w:hAnsi="方正楷体_GBK" w:eastAsia="方正楷体_GBK" w:cs="方正楷体_GBK"/>
          <w:b w:val="0"/>
          <w:bCs/>
          <w:sz w:val="32"/>
          <w:szCs w:val="32"/>
          <w:shd w:val="clear" w:fill="FFFFFF"/>
          <w:lang w:eastAsia="zh-CN"/>
        </w:rPr>
        <w:t>三公</w:t>
      </w:r>
      <w:r>
        <w:rPr>
          <w:rStyle w:val="7"/>
          <w:rFonts w:hint="eastAsia" w:ascii="方正楷体_GBK" w:hAnsi="方正楷体_GBK" w:eastAsia="方正楷体_GBK" w:cs="方正楷体_GBK"/>
          <w:b w:val="0"/>
          <w:bCs/>
          <w:sz w:val="32"/>
          <w:szCs w:val="32"/>
          <w:shd w:val="clear" w:fill="FFFFFF"/>
          <w:lang w:val="en-US" w:eastAsia="zh-CN"/>
        </w:rPr>
        <w:t>”</w:t>
      </w:r>
      <w:r>
        <w:rPr>
          <w:rStyle w:val="7"/>
          <w:rFonts w:hint="eastAsia" w:ascii="方正楷体_GBK" w:hAnsi="方正楷体_GBK" w:eastAsia="方正楷体_GBK" w:cs="方正楷体_GBK"/>
          <w:b w:val="0"/>
          <w:bCs/>
          <w:sz w:val="32"/>
          <w:szCs w:val="32"/>
          <w:shd w:val="clear" w:fill="FFFFFF"/>
          <w:lang w:eastAsia="zh-CN"/>
        </w:rPr>
        <w:t>经费支出总体情况说明</w:t>
      </w:r>
    </w:p>
    <w:p>
      <w:pPr>
        <w:keepNext w:val="0"/>
        <w:keepLines w:val="0"/>
        <w:pageBreakBefore w:val="0"/>
        <w:kinsoku/>
        <w:wordWrap/>
        <w:overflowPunct/>
        <w:topLinePunct w:val="0"/>
        <w:autoSpaceDE/>
        <w:autoSpaceDN/>
        <w:bidi w:val="0"/>
        <w:adjustRightInd/>
        <w:spacing w:beforeAutospacing="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按照部门决算列报口径，我单位不在“三公”经费核算统计范围之内。</w:t>
      </w:r>
    </w:p>
    <w:p>
      <w:pPr>
        <w:pStyle w:val="4"/>
        <w:keepNext w:val="0"/>
        <w:keepLines w:val="0"/>
        <w:pageBreakBefore w:val="0"/>
        <w:widowControl/>
        <w:numPr>
          <w:ilvl w:val="0"/>
          <w:numId w:val="0"/>
        </w:numPr>
        <w:shd w:val="clear" w:fill="FFFFFF"/>
        <w:kinsoku/>
        <w:wordWrap/>
        <w:overflowPunct/>
        <w:topLinePunct w:val="0"/>
        <w:autoSpaceDE/>
        <w:autoSpaceDN/>
        <w:bidi w:val="0"/>
        <w:adjustRightInd/>
        <w:snapToGrid w:val="0"/>
        <w:spacing w:beforeAutospacing="0" w:afterAutospacing="0" w:line="578" w:lineRule="exact"/>
        <w:ind w:right="0" w:rightChars="0" w:firstLine="640" w:firstLineChars="200"/>
        <w:textAlignment w:val="auto"/>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楷体_GBK" w:hAnsi="方正楷体_GBK" w:eastAsia="方正楷体_GBK" w:cs="方正楷体_GBK"/>
          <w:b w:val="0"/>
          <w:bCs/>
          <w:sz w:val="32"/>
          <w:szCs w:val="32"/>
          <w:shd w:val="clear" w:fill="FFFFFF"/>
          <w:lang w:eastAsia="zh-CN"/>
        </w:rPr>
        <w:t>（二）</w:t>
      </w:r>
      <w:r>
        <w:rPr>
          <w:rStyle w:val="7"/>
          <w:rFonts w:hint="eastAsia" w:ascii="方正楷体_GBK" w:hAnsi="方正楷体_GBK" w:eastAsia="方正楷体_GBK" w:cs="方正楷体_GBK"/>
          <w:b w:val="0"/>
          <w:bCs/>
          <w:sz w:val="32"/>
          <w:szCs w:val="32"/>
          <w:shd w:val="clear" w:fill="FFFFFF"/>
          <w:lang w:val="en-US" w:eastAsia="zh-CN"/>
        </w:rPr>
        <w:t>“</w:t>
      </w:r>
      <w:r>
        <w:rPr>
          <w:rStyle w:val="7"/>
          <w:rFonts w:hint="eastAsia" w:ascii="方正楷体_GBK" w:hAnsi="方正楷体_GBK" w:eastAsia="方正楷体_GBK" w:cs="方正楷体_GBK"/>
          <w:b w:val="0"/>
          <w:bCs/>
          <w:sz w:val="32"/>
          <w:szCs w:val="32"/>
          <w:shd w:val="clear" w:fill="FFFFFF"/>
          <w:lang w:eastAsia="zh-CN"/>
        </w:rPr>
        <w:t>三公</w:t>
      </w:r>
      <w:r>
        <w:rPr>
          <w:rStyle w:val="7"/>
          <w:rFonts w:hint="eastAsia" w:ascii="方正楷体_GBK" w:hAnsi="方正楷体_GBK" w:eastAsia="方正楷体_GBK" w:cs="方正楷体_GBK"/>
          <w:b w:val="0"/>
          <w:bCs/>
          <w:sz w:val="32"/>
          <w:szCs w:val="32"/>
          <w:shd w:val="clear" w:fill="FFFFFF"/>
          <w:lang w:val="en-US" w:eastAsia="zh-CN"/>
        </w:rPr>
        <w:t>”</w:t>
      </w:r>
      <w:r>
        <w:rPr>
          <w:rStyle w:val="7"/>
          <w:rFonts w:hint="eastAsia" w:ascii="方正楷体_GBK" w:hAnsi="方正楷体_GBK" w:eastAsia="方正楷体_GBK" w:cs="方正楷体_GBK"/>
          <w:b w:val="0"/>
          <w:bCs/>
          <w:sz w:val="32"/>
          <w:szCs w:val="32"/>
          <w:shd w:val="clear" w:fill="FFFFFF"/>
          <w:lang w:eastAsia="zh-CN"/>
        </w:rPr>
        <w:t>经费分项支出情况</w:t>
      </w:r>
    </w:p>
    <w:p>
      <w:pPr>
        <w:keepNext w:val="0"/>
        <w:keepLines w:val="0"/>
        <w:pageBreakBefore w:val="0"/>
        <w:kinsoku/>
        <w:wordWrap/>
        <w:overflowPunct/>
        <w:topLinePunct w:val="0"/>
        <w:autoSpaceDE/>
        <w:autoSpaceDN/>
        <w:bidi w:val="0"/>
        <w:adjustRightInd/>
        <w:spacing w:beforeAutospacing="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按照部门决算列报口径，我单位不在“三公”经费核算统计范围之内。</w:t>
      </w:r>
    </w:p>
    <w:p>
      <w:pPr>
        <w:pStyle w:val="4"/>
        <w:keepNext w:val="0"/>
        <w:keepLines w:val="0"/>
        <w:pageBreakBefore w:val="0"/>
        <w:widowControl/>
        <w:numPr>
          <w:ilvl w:val="0"/>
          <w:numId w:val="0"/>
        </w:numPr>
        <w:shd w:val="clear" w:fill="FFFFFF"/>
        <w:kinsoku/>
        <w:wordWrap/>
        <w:overflowPunct/>
        <w:topLinePunct w:val="0"/>
        <w:autoSpaceDE/>
        <w:autoSpaceDN/>
        <w:bidi w:val="0"/>
        <w:adjustRightInd/>
        <w:snapToGrid w:val="0"/>
        <w:spacing w:beforeAutospacing="0" w:afterAutospacing="0" w:line="578" w:lineRule="exact"/>
        <w:ind w:right="0" w:rightChars="0" w:firstLine="640" w:firstLineChars="200"/>
        <w:textAlignment w:val="auto"/>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楷体_GBK" w:hAnsi="方正楷体_GBK" w:eastAsia="方正楷体_GBK" w:cs="方正楷体_GBK"/>
          <w:b w:val="0"/>
          <w:bCs/>
          <w:sz w:val="32"/>
          <w:szCs w:val="32"/>
          <w:shd w:val="clear" w:fill="FFFFFF"/>
          <w:lang w:eastAsia="zh-CN"/>
        </w:rPr>
        <w:t>（三）</w:t>
      </w:r>
      <w:r>
        <w:rPr>
          <w:rStyle w:val="7"/>
          <w:rFonts w:hint="eastAsia" w:ascii="方正楷体_GBK" w:hAnsi="方正楷体_GBK" w:eastAsia="方正楷体_GBK" w:cs="方正楷体_GBK"/>
          <w:b w:val="0"/>
          <w:bCs/>
          <w:sz w:val="32"/>
          <w:szCs w:val="32"/>
          <w:shd w:val="clear" w:fill="FFFFFF"/>
          <w:lang w:val="en-US" w:eastAsia="zh-CN"/>
        </w:rPr>
        <w:t>“</w:t>
      </w:r>
      <w:r>
        <w:rPr>
          <w:rStyle w:val="7"/>
          <w:rFonts w:hint="eastAsia" w:ascii="方正楷体_GBK" w:hAnsi="方正楷体_GBK" w:eastAsia="方正楷体_GBK" w:cs="方正楷体_GBK"/>
          <w:b w:val="0"/>
          <w:bCs/>
          <w:sz w:val="32"/>
          <w:szCs w:val="32"/>
          <w:shd w:val="clear" w:fill="FFFFFF"/>
          <w:lang w:eastAsia="zh-CN"/>
        </w:rPr>
        <w:t>三公</w:t>
      </w:r>
      <w:r>
        <w:rPr>
          <w:rStyle w:val="7"/>
          <w:rFonts w:hint="eastAsia" w:ascii="方正楷体_GBK" w:hAnsi="方正楷体_GBK" w:eastAsia="方正楷体_GBK" w:cs="方正楷体_GBK"/>
          <w:b w:val="0"/>
          <w:bCs/>
          <w:sz w:val="32"/>
          <w:szCs w:val="32"/>
          <w:shd w:val="clear" w:fill="FFFFFF"/>
          <w:lang w:val="en-US" w:eastAsia="zh-CN"/>
        </w:rPr>
        <w:t>”</w:t>
      </w:r>
      <w:r>
        <w:rPr>
          <w:rStyle w:val="7"/>
          <w:rFonts w:hint="eastAsia" w:ascii="方正楷体_GBK" w:hAnsi="方正楷体_GBK" w:eastAsia="方正楷体_GBK" w:cs="方正楷体_GBK"/>
          <w:b w:val="0"/>
          <w:bCs/>
          <w:sz w:val="32"/>
          <w:szCs w:val="32"/>
          <w:shd w:val="clear" w:fill="FFFFFF"/>
          <w:lang w:eastAsia="zh-CN"/>
        </w:rPr>
        <w:t>经费实物量情况</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78" w:lineRule="exact"/>
        <w:ind w:left="0" w:right="0"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2022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hint="eastAsia" w:ascii="方正黑体_GBK" w:hAnsi="方正黑体_GBK" w:eastAsia="方正黑体_GBK" w:cs="方正黑体_GBK"/>
          <w:b w:val="0"/>
          <w:bCs/>
          <w:sz w:val="32"/>
          <w:szCs w:val="32"/>
          <w:shd w:val="clear" w:fill="FFFFFF"/>
          <w:lang w:eastAsia="zh-CN"/>
        </w:rPr>
      </w:pPr>
      <w:r>
        <w:rPr>
          <w:rStyle w:val="7"/>
          <w:rFonts w:hint="eastAsia" w:ascii="方正黑体_GBK" w:hAnsi="方正黑体_GBK" w:eastAsia="方正黑体_GBK" w:cs="方正黑体_GBK"/>
          <w:b w:val="0"/>
          <w:bCs/>
          <w:sz w:val="32"/>
          <w:szCs w:val="32"/>
          <w:shd w:val="clear" w:fill="FFFFFF"/>
          <w:lang w:eastAsia="zh-CN"/>
        </w:rPr>
        <w:t>四、其他需要说明的事项</w:t>
      </w:r>
    </w:p>
    <w:p>
      <w:pPr>
        <w:pStyle w:val="4"/>
        <w:keepNext w:val="0"/>
        <w:keepLines w:val="0"/>
        <w:pageBreakBefore w:val="0"/>
        <w:widowControl/>
        <w:numPr>
          <w:ilvl w:val="0"/>
          <w:numId w:val="0"/>
        </w:numPr>
        <w:shd w:val="clear" w:fill="FFFFFF"/>
        <w:kinsoku/>
        <w:wordWrap/>
        <w:overflowPunct/>
        <w:topLinePunct w:val="0"/>
        <w:autoSpaceDE/>
        <w:autoSpaceDN/>
        <w:bidi w:val="0"/>
        <w:adjustRightInd/>
        <w:snapToGrid w:val="0"/>
        <w:spacing w:beforeAutospacing="0" w:afterAutospacing="0" w:line="578" w:lineRule="exact"/>
        <w:ind w:right="0" w:rightChars="0" w:firstLine="640" w:firstLineChars="200"/>
        <w:textAlignment w:val="auto"/>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楷体_GBK" w:hAnsi="方正楷体_GBK" w:eastAsia="方正楷体_GBK" w:cs="方正楷体_GBK"/>
          <w:b w:val="0"/>
          <w:bCs/>
          <w:sz w:val="32"/>
          <w:szCs w:val="32"/>
          <w:shd w:val="clear" w:fill="FFFFFF"/>
          <w:lang w:eastAsia="zh-CN"/>
        </w:rPr>
        <w:t>（一）财政拨款会议费和培训费情况说明</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78" w:lineRule="exact"/>
        <w:ind w:left="0" w:right="0"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本单位2022年无会议费和培训费支出。</w:t>
      </w:r>
    </w:p>
    <w:p>
      <w:pPr>
        <w:pStyle w:val="4"/>
        <w:keepNext w:val="0"/>
        <w:keepLines w:val="0"/>
        <w:pageBreakBefore w:val="0"/>
        <w:widowControl/>
        <w:numPr>
          <w:ilvl w:val="0"/>
          <w:numId w:val="0"/>
        </w:numPr>
        <w:shd w:val="clear" w:fill="FFFFFF"/>
        <w:kinsoku/>
        <w:wordWrap/>
        <w:overflowPunct/>
        <w:topLinePunct w:val="0"/>
        <w:autoSpaceDE/>
        <w:autoSpaceDN/>
        <w:bidi w:val="0"/>
        <w:adjustRightInd/>
        <w:snapToGrid w:val="0"/>
        <w:spacing w:beforeAutospacing="0" w:afterAutospacing="0" w:line="578" w:lineRule="exact"/>
        <w:ind w:right="0" w:rightChars="0" w:firstLine="640" w:firstLineChars="200"/>
        <w:textAlignment w:val="auto"/>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楷体_GBK" w:hAnsi="方正楷体_GBK" w:eastAsia="方正楷体_GBK" w:cs="方正楷体_GBK"/>
          <w:b w:val="0"/>
          <w:bCs/>
          <w:sz w:val="32"/>
          <w:szCs w:val="32"/>
          <w:shd w:val="clear" w:fill="FFFFFF"/>
          <w:lang w:eastAsia="zh-CN"/>
        </w:rPr>
        <w:t>（二）机关运行经费支出情况说明</w:t>
      </w:r>
    </w:p>
    <w:p>
      <w:pPr>
        <w:keepNext w:val="0"/>
        <w:keepLines w:val="0"/>
        <w:pageBreakBefore w:val="0"/>
        <w:kinsoku/>
        <w:wordWrap/>
        <w:overflowPunct/>
        <w:topLinePunct w:val="0"/>
        <w:autoSpaceDE/>
        <w:autoSpaceDN/>
        <w:bidi w:val="0"/>
        <w:adjustRightInd/>
        <w:spacing w:beforeAutospacing="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按照部门决算列报口径，我单位不在机关运行经费统计范围之内。</w:t>
      </w:r>
    </w:p>
    <w:p>
      <w:pPr>
        <w:pStyle w:val="4"/>
        <w:keepNext w:val="0"/>
        <w:keepLines w:val="0"/>
        <w:pageBreakBefore w:val="0"/>
        <w:widowControl/>
        <w:numPr>
          <w:ilvl w:val="0"/>
          <w:numId w:val="0"/>
        </w:numPr>
        <w:shd w:val="clear" w:fill="FFFFFF"/>
        <w:kinsoku/>
        <w:wordWrap/>
        <w:overflowPunct/>
        <w:topLinePunct w:val="0"/>
        <w:autoSpaceDE/>
        <w:autoSpaceDN/>
        <w:bidi w:val="0"/>
        <w:adjustRightInd/>
        <w:snapToGrid w:val="0"/>
        <w:spacing w:beforeAutospacing="0" w:afterAutospacing="0" w:line="578" w:lineRule="exact"/>
        <w:ind w:right="0" w:rightChars="0" w:firstLine="640" w:firstLineChars="200"/>
        <w:textAlignment w:val="auto"/>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楷体_GBK" w:hAnsi="方正楷体_GBK" w:eastAsia="方正楷体_GBK" w:cs="方正楷体_GBK"/>
          <w:b w:val="0"/>
          <w:bCs/>
          <w:sz w:val="32"/>
          <w:szCs w:val="32"/>
          <w:shd w:val="clear" w:fill="FFFFFF"/>
          <w:lang w:eastAsia="zh-CN"/>
        </w:rPr>
        <w:t>（三）国有资产占用情况说明</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78" w:lineRule="exact"/>
        <w:ind w:left="0" w:right="0"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截至2022年12月31日，本部门共有车辆0辆。单价100万元（含）以上设备（不含车辆）0台。</w:t>
      </w:r>
    </w:p>
    <w:p>
      <w:pPr>
        <w:pStyle w:val="4"/>
        <w:keepNext w:val="0"/>
        <w:keepLines w:val="0"/>
        <w:pageBreakBefore w:val="0"/>
        <w:widowControl/>
        <w:numPr>
          <w:ilvl w:val="0"/>
          <w:numId w:val="0"/>
        </w:numPr>
        <w:shd w:val="clear" w:fill="FFFFFF"/>
        <w:kinsoku/>
        <w:wordWrap/>
        <w:overflowPunct/>
        <w:topLinePunct w:val="0"/>
        <w:autoSpaceDE/>
        <w:autoSpaceDN/>
        <w:bidi w:val="0"/>
        <w:adjustRightInd/>
        <w:snapToGrid w:val="0"/>
        <w:spacing w:beforeAutospacing="0" w:afterAutospacing="0" w:line="578" w:lineRule="exact"/>
        <w:ind w:right="0" w:rightChars="0" w:firstLine="640" w:firstLineChars="200"/>
        <w:textAlignment w:val="auto"/>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楷体_GBK" w:hAnsi="方正楷体_GBK" w:eastAsia="方正楷体_GBK" w:cs="方正楷体_GBK"/>
          <w:b w:val="0"/>
          <w:bCs/>
          <w:sz w:val="32"/>
          <w:szCs w:val="32"/>
          <w:shd w:val="clear" w:fill="FFFFFF"/>
          <w:lang w:eastAsia="zh-CN"/>
        </w:rPr>
        <w:t>（四）政府采购支出说明</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78" w:lineRule="exact"/>
        <w:ind w:left="0" w:right="0"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2022年度我单位未发生政府采购事项，无相关经费支出。</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hint="eastAsia" w:ascii="方正黑体_GBK" w:hAnsi="方正黑体_GBK" w:eastAsia="方正黑体_GBK" w:cs="方正黑体_GBK"/>
          <w:b w:val="0"/>
          <w:bCs/>
          <w:sz w:val="32"/>
          <w:szCs w:val="32"/>
          <w:shd w:val="clear" w:fill="FFFFFF"/>
          <w:lang w:eastAsia="zh-CN"/>
        </w:rPr>
      </w:pPr>
      <w:r>
        <w:rPr>
          <w:rStyle w:val="7"/>
          <w:rFonts w:hint="eastAsia" w:ascii="方正黑体_GBK" w:hAnsi="方正黑体_GBK" w:eastAsia="方正黑体_GBK" w:cs="方正黑体_GBK"/>
          <w:b w:val="0"/>
          <w:bCs/>
          <w:sz w:val="32"/>
          <w:szCs w:val="32"/>
          <w:shd w:val="clear" w:fill="FFFFFF"/>
          <w:lang w:eastAsia="zh-CN"/>
        </w:rPr>
        <w:t>五、预算绩效管理情况说明</w:t>
      </w:r>
    </w:p>
    <w:p>
      <w:pPr>
        <w:pStyle w:val="4"/>
        <w:keepNext w:val="0"/>
        <w:keepLines w:val="0"/>
        <w:pageBreakBefore w:val="0"/>
        <w:widowControl/>
        <w:numPr>
          <w:ilvl w:val="0"/>
          <w:numId w:val="0"/>
        </w:numPr>
        <w:shd w:val="clear" w:fill="FFFFFF"/>
        <w:kinsoku/>
        <w:wordWrap/>
        <w:overflowPunct/>
        <w:topLinePunct w:val="0"/>
        <w:autoSpaceDE/>
        <w:autoSpaceDN/>
        <w:bidi w:val="0"/>
        <w:adjustRightInd/>
        <w:snapToGrid w:val="0"/>
        <w:spacing w:beforeAutospacing="0" w:afterAutospacing="0" w:line="578" w:lineRule="exact"/>
        <w:ind w:right="0" w:rightChars="0" w:firstLine="640" w:firstLineChars="200"/>
        <w:textAlignment w:val="auto"/>
        <w:rPr>
          <w:rStyle w:val="7"/>
          <w:rFonts w:hint="eastAsia" w:ascii="方正楷体_GBK" w:hAnsi="方正楷体_GBK" w:eastAsia="方正楷体_GBK" w:cs="方正楷体_GBK"/>
          <w:b w:val="0"/>
          <w:bCs/>
          <w:sz w:val="32"/>
          <w:szCs w:val="32"/>
          <w:shd w:val="clear" w:fill="FFFFFF"/>
          <w:lang w:eastAsia="zh-CN"/>
        </w:rPr>
      </w:pPr>
      <w:r>
        <w:rPr>
          <w:rStyle w:val="7"/>
          <w:rFonts w:hint="eastAsia" w:ascii="方正楷体_GBK" w:hAnsi="方正楷体_GBK" w:eastAsia="方正楷体_GBK" w:cs="方正楷体_GBK"/>
          <w:b w:val="0"/>
          <w:bCs/>
          <w:sz w:val="32"/>
          <w:szCs w:val="32"/>
          <w:shd w:val="clear" w:fill="FFFFFF"/>
          <w:lang w:eastAsia="zh-CN"/>
        </w:rPr>
        <w:t>（一）预算绩效管理工作开展情况</w:t>
      </w:r>
    </w:p>
    <w:p>
      <w:pPr>
        <w:pStyle w:val="10"/>
        <w:keepNext w:val="0"/>
        <w:keepLines w:val="0"/>
        <w:pageBreakBefore w:val="0"/>
        <w:kinsoku/>
        <w:wordWrap/>
        <w:overflowPunct/>
        <w:topLinePunct w:val="0"/>
        <w:autoSpaceDE/>
        <w:autoSpaceDN/>
        <w:bidi w:val="0"/>
        <w:adjustRightInd/>
        <w:spacing w:beforeAutospacing="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根据预算绩效管理要求，本单位项目支出基本属于人员经费支出，不进行项目预算绩效管理。</w:t>
      </w:r>
    </w:p>
    <w:p>
      <w:pPr>
        <w:pStyle w:val="10"/>
        <w:keepNext w:val="0"/>
        <w:keepLines w:val="0"/>
        <w:pageBreakBefore w:val="0"/>
        <w:kinsoku/>
        <w:wordWrap/>
        <w:overflowPunct/>
        <w:topLinePunct w:val="0"/>
        <w:autoSpaceDE/>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color w:val="333333"/>
          <w:sz w:val="32"/>
          <w:szCs w:val="32"/>
        </w:rPr>
        <w:t>（二）绩效自评结果</w:t>
      </w:r>
    </w:p>
    <w:p>
      <w:pPr>
        <w:pStyle w:val="10"/>
        <w:keepNext w:val="0"/>
        <w:keepLines w:val="0"/>
        <w:pageBreakBefore w:val="0"/>
        <w:kinsoku/>
        <w:wordWrap/>
        <w:overflowPunct/>
        <w:topLinePunct w:val="0"/>
        <w:autoSpaceDE/>
        <w:autoSpaceDN/>
        <w:bidi w:val="0"/>
        <w:adjustRightInd/>
        <w:spacing w:beforeAutospacing="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1.绩效目标自评表 </w:t>
      </w:r>
    </w:p>
    <w:p>
      <w:pPr>
        <w:pStyle w:val="10"/>
        <w:keepNext w:val="0"/>
        <w:keepLines w:val="0"/>
        <w:pageBreakBefore w:val="0"/>
        <w:kinsoku/>
        <w:wordWrap/>
        <w:overflowPunct/>
        <w:topLinePunct w:val="0"/>
        <w:autoSpaceDE/>
        <w:autoSpaceDN/>
        <w:bidi w:val="0"/>
        <w:adjustRightInd/>
        <w:spacing w:beforeAutospacing="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无</w:t>
      </w:r>
    </w:p>
    <w:p>
      <w:pPr>
        <w:pStyle w:val="10"/>
        <w:keepNext w:val="0"/>
        <w:keepLines w:val="0"/>
        <w:pageBreakBefore w:val="0"/>
        <w:kinsoku/>
        <w:wordWrap/>
        <w:overflowPunct/>
        <w:topLinePunct w:val="0"/>
        <w:autoSpaceDE/>
        <w:autoSpaceDN/>
        <w:bidi w:val="0"/>
        <w:adjustRightInd/>
        <w:spacing w:beforeAutospacing="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2.绩效自评报告或案例</w:t>
      </w:r>
    </w:p>
    <w:p>
      <w:pPr>
        <w:pStyle w:val="10"/>
        <w:keepNext w:val="0"/>
        <w:keepLines w:val="0"/>
        <w:pageBreakBefore w:val="0"/>
        <w:kinsoku/>
        <w:wordWrap/>
        <w:overflowPunct/>
        <w:topLinePunct w:val="0"/>
        <w:autoSpaceDE/>
        <w:autoSpaceDN/>
        <w:bidi w:val="0"/>
        <w:adjustRightInd/>
        <w:spacing w:beforeAutospacing="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无</w:t>
      </w:r>
    </w:p>
    <w:p>
      <w:pPr>
        <w:pStyle w:val="10"/>
        <w:keepNext w:val="0"/>
        <w:keepLines w:val="0"/>
        <w:pageBreakBefore w:val="0"/>
        <w:kinsoku/>
        <w:wordWrap/>
        <w:overflowPunct/>
        <w:topLinePunct w:val="0"/>
        <w:autoSpaceDE/>
        <w:autoSpaceDN/>
        <w:bidi w:val="0"/>
        <w:adjustRightInd/>
        <w:spacing w:beforeAutospacing="0" w:afterAutospacing="0" w:line="578" w:lineRule="exact"/>
        <w:ind w:firstLine="640" w:firstLineChars="200"/>
        <w:textAlignment w:val="auto"/>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color w:val="333333"/>
          <w:sz w:val="32"/>
          <w:szCs w:val="32"/>
        </w:rPr>
        <w:t>（三）重点绩效评价结果</w:t>
      </w:r>
    </w:p>
    <w:p>
      <w:pPr>
        <w:pStyle w:val="10"/>
        <w:keepNext w:val="0"/>
        <w:keepLines w:val="0"/>
        <w:pageBreakBefore w:val="0"/>
        <w:kinsoku/>
        <w:wordWrap/>
        <w:overflowPunct/>
        <w:topLinePunct w:val="0"/>
        <w:autoSpaceDE/>
        <w:autoSpaceDN/>
        <w:bidi w:val="0"/>
        <w:adjustRightInd/>
        <w:spacing w:beforeAutospacing="0" w:afterAutospacing="0" w:line="578"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无</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hint="eastAsia" w:ascii="方正黑体_GBK" w:hAnsi="方正黑体_GBK" w:eastAsia="方正黑体_GBK" w:cs="方正黑体_GBK"/>
          <w:b w:val="0"/>
          <w:bCs/>
          <w:sz w:val="32"/>
          <w:szCs w:val="32"/>
          <w:shd w:val="clear" w:fill="FFFFFF"/>
          <w:lang w:eastAsia="zh-CN"/>
        </w:rPr>
      </w:pPr>
      <w:r>
        <w:rPr>
          <w:rStyle w:val="7"/>
          <w:rFonts w:hint="eastAsia" w:ascii="方正黑体_GBK" w:hAnsi="方正黑体_GBK" w:eastAsia="方正黑体_GBK" w:cs="方正黑体_GBK"/>
          <w:b w:val="0"/>
          <w:bCs/>
          <w:sz w:val="32"/>
          <w:szCs w:val="32"/>
          <w:shd w:val="clear" w:fill="FFFFFF"/>
          <w:lang w:eastAsia="zh-CN"/>
        </w:rPr>
        <w:t>六、专业名词解释</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eastAsia="zh-CN"/>
        </w:rPr>
        <w:t>（一）财政拨款收入</w:t>
      </w:r>
      <w:r>
        <w:rPr>
          <w:rFonts w:hint="eastAsia" w:ascii="方正仿宋_GBK" w:hAnsi="方正仿宋_GBK" w:eastAsia="方正仿宋_GBK" w:cs="方正仿宋_GBK"/>
          <w:snapToGrid w:val="0"/>
          <w:sz w:val="32"/>
          <w:szCs w:val="32"/>
          <w:shd w:val="clear" w:fill="FFFFFF"/>
          <w:lang w:eastAsia="zh-CN"/>
        </w:rPr>
        <w:t>：指本年度从本级财政部门取得的财政拨款，包括一般公共预算财政拨款和政府性基金预算财政拨款。</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eastAsia="zh-CN"/>
        </w:rPr>
        <w:t>（二）事业收入</w:t>
      </w:r>
      <w:r>
        <w:rPr>
          <w:rFonts w:hint="eastAsia" w:ascii="方正仿宋_GBK" w:hAnsi="方正仿宋_GBK" w:eastAsia="方正仿宋_GBK" w:cs="方正仿宋_GBK"/>
          <w:snapToGrid w:val="0"/>
          <w:sz w:val="32"/>
          <w:szCs w:val="32"/>
          <w:shd w:val="clear" w:fill="FFFFFF"/>
          <w:lang w:eastAsia="zh-CN"/>
        </w:rPr>
        <w:t>：指事业单位开展专业业务活动及其辅助活动取得的现金流入；事业单位收到的财政专户实际核拨的教育收费等资金在此反映。</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eastAsia="zh-CN"/>
        </w:rPr>
        <w:t>（三）经营收入</w:t>
      </w:r>
      <w:r>
        <w:rPr>
          <w:rFonts w:hint="eastAsia" w:ascii="方正仿宋_GBK" w:hAnsi="方正仿宋_GBK" w:eastAsia="方正仿宋_GBK" w:cs="方正仿宋_GBK"/>
          <w:snapToGrid w:val="0"/>
          <w:sz w:val="32"/>
          <w:szCs w:val="32"/>
          <w:shd w:val="clear" w:fill="FFFFFF"/>
          <w:lang w:eastAsia="zh-CN"/>
        </w:rPr>
        <w:t>：指事业单位在专业业务活动及其辅助活动之外开展非独立核算经营活动取得的现金流入。</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eastAsia="zh-CN"/>
        </w:rPr>
        <w:t>（四）其他收入</w:t>
      </w:r>
      <w:r>
        <w:rPr>
          <w:rFonts w:hint="eastAsia" w:ascii="方正仿宋_GBK" w:hAnsi="方正仿宋_GBK" w:eastAsia="方正仿宋_GBK" w:cs="方正仿宋_GBK"/>
          <w:snapToGrid w:val="0"/>
          <w:sz w:val="32"/>
          <w:szCs w:val="32"/>
          <w:shd w:val="clear" w:fill="FFFFFF"/>
          <w:lang w:eastAsia="zh-CN"/>
        </w:rPr>
        <w:t>：指单位取得的除</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财政拨款收入</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事业收入</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经营收入</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eastAsia="zh-CN"/>
        </w:rPr>
        <w:t>（五）使用非财政拨款结余</w:t>
      </w:r>
      <w:r>
        <w:rPr>
          <w:rFonts w:hint="eastAsia" w:ascii="方正仿宋_GBK" w:hAnsi="方正仿宋_GBK" w:eastAsia="方正仿宋_GBK" w:cs="方正仿宋_GBK"/>
          <w:snapToGrid w:val="0"/>
          <w:sz w:val="32"/>
          <w:szCs w:val="32"/>
          <w:shd w:val="clear" w:fill="FFFFFF"/>
          <w:lang w:eastAsia="zh-CN"/>
        </w:rPr>
        <w:t>：指单位在当年的</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财政拨款收入</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事业收入</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经营收入</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其他收入</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等不足以安排当年支出的情况下，使用以前年度积累的非财政拨款结余弥补本年度收支缺口的资金。</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eastAsia="zh-CN"/>
        </w:rPr>
        <w:t>（六）年初结转和结余</w:t>
      </w:r>
      <w:r>
        <w:rPr>
          <w:rFonts w:hint="eastAsia" w:ascii="方正仿宋_GBK" w:hAnsi="方正仿宋_GBK" w:eastAsia="方正仿宋_GBK" w:cs="方正仿宋_GBK"/>
          <w:snapToGrid w:val="0"/>
          <w:sz w:val="32"/>
          <w:szCs w:val="32"/>
          <w:shd w:val="clear" w:fill="FFFFFF"/>
          <w:lang w:eastAsia="zh-CN"/>
        </w:rPr>
        <w:t>：指单位上年结转本年使用的基本支出结转、项目支出结转和结余、经营结余。</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eastAsia="zh-CN"/>
        </w:rPr>
        <w:t>（七）结余分配</w:t>
      </w:r>
      <w:r>
        <w:rPr>
          <w:rFonts w:hint="eastAsia" w:ascii="方正仿宋_GBK" w:hAnsi="方正仿宋_GBK" w:eastAsia="方正仿宋_GBK" w:cs="方正仿宋_GBK"/>
          <w:snapToGrid w:val="0"/>
          <w:sz w:val="32"/>
          <w:szCs w:val="32"/>
          <w:shd w:val="clear" w:fill="FFFFFF"/>
          <w:lang w:eastAsia="zh-CN"/>
        </w:rPr>
        <w:t>：指单位按照国家有关规定，缴纳所得税、提取专用基金、转入非财政拨款结余等当年结余的分配情况。</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eastAsia="zh-CN"/>
        </w:rPr>
        <w:t>（八）年末结转和结余</w:t>
      </w:r>
      <w:r>
        <w:rPr>
          <w:rFonts w:hint="eastAsia" w:ascii="方正仿宋_GBK" w:hAnsi="方正仿宋_GBK" w:eastAsia="方正仿宋_GBK" w:cs="方正仿宋_GBK"/>
          <w:snapToGrid w:val="0"/>
          <w:sz w:val="32"/>
          <w:szCs w:val="32"/>
          <w:shd w:val="clear" w:fill="FFFFFF"/>
          <w:lang w:eastAsia="zh-CN"/>
        </w:rPr>
        <w:t>：指单位结转下年的基本支出结转、项目支出结转和结余、经营结余。</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eastAsia="zh-CN"/>
        </w:rPr>
        <w:t>（九）基本支出</w:t>
      </w:r>
      <w:r>
        <w:rPr>
          <w:rFonts w:hint="eastAsia" w:ascii="方正仿宋_GBK" w:hAnsi="方正仿宋_GBK" w:eastAsia="方正仿宋_GBK" w:cs="方正仿宋_GBK"/>
          <w:snapToGrid w:val="0"/>
          <w:sz w:val="32"/>
          <w:szCs w:val="32"/>
          <w:shd w:val="clear" w:fill="FFFFFF"/>
          <w:lang w:eastAsia="zh-CN"/>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工资福利支出</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和</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对个人和家庭的补助</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；公用经费指政府收支分类经济科目中除</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工资福利支出</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和</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对个人和家庭的补助</w:t>
      </w:r>
      <w:r>
        <w:rPr>
          <w:rFonts w:hint="eastAsia" w:ascii="方正仿宋_GBK" w:hAnsi="方正仿宋_GBK" w:eastAsia="方正仿宋_GBK" w:cs="方正仿宋_GBK"/>
          <w:sz w:val="32"/>
          <w:szCs w:val="32"/>
          <w:shd w:val="clear" w:fill="FFFFFF"/>
          <w:lang w:val="en-US"/>
        </w:rPr>
        <w:t>”</w:t>
      </w:r>
      <w:r>
        <w:rPr>
          <w:rFonts w:hint="eastAsia" w:ascii="方正仿宋_GBK" w:hAnsi="方正仿宋_GBK" w:eastAsia="方正仿宋_GBK" w:cs="方正仿宋_GBK"/>
          <w:snapToGrid w:val="0"/>
          <w:sz w:val="32"/>
          <w:szCs w:val="32"/>
          <w:shd w:val="clear" w:fill="FFFFFF"/>
          <w:lang w:eastAsia="zh-CN"/>
        </w:rPr>
        <w:t>外的其他支出。</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eastAsia="zh-CN"/>
        </w:rPr>
        <w:t>（十）项目支出</w:t>
      </w:r>
      <w:r>
        <w:rPr>
          <w:rFonts w:hint="eastAsia" w:ascii="方正仿宋_GBK" w:hAnsi="方正仿宋_GBK" w:eastAsia="方正仿宋_GBK" w:cs="方正仿宋_GBK"/>
          <w:snapToGrid w:val="0"/>
          <w:sz w:val="32"/>
          <w:szCs w:val="32"/>
          <w:shd w:val="clear" w:fill="FFFFFF"/>
          <w:lang w:eastAsia="zh-CN"/>
        </w:rPr>
        <w:t>：指在基本支出之外为完成特定行政任务和事业发展目标所发生的支出。</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eastAsia="zh-CN"/>
        </w:rPr>
        <w:t>（十一）经营支出</w:t>
      </w:r>
      <w:r>
        <w:rPr>
          <w:rFonts w:hint="eastAsia" w:ascii="方正仿宋_GBK" w:hAnsi="方正仿宋_GBK" w:eastAsia="方正仿宋_GBK" w:cs="方正仿宋_GBK"/>
          <w:snapToGrid w:val="0"/>
          <w:sz w:val="32"/>
          <w:szCs w:val="32"/>
          <w:shd w:val="clear" w:fill="FFFFFF"/>
          <w:lang w:eastAsia="zh-CN"/>
        </w:rPr>
        <w:t>：指事业单位在专业业务活动及其辅助活动之外开展非独立核算经营活动发生的支出。</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eastAsia="zh-CN"/>
        </w:rPr>
        <w:t>（十二）</w:t>
      </w:r>
      <w:r>
        <w:rPr>
          <w:rStyle w:val="7"/>
          <w:rFonts w:hint="eastAsia" w:ascii="方正仿宋_GBK" w:hAnsi="方正仿宋_GBK" w:eastAsia="方正仿宋_GBK" w:cs="方正仿宋_GBK"/>
          <w:sz w:val="32"/>
          <w:szCs w:val="32"/>
          <w:shd w:val="clear" w:fill="FFFFFF"/>
          <w:lang w:val="en-US"/>
        </w:rPr>
        <w:t>“</w:t>
      </w:r>
      <w:r>
        <w:rPr>
          <w:rStyle w:val="7"/>
          <w:rFonts w:hint="eastAsia" w:ascii="方正仿宋_GBK" w:hAnsi="方正仿宋_GBK" w:eastAsia="方正仿宋_GBK" w:cs="方正仿宋_GBK"/>
          <w:sz w:val="32"/>
          <w:szCs w:val="32"/>
          <w:shd w:val="clear" w:fill="FFFFFF"/>
          <w:lang w:eastAsia="zh-CN"/>
        </w:rPr>
        <w:t>三公</w:t>
      </w:r>
      <w:r>
        <w:rPr>
          <w:rStyle w:val="7"/>
          <w:rFonts w:hint="eastAsia" w:ascii="方正仿宋_GBK" w:hAnsi="方正仿宋_GBK" w:eastAsia="方正仿宋_GBK" w:cs="方正仿宋_GBK"/>
          <w:sz w:val="32"/>
          <w:szCs w:val="32"/>
          <w:shd w:val="clear" w:fill="FFFFFF"/>
          <w:lang w:val="en-US"/>
        </w:rPr>
        <w:t>”</w:t>
      </w:r>
      <w:r>
        <w:rPr>
          <w:rStyle w:val="7"/>
          <w:rFonts w:hint="eastAsia" w:ascii="方正仿宋_GBK" w:hAnsi="方正仿宋_GBK" w:eastAsia="方正仿宋_GBK" w:cs="方正仿宋_GBK"/>
          <w:sz w:val="32"/>
          <w:szCs w:val="32"/>
          <w:shd w:val="clear" w:fill="FFFFFF"/>
          <w:lang w:eastAsia="zh-CN"/>
        </w:rPr>
        <w:t>经费</w:t>
      </w:r>
      <w:r>
        <w:rPr>
          <w:rFonts w:hint="eastAsia" w:ascii="方正仿宋_GBK" w:hAnsi="方正仿宋_GBK" w:eastAsia="方正仿宋_GBK" w:cs="方正仿宋_GBK"/>
          <w:snapToGrid w:val="0"/>
          <w:sz w:val="32"/>
          <w:szCs w:val="32"/>
          <w:shd w:val="clear" w:fill="FFFFFF"/>
          <w:lang w:eastAsia="zh-CN"/>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eastAsia="zh-CN"/>
        </w:rPr>
        <w:t>（十三）机关运行经费</w:t>
      </w:r>
      <w:r>
        <w:rPr>
          <w:rFonts w:hint="eastAsia" w:ascii="方正仿宋_GBK" w:hAnsi="方正仿宋_GBK" w:eastAsia="方正仿宋_GBK" w:cs="方正仿宋_GBK"/>
          <w:snapToGrid w:val="0"/>
          <w:sz w:val="32"/>
          <w:szCs w:val="32"/>
          <w:shd w:val="clear" w:fill="FFFFFF"/>
          <w:lang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eastAsia="zh-CN"/>
        </w:rPr>
        <w:t>（十四）工资福利支出（支出经济分类科目类级）</w:t>
      </w:r>
      <w:r>
        <w:rPr>
          <w:rFonts w:hint="eastAsia" w:ascii="方正仿宋_GBK" w:hAnsi="方正仿宋_GBK" w:eastAsia="方正仿宋_GBK" w:cs="方正仿宋_GBK"/>
          <w:snapToGrid w:val="0"/>
          <w:sz w:val="32"/>
          <w:szCs w:val="32"/>
          <w:shd w:val="clear" w:fill="FFFFFF"/>
          <w:lang w:eastAsia="zh-CN"/>
        </w:rPr>
        <w:t>：反映单位开支的在职职工和编制外长期聘用人员的各类劳动报酬，以及为上述人员缴纳的各项社会保险费等。</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eastAsia="zh-CN"/>
        </w:rPr>
        <w:t>（十五）商品和服务支出（支出经济分类科目类级）</w:t>
      </w:r>
      <w:r>
        <w:rPr>
          <w:rFonts w:hint="eastAsia" w:ascii="方正仿宋_GBK" w:hAnsi="方正仿宋_GBK" w:eastAsia="方正仿宋_GBK" w:cs="方正仿宋_GBK"/>
          <w:snapToGrid w:val="0"/>
          <w:sz w:val="32"/>
          <w:szCs w:val="32"/>
          <w:shd w:val="clear" w:fill="FFFFFF"/>
          <w:lang w:eastAsia="zh-CN"/>
        </w:rPr>
        <w:t>：反映单位购买商品和服务的支出（不包括用于购置固定资产的支出、战略性和应急储备支出）。</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eastAsia="zh-CN"/>
        </w:rPr>
        <w:t>（十六）对个人和家庭的补助（支出经济分类科目类级）</w:t>
      </w:r>
      <w:r>
        <w:rPr>
          <w:rFonts w:hint="eastAsia" w:ascii="方正仿宋_GBK" w:hAnsi="方正仿宋_GBK" w:eastAsia="方正仿宋_GBK" w:cs="方正仿宋_GBK"/>
          <w:snapToGrid w:val="0"/>
          <w:sz w:val="32"/>
          <w:szCs w:val="32"/>
          <w:shd w:val="clear" w:fill="FFFFFF"/>
          <w:lang w:eastAsia="zh-CN"/>
        </w:rPr>
        <w:t>：反映用于对个人和家庭的补助支出。</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2"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fill="FFFFFF"/>
          <w:lang w:eastAsia="zh-CN"/>
        </w:rPr>
        <w:t>（十七）其他资本性支出（支出经济分类科目类级）</w:t>
      </w:r>
      <w:r>
        <w:rPr>
          <w:rFonts w:hint="eastAsia" w:ascii="方正仿宋_GBK" w:hAnsi="方正仿宋_GBK" w:eastAsia="方正仿宋_GBK" w:cs="方正仿宋_GBK"/>
          <w:snapToGrid w:val="0"/>
          <w:sz w:val="32"/>
          <w:szCs w:val="32"/>
          <w:shd w:val="clear" w:fill="FFFFFF"/>
          <w:lang w:eastAsia="zh-CN"/>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pageBreakBefore w:val="0"/>
        <w:widowControl/>
        <w:shd w:val="clear" w:fill="FFFFFF"/>
        <w:kinsoku/>
        <w:wordWrap/>
        <w:overflowPunct/>
        <w:topLinePunct w:val="0"/>
        <w:autoSpaceDE/>
        <w:autoSpaceDN/>
        <w:bidi w:val="0"/>
        <w:adjustRightInd/>
        <w:snapToGrid w:val="0"/>
        <w:spacing w:beforeAutospacing="0" w:afterAutospacing="0" w:line="578" w:lineRule="exact"/>
        <w:ind w:firstLine="640" w:firstLineChars="200"/>
        <w:textAlignment w:val="auto"/>
        <w:rPr>
          <w:rStyle w:val="7"/>
          <w:rFonts w:hint="eastAsia" w:ascii="方正黑体_GBK" w:hAnsi="方正黑体_GBK" w:eastAsia="方正黑体_GBK" w:cs="方正黑体_GBK"/>
          <w:b w:val="0"/>
          <w:bCs/>
          <w:sz w:val="32"/>
          <w:szCs w:val="32"/>
          <w:shd w:val="clear" w:fill="FFFFFF"/>
          <w:lang w:eastAsia="zh-CN"/>
        </w:rPr>
      </w:pPr>
      <w:bookmarkStart w:id="0" w:name="_GoBack"/>
      <w:r>
        <w:rPr>
          <w:rStyle w:val="7"/>
          <w:rFonts w:hint="eastAsia" w:ascii="方正黑体_GBK" w:hAnsi="方正黑体_GBK" w:eastAsia="方正黑体_GBK" w:cs="方正黑体_GBK"/>
          <w:b w:val="0"/>
          <w:bCs/>
          <w:sz w:val="32"/>
          <w:szCs w:val="32"/>
          <w:shd w:val="clear" w:fill="FFFFFF"/>
          <w:lang w:eastAsia="zh-CN"/>
        </w:rPr>
        <w:t>七、决算公开联系方式及信息反馈渠道</w:t>
      </w:r>
    </w:p>
    <w:bookmarkEnd w:id="0"/>
    <w:p>
      <w:pPr>
        <w:keepNext w:val="0"/>
        <w:keepLines w:val="0"/>
        <w:pageBreakBefore w:val="0"/>
        <w:kinsoku/>
        <w:wordWrap/>
        <w:overflowPunct/>
        <w:topLinePunct w:val="0"/>
        <w:autoSpaceDE/>
        <w:autoSpaceDN/>
        <w:bidi w:val="0"/>
        <w:adjustRightInd/>
        <w:spacing w:line="578" w:lineRule="exact"/>
        <w:ind w:firstLine="642" w:firstLineChars="200"/>
        <w:textAlignment w:val="auto"/>
        <w:rPr>
          <w:rFonts w:eastAsia="方正仿宋_GBK" w:cs="仿宋_GB2312"/>
          <w:b/>
          <w:sz w:val="32"/>
        </w:rPr>
      </w:pPr>
      <w:r>
        <w:rPr>
          <w:rFonts w:hint="eastAsia" w:eastAsia="方正仿宋_GBK" w:cs="仿宋_GB2312"/>
          <w:b/>
          <w:sz w:val="32"/>
        </w:rPr>
        <w:t xml:space="preserve">单位决算公开联系人：卢维  </w:t>
      </w:r>
      <w:r>
        <w:rPr>
          <w:rFonts w:hint="eastAsia" w:eastAsia="方正仿宋_GBK" w:cs="仿宋_GB2312"/>
          <w:b/>
          <w:sz w:val="32"/>
          <w:lang w:val="en-US" w:eastAsia="zh-CN"/>
        </w:rPr>
        <w:t xml:space="preserve">  </w:t>
      </w:r>
      <w:r>
        <w:rPr>
          <w:rFonts w:hint="eastAsia" w:ascii="Times New Roman" w:hAnsi="Times New Roman" w:eastAsia="方正仿宋_GBK" w:cs="Times New Roman"/>
          <w:b/>
          <w:bCs/>
          <w:kern w:val="0"/>
          <w:sz w:val="32"/>
          <w:szCs w:val="32"/>
          <w:lang w:val="en-US" w:eastAsia="zh-CN" w:bidi="ar-SA"/>
        </w:rPr>
        <w:t>023-55382993</w:t>
      </w:r>
    </w:p>
    <w:p>
      <w:pPr>
        <w:keepNext w:val="0"/>
        <w:keepLines w:val="0"/>
        <w:pageBreakBefore w:val="0"/>
        <w:kinsoku/>
        <w:wordWrap/>
        <w:overflowPunct/>
        <w:topLinePunct w:val="0"/>
        <w:autoSpaceDE/>
        <w:autoSpaceDN/>
        <w:bidi w:val="0"/>
        <w:adjustRightInd/>
        <w:spacing w:beforeAutospacing="0" w:afterAutospacing="0" w:line="578" w:lineRule="exact"/>
        <w:ind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48046240"/>
    <w:rsid w:val="09186FC6"/>
    <w:rsid w:val="0AC32DD0"/>
    <w:rsid w:val="2BBC3B7F"/>
    <w:rsid w:val="32B127C0"/>
    <w:rsid w:val="3EFBEE8C"/>
    <w:rsid w:val="48046240"/>
    <w:rsid w:val="56894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Strong"/>
    <w:basedOn w:val="6"/>
    <w:qFormat/>
    <w:uiPriority w:val="0"/>
    <w:rPr>
      <w:b/>
    </w:rPr>
  </w:style>
  <w:style w:type="character" w:customStyle="1" w:styleId="8">
    <w:name w:val="页眉 Char"/>
    <w:basedOn w:val="6"/>
    <w:link w:val="3"/>
    <w:qFormat/>
    <w:uiPriority w:val="0"/>
    <w:rPr>
      <w:rFonts w:hint="eastAsia" w:ascii="宋体" w:hAnsi="宋体" w:eastAsia="宋体" w:cs="宋体"/>
      <w:sz w:val="18"/>
      <w:szCs w:val="18"/>
    </w:rPr>
  </w:style>
  <w:style w:type="character" w:customStyle="1" w:styleId="9">
    <w:name w:val="页脚 Char"/>
    <w:basedOn w:val="6"/>
    <w:link w:val="2"/>
    <w:qFormat/>
    <w:uiPriority w:val="0"/>
    <w:rPr>
      <w:rFonts w:hint="eastAsia" w:ascii="宋体" w:hAnsi="宋体" w:eastAsia="宋体" w:cs="宋体"/>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2023-10-23T15:37:00Z</dcterms:created>
  <dc:creator>cxdn15</dc:creator>
  <cp:lastModifiedBy>user</cp:lastModifiedBy>
  <dcterms:modified xsi:type="dcterms:W3CDTF">2023-10-24T15:31:58Z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66B5A28CEA154DB88A453EF218ED2CBA_11</vt:lpwstr>
  </property>
</Properties>
</file>