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仿宋_GBK" w:hAnsi="宋体" w:eastAsia="方正仿宋_GBK" w:cs="宋体"/>
          <w:kern w:val="0"/>
          <w:sz w:val="40"/>
          <w:szCs w:val="40"/>
          <w:lang w:val="en-US" w:eastAsia="zh-CN" w:bidi="ar-SA"/>
        </w:rPr>
      </w:pPr>
      <w:r>
        <w:rPr>
          <w:rFonts w:hint="eastAsia" w:ascii="方正仿宋_GBK" w:hAnsi="宋体" w:eastAsia="方正仿宋_GBK" w:cs="宋体"/>
          <w:kern w:val="0"/>
          <w:sz w:val="40"/>
          <w:szCs w:val="40"/>
          <w:lang w:val="en-US" w:eastAsia="zh-CN" w:bidi="ar-SA"/>
        </w:rPr>
        <w:t>云阳县路阳镇文化服务中心</w:t>
      </w:r>
    </w:p>
    <w:p>
      <w:pPr>
        <w:pStyle w:val="2"/>
        <w:keepNext w:val="0"/>
        <w:keepLines w:val="0"/>
        <w:widowControl/>
        <w:suppressLineNumbers w:val="0"/>
        <w:jc w:val="center"/>
        <w:rPr>
          <w:rFonts w:hint="eastAsia" w:ascii="方正仿宋_GBK" w:hAnsi="宋体" w:eastAsia="方正仿宋_GBK" w:cs="宋体"/>
          <w:kern w:val="0"/>
          <w:sz w:val="40"/>
          <w:szCs w:val="40"/>
          <w:lang w:val="en-US" w:eastAsia="zh-CN" w:bidi="ar-SA"/>
        </w:rPr>
      </w:pPr>
      <w:r>
        <w:rPr>
          <w:rFonts w:hint="eastAsia" w:ascii="方正仿宋_GBK" w:hAnsi="宋体" w:eastAsia="方正仿宋_GBK" w:cs="宋体"/>
          <w:kern w:val="0"/>
          <w:sz w:val="40"/>
          <w:szCs w:val="40"/>
          <w:lang w:val="en-US" w:eastAsia="zh-CN" w:bidi="ar-SA"/>
        </w:rPr>
        <w:t>2022年度部门决算情况说明</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一、部门基本情况</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（一）职能职责</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负责开展文化宣传、文艺活动组织实施工作；负责辖区内的文化市场，村（社区）文化室的业务指导；负责文化体育交流、民间文化艺术遗产收集整理与负责开展群众性体育及全民健身活动；负责广播电视的传输、维修、整治、扩展和管理，围绕党委、政府中心工作开展宣传，为辖区内的“三个文明”建设营造良好的舆论环境服务；承办镇党委、政府交办的其它工作。</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二、部门决算情况说明</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（一）收入支出决算总体情况说明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1.总体情况。2022年度收入总计38.55万元，支出总计38.55万元。收支较上年决算数增加38.55万元,增长100%，主要原因是新纳入决算范围单位，上年度未独立决算。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2.收入情况。2022年度收入合计38.55万元，较上年决算数增加38.55万元，增长100%，主要原因是主要原因是新纳入决算范围单位，上年度未独立决算。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3.支出情况。2022年度支出合计38.55万元，较上年决算增加38.55万元，增长100%，主要原因是新纳入决算范围单位，上年度未独立决算。其中：基本支出38.55万元，占100%。</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4.结转结余情况。</w:t>
      </w:r>
      <w:r>
        <w:rPr>
          <w:rFonts w:hint="eastAsia" w:ascii="方正仿宋_GBK" w:hAnsi="宋体" w:eastAsia="方正仿宋_GBK" w:cs="宋体"/>
          <w:kern w:val="0"/>
          <w:sz w:val="32"/>
          <w:szCs w:val="32"/>
          <w:lang w:val="en-US" w:eastAsia="zh-CN" w:bidi="ar-SA"/>
        </w:rPr>
        <w:t>2022年度零结转结余。主要原因是实行收付实现制。</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（二）财政拨款收入支出决算总体情况说明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2022年度财政拨款收、支总计38.55万元。与2021年相比，财政拨款收、支总计各增加38.55万元，增长100%。主要原因是新纳入决算范围单位，上年度未独立决算。</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（三）一般公共预算财政拨款收入支出决算情况说明</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收入情况。2022年度一般公共预算财政拨款收入38.55万元，较上年决算数增加38.55万元，增长100%。主要原因是新纳入决算范围单位，上年度未独立决算。较年初预算数增加7.04万元，增长22.3%。主要原因是人员经费增加，追加了预算。</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支出情况。2022年度一般公共预算财政拨款支出38.55万元，较上年决算数增加38.55万元，增长100%。主要原因是新纳入决算范围单位，上年度未独立决算。较年初预算数增加7.04万元，增长22.3%。主要原因是人员经费增加，追加了预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3.结转结余情况。</w:t>
      </w:r>
      <w:r>
        <w:rPr>
          <w:rFonts w:hint="eastAsia" w:ascii="方正仿宋_GBK" w:hAnsi="宋体" w:eastAsia="方正仿宋_GBK" w:cs="宋体"/>
          <w:kern w:val="0"/>
          <w:sz w:val="32"/>
          <w:szCs w:val="32"/>
          <w:lang w:val="en-US" w:eastAsia="zh-CN" w:bidi="ar-SA"/>
        </w:rPr>
        <w:t>2022年度零结转结余。主要原因是实行收付实现制。</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4.比较情况。本部门2022年度一般公共预算财政拨款支出主要用于以下几个方面：</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（1）文化旅游体育与传媒支出27.35万元，占70.9%，较年初预算数增加4.15万元，增长17.9%，主要原因是人员经费增加，追加了预算。</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（2）社会保障与就业支出7.55万元，占19.6%，较年初预算数增加2.39万元，增长46.3%，主要原因是人员经费增加，追加了预算。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（3）卫生健康支出1.94万元，占5%，较年初预算数增加0.23万元，增长13.5%，主要原因是人员经费增加，追加了预算。</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（4）住房保障支出1.71万元，占4.4%，较年初预算数增加0.28万元，增长19.6%，主要原因是人员经费增加，追加了预算。</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（四）一般公共预算财政拨款基本支出决算情况说明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一般公共预算财政拨款基本支出38.55万元。其中：人员经费38.08万元，较上年决算数增加38.08万元，增长100%，主要原因是新纳入决算范围单位，上年度未独立决算。人员经费用途主要包括人员工资及其他福利。公用经费0.47万元，较上年决算数增加0.47万元，增长100%，主要原因是新纳入决算范围单位，上年度未独立决算。公用经费用途主要包括办公费、差旅费、维修费、会议费、劳务费、公务用车等。</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（五）政府性基金预算收支决算情况说明。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本单位2022年无政府性基金预算财政拨款收支。</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（六）国有资本经营预算财政拨款支出决算情况说明。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本单位2022年无国有资本经营预算财政拨款支出。</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三、“三公”经费情况说明</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（一）“三公”经费支出总体情况说明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本单位三公经费支出均由一级预算单位路阳镇人民政府机关保障，费用支出体现在路阳镇人民政府机关决算中。</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（二）“三公”经费分项支出情况</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2022年度本部门未发生因公出国（境）费用、公务车购置费、公务车运行维护费、公务接待费。</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（三）“三公”经费实物量情况</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四、其他需要说明的事项</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（一）财政拨款会议费和培训费情况说明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由于决算填报口径原因，会议费体现在一级预算单位路阳镇人民政府决算报告中。本年度培训费支出0.08万元，较上年决算数增加0.08万元，增长100%，主要原因是主要原因是新纳入决算范围单位，上年度未独立决算。</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（二）机关运行经费支出情况说明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本单位机关运行经费支出均由一级预算单位路阳镇人民政府机关保障，费用支出体现在路阳镇人民政府机关决算中。</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（三）国有资产占用情况说明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因决算填报原因，我单位属于二级预算单位，资产未纳入部门决算报表。</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（四）政府采购支出说明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2022年度我单位未发生政府采购事项，无相关经费支出。</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五、预算绩效管理情况说明   </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2022年度本单位无项目</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六、专业名词解释</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（一）财政拨款收入：指本年度从本级财政部门取得的财政拨款，包括一般公共预算财政拨款和政府性基金预算财政拨款。</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（三）经营收入：指事业单位在专业业务活动及其辅助活动之外开展非独立核算经营活动取得的现金流入。</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（六）年初结转和结余：指单位上年结转本年使用的基本支出结转、项目支出结转和结余、经营结余。</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（七）结余分配：指单位按照国家有关规定，缴纳所得税、提取专用基金、转入非财政拨款结余等当年结余的分配情况。</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（八）年末结转和结余：指单位结转下年的基本支出结转、项目支出结转和结余、经营结余。</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（十）项目支出：指在基本支出之外为完成特定行政任务和事业发展目标所发生的支出。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（十一）经营支出：指事业单位在专业业务活动及其辅助活动之外开展非独立核算经营活动发生的支出。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（十六）对个人和家庭的补助（支出经济分类科目类级）：反映用于对个人和家庭的补助支出。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七、决算公开联系方式及信息反馈渠道</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bookmarkStart w:id="0" w:name="_GoBack"/>
      <w:bookmarkEnd w:id="0"/>
      <w:r>
        <w:rPr>
          <w:rFonts w:hint="eastAsia" w:ascii="方正仿宋_GBK" w:hAnsi="宋体" w:eastAsia="方正仿宋_GBK" w:cs="宋体"/>
          <w:kern w:val="0"/>
          <w:sz w:val="32"/>
          <w:szCs w:val="32"/>
          <w:lang w:val="en-US" w:eastAsia="zh-CN" w:bidi="ar-SA"/>
        </w:rPr>
        <w:t>本单位决算公开信息反馈和联系方式：55821012。</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mY1NjAyMzRiZjA1NjZjNzE2NTU4ZWEwNzc5YzYifQ=="/>
  </w:docVars>
  <w:rsids>
    <w:rsidRoot w:val="00000000"/>
    <w:rsid w:val="1680402C"/>
    <w:rsid w:val="30D556E0"/>
    <w:rsid w:val="42A6271A"/>
    <w:rsid w:val="4C214829"/>
    <w:rsid w:val="6617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2023-10-19T11:09:00Z</dcterms:created>
  <dc:creator>Administrator</dc:creator>
  <cp:lastModifiedBy>Administrator</cp:lastModifiedBy>
  <dcterms:modified xsi:type="dcterms:W3CDTF">2023-10-23T02:19:03Z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088C63CAEC7B460E85858CA7C3277C96_12</vt:lpwstr>
  </property>
</Properties>
</file>