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afterAutospacing="0" w:line="540" w:lineRule="exact"/>
        <w:ind w:firstLine="0" w:firstLineChars="0"/>
        <w:jc w:val="center"/>
        <w:textAlignment w:val="auto"/>
        <w:rPr>
          <w:rFonts w:hint="default" w:ascii="Times New Roman" w:hAnsi="Times New Roman" w:eastAsia="方正小标宋_GBK" w:cs="Times New Roman"/>
          <w:kern w:val="2"/>
          <w:sz w:val="44"/>
          <w:szCs w:val="44"/>
          <w:lang w:bidi="ar-SA"/>
        </w:rPr>
      </w:pPr>
      <w:r>
        <w:rPr>
          <w:rFonts w:hint="default" w:ascii="Times New Roman" w:hAnsi="Times New Roman" w:eastAsia="方正小标宋_GBK" w:cs="Times New Roman"/>
          <w:kern w:val="2"/>
          <w:sz w:val="44"/>
          <w:szCs w:val="44"/>
          <w:lang w:bidi="ar-SA"/>
        </w:rPr>
        <w:t>云阳县后叶镇人民政府（本级）</w:t>
      </w:r>
    </w:p>
    <w:p>
      <w:pPr>
        <w:keepNext w:val="0"/>
        <w:keepLines w:val="0"/>
        <w:pageBreakBefore w:val="0"/>
        <w:widowControl w:val="0"/>
        <w:kinsoku/>
        <w:wordWrap/>
        <w:overflowPunct/>
        <w:topLinePunct w:val="0"/>
        <w:autoSpaceDE/>
        <w:autoSpaceDN/>
        <w:bidi w:val="0"/>
        <w:adjustRightInd/>
        <w:snapToGrid/>
        <w:spacing w:afterAutospacing="0" w:line="540" w:lineRule="exact"/>
        <w:ind w:firstLine="0" w:firstLineChars="0"/>
        <w:jc w:val="center"/>
        <w:textAlignment w:val="auto"/>
        <w:rPr>
          <w:rFonts w:hint="default" w:ascii="Times New Roman" w:hAnsi="Times New Roman" w:eastAsia="方正小标宋_GBK" w:cs="Times New Roman"/>
          <w:kern w:val="2"/>
          <w:sz w:val="44"/>
          <w:szCs w:val="44"/>
          <w:lang w:bidi="ar-SA"/>
        </w:rPr>
      </w:pPr>
      <w:r>
        <w:rPr>
          <w:rFonts w:hint="default" w:ascii="Times New Roman" w:hAnsi="Times New Roman" w:eastAsia="方正小标宋_GBK" w:cs="Times New Roman"/>
          <w:kern w:val="2"/>
          <w:sz w:val="44"/>
          <w:szCs w:val="44"/>
          <w:lang w:bidi="ar-SA"/>
        </w:rPr>
        <w:t>2022年度部门决算情况说明</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小标宋_GBK" w:cs="Times New Roman"/>
          <w:b w:val="0"/>
          <w:bCs w:val="0"/>
          <w:kern w:val="2"/>
          <w:sz w:val="32"/>
          <w:szCs w:val="32"/>
          <w:lang w:bidi="ar-SA"/>
        </w:rPr>
      </w:pPr>
    </w:p>
    <w:p>
      <w:pPr>
        <w:pStyle w:val="15"/>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黑体_GBK" w:cs="Times New Roman"/>
          <w:b w:val="0"/>
          <w:bCs w:val="0"/>
          <w:kern w:val="2"/>
          <w:sz w:val="32"/>
          <w:szCs w:val="32"/>
          <w:lang w:bidi="ar-SA"/>
        </w:rPr>
      </w:pPr>
      <w:r>
        <w:rPr>
          <w:rFonts w:hint="default" w:ascii="Times New Roman" w:hAnsi="Times New Roman" w:eastAsia="方正黑体_GBK" w:cs="Times New Roman"/>
          <w:b w:val="0"/>
          <w:bCs w:val="0"/>
          <w:kern w:val="2"/>
          <w:sz w:val="32"/>
          <w:szCs w:val="32"/>
          <w:lang w:bidi="ar-SA"/>
        </w:rPr>
        <w:t>一、部门基本情况</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eastAsia" w:ascii="Times New Roman" w:hAnsi="Times New Roman" w:eastAsia="方正楷体_GBK" w:cs="Times New Roman"/>
          <w:b w:val="0"/>
          <w:bCs w:val="0"/>
          <w:sz w:val="32"/>
          <w:szCs w:val="32"/>
          <w:highlight w:val="none"/>
          <w:lang w:eastAsia="zh-CN"/>
        </w:rPr>
      </w:pPr>
      <w:r>
        <w:rPr>
          <w:rStyle w:val="14"/>
          <w:rFonts w:hint="default" w:ascii="Times New Roman" w:hAnsi="Times New Roman" w:eastAsia="方正楷体_GBK" w:cs="Times New Roman"/>
          <w:b w:val="0"/>
          <w:bCs w:val="0"/>
          <w:sz w:val="32"/>
          <w:szCs w:val="32"/>
          <w:highlight w:val="none"/>
          <w:shd w:val="clear" w:fill="FFFFFF"/>
        </w:rPr>
        <w:t>（一）职能职责</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FF0000"/>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维持后叶镇正常的行政事业运行，宏观调控镇的经济建设、抓基础设施建设，维护社会稳定。</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（二）机构设置</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5"/>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本镇设置内设机构10个。分别为：党政办公室、党群工作办公室、人民代表大会办公室、经济发展办公室、民政和社会事务办公室、平安建设办公室、规划建设管理环保办公室、财政办公室、应急管理办公室、综合行政执法办公室。</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党政办公室：主要负责综合协调、文电、会务、机要、档案等机关日常运转工作。承担重要文稿起草、交办督办、信息、政务公开、电子政务等工作。</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党群工作办公室：主要负责党的建设、纪检、宣传、统战、武装、机构编制、干部人事、民宗侨台、群团等职责。</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人民代表大会办公室：主要负责乡镇人民代表大会、主席团履行法定职权职责的具体工作，组织人大代表视察、调研、评议等活动，收集、整理、交办代表建议等职责。</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经济发展办公室：主要负责经济发展规划、农村经营管理、经济社会统计、扶贫开发等职责。</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社会事务办公室：主要负责民政、教育、卫生、计生、老龄、文化、体育、社会救助、残疾人事业、劳动就业、社会保障、退役军人管理等职责。</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平安建设办公室：主要负责信访、人民调解、社会治安综合治理、防范和处理邪教等职责。</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规划建设管理环保办公室：主要负责村镇规划、村镇建设、市政公用、市容环卫、环境保护等职责。</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财政办公室：主要负责财政收支、预决算、总会计、惠农资金兑付、财政资金监督检查、绩效管理、村级财务管理等职责。</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安全生产监督管理办公室：主要负责安全生产宣传教育和综合监管，协助开展矿山、危险化学品、烟花爆竹等安全生产日常监管工作，食品药品监督管理，应急管理等职责。</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color w:val="FF0000"/>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综合行政执法办公室：集中行使依法授权或委托的行政执法权。具体集中行使依法授权或委托的农林水利、规划建设、环境保护、卫生计生、文化旅游、民政管理、道路交通等领域的行政执法权。</w:t>
      </w:r>
    </w:p>
    <w:p>
      <w:pPr>
        <w:pStyle w:val="15"/>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黑体_GBK" w:cs="Times New Roman"/>
          <w:b w:val="0"/>
          <w:bCs w:val="0"/>
          <w:kern w:val="2"/>
          <w:sz w:val="32"/>
          <w:szCs w:val="32"/>
          <w:lang w:bidi="ar-SA"/>
        </w:rPr>
      </w:pPr>
      <w:r>
        <w:rPr>
          <w:rFonts w:hint="default" w:ascii="Times New Roman" w:hAnsi="Times New Roman" w:eastAsia="方正黑体_GBK" w:cs="Times New Roman"/>
          <w:b w:val="0"/>
          <w:bCs w:val="0"/>
          <w:kern w:val="2"/>
          <w:sz w:val="32"/>
          <w:szCs w:val="32"/>
          <w:lang w:val="en-US" w:eastAsia="zh-CN" w:bidi="ar-SA"/>
        </w:rPr>
        <w:t>二、部门决算情况说明</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（一）收入支出决算总体情况说明</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1.总体情况。2022年度收入总计2,786.80万元，支出总计2,786.80万元。收支较上年决算数减少748.09万元,下降21.2%，主要原因是一般公共预算财政拨款</w:t>
      </w:r>
      <w:bookmarkStart w:id="0" w:name="_GoBack"/>
      <w:bookmarkEnd w:id="0"/>
      <w:r>
        <w:rPr>
          <w:rFonts w:hint="default" w:ascii="Times New Roman" w:hAnsi="Times New Roman" w:eastAsia="方正仿宋_GBK" w:cs="Times New Roman"/>
          <w:b w:val="0"/>
          <w:bCs w:val="0"/>
          <w:color w:val="auto"/>
          <w:sz w:val="32"/>
          <w:szCs w:val="32"/>
          <w:highlight w:val="none"/>
          <w:shd w:val="clear" w:fill="FFFFFF"/>
          <w:lang w:val="en-US" w:eastAsia="zh-CN"/>
        </w:rPr>
        <w:t>收入支出减少</w:t>
      </w:r>
      <w:r>
        <w:rPr>
          <w:rFonts w:hint="default" w:ascii="Times New Roman" w:hAnsi="Times New Roman" w:eastAsia="方正仿宋_GBK" w:cs="Times New Roman"/>
          <w:b w:val="0"/>
          <w:bCs w:val="0"/>
          <w:color w:val="auto"/>
          <w:sz w:val="32"/>
          <w:szCs w:val="32"/>
          <w:highlight w:val="none"/>
          <w:shd w:val="clear" w:fill="FFFFFF"/>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2.收入情况。2022年度收入合计2,574.25万元，较上年决算数减少552.16万元，下降17.7%，主要原因是一般公共预算财政拨款收入</w:t>
      </w:r>
      <w:r>
        <w:rPr>
          <w:rFonts w:hint="default" w:ascii="Times New Roman" w:hAnsi="Times New Roman" w:eastAsia="方正仿宋_GBK" w:cs="Times New Roman"/>
          <w:b w:val="0"/>
          <w:bCs w:val="0"/>
          <w:color w:val="auto"/>
          <w:sz w:val="32"/>
          <w:szCs w:val="32"/>
          <w:highlight w:val="none"/>
          <w:shd w:val="clear" w:fill="FFFFFF"/>
          <w:lang w:val="en-US" w:eastAsia="zh-CN"/>
        </w:rPr>
        <w:t>减少</w:t>
      </w:r>
      <w:r>
        <w:rPr>
          <w:rFonts w:hint="default" w:ascii="Times New Roman" w:hAnsi="Times New Roman" w:eastAsia="方正仿宋_GBK" w:cs="Times New Roman"/>
          <w:b w:val="0"/>
          <w:bCs w:val="0"/>
          <w:color w:val="auto"/>
          <w:sz w:val="32"/>
          <w:szCs w:val="32"/>
          <w:highlight w:val="none"/>
          <w:shd w:val="clear" w:fill="FFFFFF"/>
        </w:rPr>
        <w:t>，政府性基金收入减少。其中：财政拨款收入2,574.25万元，占100%。此外，年初结转和结余212.55万元。</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3.支出情况。2022年度支出合计2,784.96万元，较上年决算减少433.65万元，下降13.5%，主要原因是项目支出减少</w:t>
      </w:r>
      <w:r>
        <w:rPr>
          <w:rFonts w:hint="default" w:ascii="Times New Roman" w:hAnsi="Times New Roman" w:eastAsia="方正仿宋_GBK" w:cs="Times New Roman"/>
          <w:b w:val="0"/>
          <w:bCs w:val="0"/>
          <w:color w:val="auto"/>
          <w:sz w:val="32"/>
          <w:szCs w:val="32"/>
          <w:highlight w:val="none"/>
          <w:shd w:val="clear" w:fill="FFFFFF"/>
          <w:lang w:eastAsia="zh-CN"/>
        </w:rPr>
        <w:t>。</w:t>
      </w:r>
      <w:r>
        <w:rPr>
          <w:rFonts w:hint="default" w:ascii="Times New Roman" w:hAnsi="Times New Roman" w:eastAsia="方正仿宋_GBK" w:cs="Times New Roman"/>
          <w:b w:val="0"/>
          <w:bCs w:val="0"/>
          <w:color w:val="auto"/>
          <w:sz w:val="32"/>
          <w:szCs w:val="32"/>
          <w:highlight w:val="none"/>
          <w:shd w:val="clear" w:fill="FFFFFF"/>
        </w:rPr>
        <w:t>其中：基本支出579.00万元，占20.8%；项目支出2,205.96万元，占79.2%。</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4.结转结余情况。2022年度年末结转和结余1.84万元，较上年决算数减少314.44万元，下降99.4%，主要原因是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各项资金拨付进度较好，结转结余较少。</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（二）财政拨款收入支出决算总体情况说明</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2022年度财政拨款收、支总计2,786.80万元。与2021年相比，财政拨款收、支总计各减少748.09万元，下降21.2%。主要原因是一般公共预算财政拨款收入和支出</w:t>
      </w:r>
      <w:r>
        <w:rPr>
          <w:rFonts w:hint="default" w:ascii="Times New Roman" w:hAnsi="Times New Roman" w:eastAsia="方正仿宋_GBK" w:cs="Times New Roman"/>
          <w:b w:val="0"/>
          <w:bCs w:val="0"/>
          <w:color w:val="auto"/>
          <w:sz w:val="32"/>
          <w:szCs w:val="32"/>
          <w:highlight w:val="none"/>
          <w:shd w:val="clear" w:fill="FFFFFF"/>
          <w:lang w:val="en-US" w:eastAsia="zh-CN"/>
        </w:rPr>
        <w:t>减少</w:t>
      </w:r>
      <w:r>
        <w:rPr>
          <w:rFonts w:hint="default" w:ascii="Times New Roman" w:hAnsi="Times New Roman" w:eastAsia="方正仿宋_GBK" w:cs="Times New Roman"/>
          <w:b w:val="0"/>
          <w:bCs w:val="0"/>
          <w:color w:val="auto"/>
          <w:sz w:val="32"/>
          <w:szCs w:val="32"/>
          <w:highlight w:val="none"/>
          <w:shd w:val="clear" w:fill="FFFFFF"/>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（三）一般公共预算财政拨款收入支出决算情况说明</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1.收入情况。2022年度一般公共预算财政拨款收入2,562.62万元，较上年决算数减少521.09万元，下降16.9%。较年初预算数增加1,236.67万元，增长93.3%。主要原因是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增加了返乡创业园</w:t>
      </w: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生态农业园、</w:t>
      </w:r>
      <w:r>
        <w:rPr>
          <w:rFonts w:hint="default" w:ascii="Times New Roman" w:hAnsi="Times New Roman" w:eastAsia="方正仿宋_GBK" w:cs="Times New Roman"/>
          <w:b w:val="0"/>
          <w:bCs w:val="0"/>
          <w:color w:val="auto"/>
          <w:sz w:val="32"/>
          <w:szCs w:val="32"/>
          <w:highlight w:val="none"/>
          <w:shd w:val="clear" w:fill="FFFFFF"/>
        </w:rPr>
        <w:t>组级公路通达通畅工程项目支出等</w:t>
      </w:r>
      <w:r>
        <w:rPr>
          <w:rFonts w:hint="default" w:ascii="Times New Roman" w:hAnsi="Times New Roman" w:eastAsia="方正仿宋_GBK" w:cs="Times New Roman"/>
          <w:b w:val="0"/>
          <w:bCs w:val="0"/>
          <w:color w:val="auto"/>
          <w:sz w:val="32"/>
          <w:szCs w:val="32"/>
          <w:highlight w:val="none"/>
          <w:shd w:val="clear" w:fill="FFFFFF"/>
          <w:lang w:eastAsia="zh-CN"/>
        </w:rPr>
        <w:t>。</w:t>
      </w:r>
      <w:r>
        <w:rPr>
          <w:rFonts w:hint="default" w:ascii="Times New Roman" w:hAnsi="Times New Roman" w:eastAsia="方正仿宋_GBK" w:cs="Times New Roman"/>
          <w:b w:val="0"/>
          <w:bCs w:val="0"/>
          <w:color w:val="auto"/>
          <w:sz w:val="32"/>
          <w:szCs w:val="32"/>
          <w:highlight w:val="none"/>
          <w:shd w:val="clear" w:fill="FFFFFF"/>
        </w:rPr>
        <w:t>此外，年初财政拨款结转和结余194.29万元。</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2.支出情况。2022年度一般公共预算财政拨款支出2,755.07万元，较上年决算数减少289.06万元，下降9.5%。主要原因是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人员工资、民政救助标准变动</w:t>
      </w:r>
      <w:r>
        <w:rPr>
          <w:rFonts w:hint="default" w:ascii="Times New Roman" w:hAnsi="Times New Roman" w:eastAsia="方正仿宋_GBK" w:cs="Times New Roman"/>
          <w:b w:val="0"/>
          <w:bCs w:val="0"/>
          <w:color w:val="auto"/>
          <w:sz w:val="32"/>
          <w:szCs w:val="32"/>
          <w:highlight w:val="none"/>
          <w:shd w:val="clear" w:fill="FFFFFF"/>
        </w:rPr>
        <w:t>。较年初预算数增加1,234.83万元，增长81.2%。主要原因是增加</w:t>
      </w:r>
      <w:r>
        <w:rPr>
          <w:rFonts w:hint="default" w:ascii="Times New Roman" w:hAnsi="Times New Roman" w:eastAsia="方正仿宋_GBK" w:cs="Times New Roman"/>
          <w:b w:val="0"/>
          <w:bCs w:val="0"/>
          <w:color w:val="auto"/>
          <w:sz w:val="32"/>
          <w:szCs w:val="32"/>
          <w:highlight w:val="none"/>
          <w:shd w:val="clear" w:fill="FFFFFF"/>
          <w:lang w:val="en-US" w:eastAsia="zh-CN"/>
        </w:rPr>
        <w:t>返乡创业园、生态农业园</w:t>
      </w:r>
      <w:r>
        <w:rPr>
          <w:rFonts w:hint="default" w:ascii="Times New Roman" w:hAnsi="Times New Roman" w:eastAsia="方正仿宋_GBK" w:cs="Times New Roman"/>
          <w:b w:val="0"/>
          <w:bCs w:val="0"/>
          <w:color w:val="auto"/>
          <w:sz w:val="32"/>
          <w:szCs w:val="32"/>
          <w:highlight w:val="none"/>
          <w:shd w:val="clear" w:fill="FFFFFF"/>
        </w:rPr>
        <w:t>、组级公路通达通畅工程项目支出等。</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3.结转结余情况。2022年度年末一般公共预算财政拨款结转和结余1.84万元，较上年决算数减少272.25万元，下降99.3%，主要原因是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各项资金拨付进度较好，结转结余较少。</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4.比较情况。本部门2022年度一般公共预算财政拨款支出主要用于以下几个方面：</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（1）一般公共服务支出545.67万元，占19.8%，较年初预算数增加53.60万元，增长10.9%，主要原因是项目增加，支出增加等。</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（2）国防支出1.00万元，占0</w:t>
      </w:r>
      <w:r>
        <w:rPr>
          <w:rFonts w:hint="default" w:ascii="Times New Roman" w:hAnsi="Times New Roman" w:eastAsia="方正仿宋_GBK" w:cs="Times New Roman"/>
          <w:b w:val="0"/>
          <w:bCs w:val="0"/>
          <w:color w:val="auto"/>
          <w:sz w:val="32"/>
          <w:szCs w:val="32"/>
          <w:highlight w:val="none"/>
          <w:shd w:val="clear" w:fill="FFFFFF"/>
          <w:lang w:val="en-US" w:eastAsia="zh-CN"/>
        </w:rPr>
        <w:t>.03</w:t>
      </w:r>
      <w:r>
        <w:rPr>
          <w:rFonts w:hint="default" w:ascii="Times New Roman" w:hAnsi="Times New Roman" w:eastAsia="方正仿宋_GBK" w:cs="Times New Roman"/>
          <w:b w:val="0"/>
          <w:bCs w:val="0"/>
          <w:color w:val="auto"/>
          <w:sz w:val="32"/>
          <w:szCs w:val="32"/>
          <w:highlight w:val="none"/>
          <w:shd w:val="clear" w:fill="FFFFFF"/>
        </w:rPr>
        <w:t>%，较年初预算数增加1.00万元，主要原因是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人民武装</w:t>
      </w:r>
      <w:r>
        <w:rPr>
          <w:rFonts w:hint="default" w:ascii="Times New Roman" w:hAnsi="Times New Roman" w:eastAsia="方正仿宋_GBK" w:cs="Times New Roman"/>
          <w:b w:val="0"/>
          <w:bCs w:val="0"/>
          <w:color w:val="auto"/>
          <w:sz w:val="32"/>
          <w:szCs w:val="32"/>
          <w:highlight w:val="none"/>
          <w:shd w:val="clear" w:fill="FFFFFF"/>
        </w:rPr>
        <w:t>项目资金</w:t>
      </w:r>
      <w:r>
        <w:rPr>
          <w:rFonts w:hint="default" w:ascii="Times New Roman" w:hAnsi="Times New Roman" w:eastAsia="方正仿宋_GBK" w:cs="Times New Roman"/>
          <w:b w:val="0"/>
          <w:bCs w:val="0"/>
          <w:color w:val="auto"/>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3</w:t>
      </w:r>
      <w:r>
        <w:rPr>
          <w:rFonts w:hint="default" w:ascii="Times New Roman" w:hAnsi="Times New Roman" w:eastAsia="方正仿宋_GBK" w:cs="Times New Roman"/>
          <w:b w:val="0"/>
          <w:bCs w:val="0"/>
          <w:color w:val="auto"/>
          <w:sz w:val="32"/>
          <w:szCs w:val="32"/>
          <w:highlight w:val="none"/>
          <w:shd w:val="clear" w:fill="FFFFFF"/>
        </w:rPr>
        <w:t>）公共安全支出1.92万元，占0.1%，较年初预算数增加1.92万元，增长%，主要原因是新增禁毒社工项目资金。</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4</w:t>
      </w:r>
      <w:r>
        <w:rPr>
          <w:rFonts w:hint="default" w:ascii="Times New Roman" w:hAnsi="Times New Roman" w:eastAsia="方正仿宋_GBK" w:cs="Times New Roman"/>
          <w:b w:val="0"/>
          <w:bCs w:val="0"/>
          <w:color w:val="auto"/>
          <w:sz w:val="32"/>
          <w:szCs w:val="32"/>
          <w:highlight w:val="none"/>
          <w:shd w:val="clear" w:fill="FFFFFF"/>
        </w:rPr>
        <w:t>）文化旅游体育与传媒支出6.59万元，占0.2%，较年初预算数增加1.59万元，增长31.8%，主要原因是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文旅项目支出增加。</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5</w:t>
      </w:r>
      <w:r>
        <w:rPr>
          <w:rFonts w:hint="default" w:ascii="Times New Roman" w:hAnsi="Times New Roman" w:eastAsia="方正仿宋_GBK" w:cs="Times New Roman"/>
          <w:b w:val="0"/>
          <w:bCs w:val="0"/>
          <w:color w:val="auto"/>
          <w:sz w:val="32"/>
          <w:szCs w:val="32"/>
          <w:highlight w:val="none"/>
          <w:shd w:val="clear" w:fill="FFFFFF"/>
        </w:rPr>
        <w:t>）社会保障与就业支出1,111.13万元，占40.3%，较年初预算数增加366.71万元，增长49.3%，主要原因是社保标准调整，社保支出增多。</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6</w:t>
      </w:r>
      <w:r>
        <w:rPr>
          <w:rFonts w:hint="default" w:ascii="Times New Roman" w:hAnsi="Times New Roman" w:eastAsia="方正仿宋_GBK" w:cs="Times New Roman"/>
          <w:b w:val="0"/>
          <w:bCs w:val="0"/>
          <w:color w:val="auto"/>
          <w:sz w:val="32"/>
          <w:szCs w:val="32"/>
          <w:highlight w:val="none"/>
          <w:shd w:val="clear" w:fill="FFFFFF"/>
        </w:rPr>
        <w:t>）卫生健康支出35.96万元，占1.3%，较年初预算数增加5.01万元，增长16.2%，主要原因是精神病人等项目支出增加。</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7</w:t>
      </w:r>
      <w:r>
        <w:rPr>
          <w:rFonts w:hint="default" w:ascii="Times New Roman" w:hAnsi="Times New Roman" w:eastAsia="方正仿宋_GBK" w:cs="Times New Roman"/>
          <w:b w:val="0"/>
          <w:bCs w:val="0"/>
          <w:color w:val="auto"/>
          <w:sz w:val="32"/>
          <w:szCs w:val="32"/>
          <w:highlight w:val="none"/>
          <w:shd w:val="clear" w:fill="FFFFFF"/>
        </w:rPr>
        <w:t>）节能环保支出3.60万元，占0.1%，较年初预算数增加3.60万元，增长%，主要原因是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为保障</w:t>
      </w:r>
      <w:r>
        <w:rPr>
          <w:rFonts w:hint="default" w:ascii="Times New Roman" w:hAnsi="Times New Roman" w:eastAsia="方正仿宋_GBK" w:cs="Times New Roman"/>
          <w:b w:val="0"/>
          <w:bCs w:val="0"/>
          <w:color w:val="auto"/>
          <w:sz w:val="32"/>
          <w:szCs w:val="32"/>
          <w:highlight w:val="none"/>
          <w:shd w:val="clear" w:fill="FFFFFF"/>
        </w:rPr>
        <w:t>人居环境工作</w:t>
      </w:r>
      <w:r>
        <w:rPr>
          <w:rFonts w:hint="default" w:ascii="Times New Roman" w:hAnsi="Times New Roman" w:eastAsia="方正仿宋_GBK" w:cs="Times New Roman"/>
          <w:b w:val="0"/>
          <w:bCs w:val="0"/>
          <w:color w:val="auto"/>
          <w:sz w:val="32"/>
          <w:szCs w:val="32"/>
          <w:highlight w:val="none"/>
          <w:shd w:val="clear" w:fill="FFFFFF"/>
          <w:lang w:val="en-US" w:eastAsia="zh-CN"/>
        </w:rPr>
        <w:t>开支</w:t>
      </w: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增加了</w:t>
      </w:r>
      <w:r>
        <w:rPr>
          <w:rFonts w:hint="default" w:ascii="Times New Roman" w:hAnsi="Times New Roman" w:eastAsia="方正仿宋_GBK" w:cs="Times New Roman"/>
          <w:b w:val="0"/>
          <w:bCs w:val="0"/>
          <w:color w:val="auto"/>
          <w:sz w:val="32"/>
          <w:szCs w:val="32"/>
          <w:highlight w:val="none"/>
          <w:shd w:val="clear" w:fill="FFFFFF"/>
        </w:rPr>
        <w:t>支出。</w:t>
      </w:r>
    </w:p>
    <w:p>
      <w:pPr>
        <w:pStyle w:val="15"/>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8</w:t>
      </w:r>
      <w:r>
        <w:rPr>
          <w:rFonts w:hint="default" w:ascii="Times New Roman" w:hAnsi="Times New Roman" w:eastAsia="方正仿宋_GBK" w:cs="Times New Roman"/>
          <w:b w:val="0"/>
          <w:bCs w:val="0"/>
          <w:color w:val="auto"/>
          <w:sz w:val="32"/>
          <w:szCs w:val="32"/>
          <w:highlight w:val="none"/>
          <w:shd w:val="clear" w:fill="FFFFFF"/>
        </w:rPr>
        <w:t>）城乡社区支出46.91万元，占1.7%，较年初预算数增加36.79万元，增长363.5%，主要原因是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为保障</w:t>
      </w:r>
      <w:r>
        <w:rPr>
          <w:rFonts w:hint="default" w:ascii="Times New Roman" w:hAnsi="Times New Roman" w:eastAsia="方正仿宋_GBK" w:cs="Times New Roman"/>
          <w:b w:val="0"/>
          <w:bCs w:val="0"/>
          <w:color w:val="auto"/>
          <w:sz w:val="32"/>
          <w:szCs w:val="32"/>
          <w:highlight w:val="none"/>
          <w:shd w:val="clear" w:fill="FFFFFF"/>
        </w:rPr>
        <w:t>场镇</w:t>
      </w:r>
      <w:r>
        <w:rPr>
          <w:rFonts w:hint="default" w:ascii="Times New Roman" w:hAnsi="Times New Roman" w:eastAsia="方正仿宋_GBK" w:cs="Times New Roman"/>
          <w:b w:val="0"/>
          <w:bCs w:val="0"/>
          <w:color w:val="auto"/>
          <w:sz w:val="32"/>
          <w:szCs w:val="32"/>
          <w:highlight w:val="none"/>
          <w:shd w:val="clear" w:fill="FFFFFF"/>
          <w:lang w:val="en-US" w:eastAsia="zh-CN"/>
        </w:rPr>
        <w:t>运行</w:t>
      </w:r>
      <w:r>
        <w:rPr>
          <w:rFonts w:hint="default" w:ascii="Times New Roman" w:hAnsi="Times New Roman" w:eastAsia="方正仿宋_GBK" w:cs="Times New Roman"/>
          <w:b w:val="0"/>
          <w:bCs w:val="0"/>
          <w:color w:val="auto"/>
          <w:sz w:val="32"/>
          <w:szCs w:val="32"/>
          <w:highlight w:val="none"/>
          <w:shd w:val="clear" w:fill="FFFFFF"/>
        </w:rPr>
        <w:t>，增加</w:t>
      </w:r>
      <w:r>
        <w:rPr>
          <w:rFonts w:hint="default" w:ascii="Times New Roman" w:hAnsi="Times New Roman" w:eastAsia="方正仿宋_GBK" w:cs="Times New Roman"/>
          <w:b w:val="0"/>
          <w:bCs w:val="0"/>
          <w:color w:val="auto"/>
          <w:sz w:val="32"/>
          <w:szCs w:val="32"/>
          <w:highlight w:val="none"/>
          <w:shd w:val="clear" w:fill="FFFFFF"/>
          <w:lang w:val="en-US" w:eastAsia="zh-CN"/>
        </w:rPr>
        <w:t>了</w:t>
      </w:r>
      <w:r>
        <w:rPr>
          <w:rFonts w:hint="default" w:ascii="Times New Roman" w:hAnsi="Times New Roman" w:eastAsia="方正仿宋_GBK" w:cs="Times New Roman"/>
          <w:b w:val="0"/>
          <w:bCs w:val="0"/>
          <w:color w:val="auto"/>
          <w:sz w:val="32"/>
          <w:szCs w:val="32"/>
          <w:highlight w:val="none"/>
          <w:shd w:val="clear" w:fill="FFFFFF"/>
        </w:rPr>
        <w:t>场镇保洁</w:t>
      </w:r>
      <w:r>
        <w:rPr>
          <w:rFonts w:hint="default" w:ascii="Times New Roman" w:hAnsi="Times New Roman" w:eastAsia="方正仿宋_GBK" w:cs="Times New Roman"/>
          <w:b w:val="0"/>
          <w:bCs w:val="0"/>
          <w:color w:val="auto"/>
          <w:sz w:val="32"/>
          <w:szCs w:val="32"/>
          <w:highlight w:val="none"/>
          <w:shd w:val="clear" w:fill="FFFFFF"/>
          <w:lang w:val="en-US" w:eastAsia="zh-CN"/>
        </w:rPr>
        <w:t>等支出。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9</w:t>
      </w:r>
      <w:r>
        <w:rPr>
          <w:rFonts w:hint="default" w:ascii="Times New Roman" w:hAnsi="Times New Roman" w:eastAsia="方正仿宋_GBK" w:cs="Times New Roman"/>
          <w:b w:val="0"/>
          <w:bCs w:val="0"/>
          <w:color w:val="auto"/>
          <w:sz w:val="32"/>
          <w:szCs w:val="32"/>
          <w:highlight w:val="none"/>
          <w:shd w:val="clear" w:fill="FFFFFF"/>
        </w:rPr>
        <w:t>）农林水支出740.79万元，占26.9%，较年初预算数增加579.02万元，增长357.9%，主要原因是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新增返乡创业园、生态农业园等</w:t>
      </w:r>
      <w:r>
        <w:rPr>
          <w:rFonts w:hint="default" w:ascii="Times New Roman" w:hAnsi="Times New Roman" w:eastAsia="方正仿宋_GBK" w:cs="Times New Roman"/>
          <w:b w:val="0"/>
          <w:bCs w:val="0"/>
          <w:color w:val="auto"/>
          <w:sz w:val="32"/>
          <w:szCs w:val="32"/>
          <w:highlight w:val="none"/>
          <w:shd w:val="clear" w:fill="FFFFFF"/>
        </w:rPr>
        <w:t>农业项目，支出增加。</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（1</w:t>
      </w:r>
      <w:r>
        <w:rPr>
          <w:rFonts w:hint="default" w:ascii="Times New Roman" w:hAnsi="Times New Roman" w:eastAsia="方正仿宋_GBK" w:cs="Times New Roman"/>
          <w:b w:val="0"/>
          <w:bCs w:val="0"/>
          <w:color w:val="auto"/>
          <w:sz w:val="32"/>
          <w:szCs w:val="32"/>
          <w:highlight w:val="none"/>
          <w:shd w:val="clear" w:fill="FFFFFF"/>
          <w:lang w:val="en-US" w:eastAsia="zh-CN"/>
        </w:rPr>
        <w:t>0</w:t>
      </w:r>
      <w:r>
        <w:rPr>
          <w:rFonts w:hint="default" w:ascii="Times New Roman" w:hAnsi="Times New Roman" w:eastAsia="方正仿宋_GBK" w:cs="Times New Roman"/>
          <w:b w:val="0"/>
          <w:bCs w:val="0"/>
          <w:color w:val="auto"/>
          <w:sz w:val="32"/>
          <w:szCs w:val="32"/>
          <w:highlight w:val="none"/>
          <w:shd w:val="clear" w:fill="FFFFFF"/>
        </w:rPr>
        <w:t>）交通运输支出205.15万元，占7.4%，较年初预算数增加175.00万元，增长580.4%，主要原因是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增加了杉塆村</w:t>
      </w:r>
      <w:r>
        <w:rPr>
          <w:rFonts w:hint="default" w:ascii="Times New Roman" w:hAnsi="Times New Roman" w:eastAsia="方正仿宋_GBK" w:cs="Times New Roman"/>
          <w:b w:val="0"/>
          <w:bCs w:val="0"/>
          <w:color w:val="auto"/>
          <w:sz w:val="32"/>
          <w:szCs w:val="32"/>
          <w:highlight w:val="none"/>
          <w:shd w:val="clear" w:fill="FFFFFF"/>
        </w:rPr>
        <w:t>公路</w:t>
      </w:r>
      <w:r>
        <w:rPr>
          <w:rFonts w:hint="default" w:ascii="Times New Roman" w:hAnsi="Times New Roman" w:eastAsia="方正仿宋_GBK" w:cs="Times New Roman"/>
          <w:b w:val="0"/>
          <w:bCs w:val="0"/>
          <w:color w:val="auto"/>
          <w:sz w:val="32"/>
          <w:szCs w:val="32"/>
          <w:highlight w:val="none"/>
          <w:shd w:val="clear" w:fill="FFFFFF"/>
          <w:lang w:val="en-US" w:eastAsia="zh-CN"/>
        </w:rPr>
        <w:t>通达通畅</w:t>
      </w:r>
      <w:r>
        <w:rPr>
          <w:rFonts w:hint="default" w:ascii="Times New Roman" w:hAnsi="Times New Roman" w:eastAsia="方正仿宋_GBK" w:cs="Times New Roman"/>
          <w:b w:val="0"/>
          <w:bCs w:val="0"/>
          <w:color w:val="auto"/>
          <w:sz w:val="32"/>
          <w:szCs w:val="32"/>
          <w:highlight w:val="none"/>
          <w:shd w:val="clear" w:fill="FFFFFF"/>
        </w:rPr>
        <w:t>项目。</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11</w:t>
      </w:r>
      <w:r>
        <w:rPr>
          <w:rFonts w:hint="default" w:ascii="Times New Roman" w:hAnsi="Times New Roman" w:eastAsia="方正仿宋_GBK" w:cs="Times New Roman"/>
          <w:b w:val="0"/>
          <w:bCs w:val="0"/>
          <w:color w:val="auto"/>
          <w:sz w:val="32"/>
          <w:szCs w:val="32"/>
          <w:highlight w:val="none"/>
          <w:shd w:val="clear" w:fill="FFFFFF"/>
        </w:rPr>
        <w:t>）住房保障支出24.14万元，占0.9%，较年初预算数增加2.58万元，增长12%，主要原因是政策性增加，标准调整，支出增加。</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w:t>
      </w:r>
      <w:r>
        <w:rPr>
          <w:rFonts w:hint="default" w:ascii="Times New Roman" w:hAnsi="Times New Roman" w:eastAsia="方正仿宋_GBK" w:cs="Times New Roman"/>
          <w:b w:val="0"/>
          <w:bCs w:val="0"/>
          <w:color w:val="auto"/>
          <w:sz w:val="32"/>
          <w:szCs w:val="32"/>
          <w:highlight w:val="none"/>
          <w:shd w:val="clear" w:fill="FFFFFF"/>
          <w:lang w:val="en-US" w:eastAsia="zh-CN"/>
        </w:rPr>
        <w:t>12</w:t>
      </w:r>
      <w:r>
        <w:rPr>
          <w:rFonts w:hint="default" w:ascii="Times New Roman" w:hAnsi="Times New Roman" w:eastAsia="方正仿宋_GBK" w:cs="Times New Roman"/>
          <w:b w:val="0"/>
          <w:bCs w:val="0"/>
          <w:color w:val="auto"/>
          <w:sz w:val="32"/>
          <w:szCs w:val="32"/>
          <w:highlight w:val="none"/>
          <w:shd w:val="clear" w:fill="FFFFFF"/>
        </w:rPr>
        <w:t>）灾害防治及应急管理支出32.20万元，占1.2%，较年初预算数增加8.00万元，增长33.1%，主要原因是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遭受严重旱灾，</w:t>
      </w:r>
      <w:r>
        <w:rPr>
          <w:rFonts w:hint="default" w:ascii="Times New Roman" w:hAnsi="Times New Roman" w:eastAsia="方正仿宋_GBK" w:cs="Times New Roman"/>
          <w:b w:val="0"/>
          <w:bCs w:val="0"/>
          <w:color w:val="auto"/>
          <w:sz w:val="32"/>
          <w:szCs w:val="32"/>
          <w:highlight w:val="none"/>
          <w:shd w:val="clear" w:fill="FFFFFF"/>
        </w:rPr>
        <w:t>自然灾害救灾资金支出增加。</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（四）一般公共预算财政拨款基本支出决算情况说明</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2022年度一般公共预算财政拨款基本支出579.00万元。其中：人员经费429.54万元，较上年决算数减少304.72万元，下降41.5%，主要原因是按照2022年决算列报口径，政府机关跟事业单位分开列算。人员经费用途主要包括工资性福利支出、商品和服务支出和对个人和家庭的补助。公用经费149.46万元，较上年决算数减少59.70万元，下降28.5%，主要原因是单位厉行节约减少了</w:t>
      </w:r>
      <w:r>
        <w:rPr>
          <w:rFonts w:hint="default" w:ascii="Times New Roman" w:hAnsi="Times New Roman" w:eastAsia="方正仿宋_GBK" w:cs="Times New Roman"/>
          <w:b w:val="0"/>
          <w:bCs w:val="0"/>
          <w:color w:val="auto"/>
          <w:sz w:val="32"/>
          <w:szCs w:val="32"/>
          <w:highlight w:val="none"/>
          <w:shd w:val="clear" w:fill="FFFFFF"/>
          <w:lang w:val="en-US" w:eastAsia="zh-CN"/>
        </w:rPr>
        <w:t>公用</w:t>
      </w:r>
      <w:r>
        <w:rPr>
          <w:rFonts w:hint="default" w:ascii="Times New Roman" w:hAnsi="Times New Roman" w:eastAsia="方正仿宋_GBK" w:cs="Times New Roman"/>
          <w:b w:val="0"/>
          <w:bCs w:val="0"/>
          <w:color w:val="auto"/>
          <w:sz w:val="32"/>
          <w:szCs w:val="32"/>
          <w:highlight w:val="none"/>
          <w:shd w:val="clear" w:fill="FFFFFF"/>
        </w:rPr>
        <w:t>经费支出</w:t>
      </w:r>
      <w:r>
        <w:rPr>
          <w:rFonts w:hint="default" w:ascii="Times New Roman" w:hAnsi="Times New Roman" w:eastAsia="方正仿宋_GBK" w:cs="Times New Roman"/>
          <w:b w:val="0"/>
          <w:bCs w:val="0"/>
          <w:color w:val="auto"/>
          <w:sz w:val="32"/>
          <w:szCs w:val="32"/>
          <w:highlight w:val="none"/>
          <w:shd w:val="clear" w:fill="FFFFFF"/>
          <w:lang w:val="en-US" w:eastAsia="zh-CN"/>
        </w:rPr>
        <w:t>以及</w:t>
      </w:r>
      <w:r>
        <w:rPr>
          <w:rFonts w:hint="default" w:ascii="Times New Roman" w:hAnsi="Times New Roman" w:eastAsia="方正仿宋_GBK" w:cs="Times New Roman"/>
          <w:b w:val="0"/>
          <w:bCs w:val="0"/>
          <w:color w:val="auto"/>
          <w:sz w:val="32"/>
          <w:szCs w:val="32"/>
          <w:highlight w:val="none"/>
          <w:shd w:val="clear" w:fill="FFFFFF"/>
        </w:rPr>
        <w:t>行政人员</w:t>
      </w:r>
      <w:r>
        <w:rPr>
          <w:rFonts w:hint="default" w:ascii="Times New Roman" w:hAnsi="Times New Roman" w:eastAsia="方正仿宋_GBK" w:cs="Times New Roman"/>
          <w:b w:val="0"/>
          <w:bCs w:val="0"/>
          <w:color w:val="auto"/>
          <w:sz w:val="32"/>
          <w:szCs w:val="32"/>
          <w:highlight w:val="none"/>
          <w:shd w:val="clear" w:fill="FFFFFF"/>
          <w:lang w:val="en-US" w:eastAsia="zh-CN"/>
        </w:rPr>
        <w:t>减少</w:t>
      </w:r>
      <w:r>
        <w:rPr>
          <w:rFonts w:hint="default" w:ascii="Times New Roman" w:hAnsi="Times New Roman" w:eastAsia="方正仿宋_GBK" w:cs="Times New Roman"/>
          <w:b w:val="0"/>
          <w:bCs w:val="0"/>
          <w:color w:val="auto"/>
          <w:sz w:val="32"/>
          <w:szCs w:val="32"/>
          <w:highlight w:val="none"/>
          <w:shd w:val="clear" w:fill="FFFFFF"/>
          <w:lang w:eastAsia="zh-CN"/>
        </w:rPr>
        <w:t>。</w:t>
      </w:r>
      <w:r>
        <w:rPr>
          <w:rFonts w:hint="default" w:ascii="Times New Roman" w:hAnsi="Times New Roman" w:eastAsia="方正仿宋_GBK" w:cs="Times New Roman"/>
          <w:b w:val="0"/>
          <w:bCs w:val="0"/>
          <w:color w:val="auto"/>
          <w:sz w:val="32"/>
          <w:szCs w:val="32"/>
          <w:highlight w:val="none"/>
          <w:shd w:val="clear" w:fill="FFFFFF"/>
        </w:rPr>
        <w:t>公用经费用途主要包括办公费、差旅费和劳务费等。</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default" w:ascii="Times New Roman" w:hAnsi="Times New Roman" w:eastAsia="方正楷体_GBK" w:cs="Times New Roman"/>
          <w:b w:val="0"/>
          <w:bCs w:val="0"/>
          <w:sz w:val="32"/>
          <w:szCs w:val="32"/>
          <w:highlight w:val="none"/>
          <w:shd w:val="clear" w:fill="FFFFFF"/>
        </w:rPr>
      </w:pPr>
      <w:r>
        <w:rPr>
          <w:rStyle w:val="14"/>
          <w:rFonts w:hint="default" w:ascii="Times New Roman" w:hAnsi="Times New Roman" w:eastAsia="方正楷体_GBK" w:cs="Times New Roman"/>
          <w:b w:val="0"/>
          <w:bCs w:val="0"/>
          <w:sz w:val="32"/>
          <w:szCs w:val="32"/>
          <w:highlight w:val="none"/>
          <w:shd w:val="clear" w:fill="FFFFFF"/>
        </w:rPr>
        <w:t>（五）政府性基金预算收支决算情况说明。</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2022年度政府性基金预算财政拨款年初结转结余18.26万元，年末结转结余0.00万元。本年收入11.63万元，较上年决算数减少31.07万元，下降72.8%，</w:t>
      </w:r>
      <w:r>
        <w:rPr>
          <w:rFonts w:hint="default" w:ascii="Times New Roman" w:hAnsi="Times New Roman" w:eastAsia="方正仿宋_GBK" w:cs="Times New Roman"/>
          <w:b w:val="0"/>
          <w:bCs w:val="0"/>
          <w:color w:val="auto"/>
          <w:sz w:val="32"/>
          <w:szCs w:val="32"/>
          <w:highlight w:val="none"/>
          <w:shd w:val="clear" w:fill="FFFFFF"/>
          <w:lang w:val="en-US" w:eastAsia="zh-CN"/>
        </w:rPr>
        <w:t>主要原因是2021年新建杉湾村便民服务中心项目30万元等。</w:t>
      </w:r>
      <w:r>
        <w:rPr>
          <w:rFonts w:hint="default" w:ascii="Times New Roman" w:hAnsi="Times New Roman" w:eastAsia="方正仿宋_GBK" w:cs="Times New Roman"/>
          <w:b w:val="0"/>
          <w:bCs w:val="0"/>
          <w:color w:val="auto"/>
          <w:sz w:val="32"/>
          <w:szCs w:val="32"/>
          <w:highlight w:val="none"/>
          <w:shd w:val="clear" w:fill="FFFFFF"/>
        </w:rPr>
        <w:t>本年支出29.89万元，较上年决算数减少144.59万元，下降82.9%，主要原因</w:t>
      </w:r>
      <w:r>
        <w:rPr>
          <w:rFonts w:hint="default" w:ascii="Times New Roman" w:hAnsi="Times New Roman" w:eastAsia="方正仿宋_GBK" w:cs="Times New Roman"/>
          <w:b w:val="0"/>
          <w:bCs w:val="0"/>
          <w:color w:val="auto"/>
          <w:sz w:val="32"/>
          <w:szCs w:val="32"/>
          <w:highlight w:val="none"/>
          <w:shd w:val="clear" w:fill="FFFFFF"/>
          <w:lang w:val="en-US" w:eastAsia="zh-CN"/>
        </w:rPr>
        <w:t>四好农村公路、旧房整治项目</w:t>
      </w:r>
      <w:r>
        <w:rPr>
          <w:rFonts w:hint="default" w:ascii="Times New Roman" w:hAnsi="Times New Roman" w:eastAsia="方正仿宋_GBK" w:cs="Times New Roman"/>
          <w:b w:val="0"/>
          <w:bCs w:val="0"/>
          <w:color w:val="auto"/>
          <w:sz w:val="32"/>
          <w:szCs w:val="32"/>
          <w:highlight w:val="none"/>
          <w:shd w:val="clear" w:fill="FFFFFF"/>
        </w:rPr>
        <w:t>结余资金达到支付进度导致</w:t>
      </w:r>
      <w:r>
        <w:rPr>
          <w:rFonts w:hint="default" w:ascii="Times New Roman" w:hAnsi="Times New Roman" w:eastAsia="方正仿宋_GBK" w:cs="Times New Roman"/>
          <w:b w:val="0"/>
          <w:bCs w:val="0"/>
          <w:color w:val="auto"/>
          <w:sz w:val="32"/>
          <w:szCs w:val="32"/>
          <w:highlight w:val="none"/>
          <w:shd w:val="clear" w:fill="FFFFFF"/>
          <w:lang w:val="en-US" w:eastAsia="zh-CN"/>
        </w:rPr>
        <w:t>2022年度</w:t>
      </w:r>
      <w:r>
        <w:rPr>
          <w:rFonts w:hint="default" w:ascii="Times New Roman" w:hAnsi="Times New Roman" w:eastAsia="方正仿宋_GBK" w:cs="Times New Roman"/>
          <w:b w:val="0"/>
          <w:bCs w:val="0"/>
          <w:color w:val="auto"/>
          <w:sz w:val="32"/>
          <w:szCs w:val="32"/>
          <w:highlight w:val="none"/>
          <w:shd w:val="clear" w:fill="FFFFFF"/>
        </w:rPr>
        <w:t>支出</w:t>
      </w:r>
      <w:r>
        <w:rPr>
          <w:rFonts w:hint="default" w:ascii="Times New Roman" w:hAnsi="Times New Roman" w:eastAsia="方正仿宋_GBK" w:cs="Times New Roman"/>
          <w:b w:val="0"/>
          <w:bCs w:val="0"/>
          <w:color w:val="auto"/>
          <w:sz w:val="32"/>
          <w:szCs w:val="32"/>
          <w:highlight w:val="none"/>
          <w:shd w:val="clear" w:fill="FFFFFF"/>
          <w:lang w:val="en-US" w:eastAsia="zh-CN"/>
        </w:rPr>
        <w:t>较大</w:t>
      </w:r>
      <w:r>
        <w:rPr>
          <w:rFonts w:hint="default" w:ascii="Times New Roman" w:hAnsi="Times New Roman" w:eastAsia="方正仿宋_GBK" w:cs="Times New Roman"/>
          <w:b w:val="0"/>
          <w:bCs w:val="0"/>
          <w:color w:val="auto"/>
          <w:sz w:val="32"/>
          <w:szCs w:val="32"/>
          <w:highlight w:val="none"/>
          <w:shd w:val="clear" w:fill="FFFFFF"/>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default" w:ascii="Times New Roman" w:hAnsi="Times New Roman" w:eastAsia="方正楷体_GBK" w:cs="Times New Roman"/>
          <w:b w:val="0"/>
          <w:bCs w:val="0"/>
          <w:sz w:val="32"/>
          <w:szCs w:val="32"/>
          <w:highlight w:val="none"/>
          <w:shd w:val="clear" w:fill="FFFFFF"/>
        </w:rPr>
      </w:pPr>
      <w:r>
        <w:rPr>
          <w:rStyle w:val="14"/>
          <w:rFonts w:hint="default" w:ascii="Times New Roman" w:hAnsi="Times New Roman" w:eastAsia="方正楷体_GBK" w:cs="Times New Roman"/>
          <w:b w:val="0"/>
          <w:bCs w:val="0"/>
          <w:sz w:val="32"/>
          <w:szCs w:val="32"/>
          <w:highlight w:val="none"/>
          <w:shd w:val="clear" w:fill="FFFFFF"/>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kern w:val="0"/>
          <w:sz w:val="32"/>
          <w:szCs w:val="32"/>
          <w:highlight w:val="none"/>
          <w:shd w:val="clear" w:fill="FFFFFF"/>
          <w:lang w:val="en-US" w:eastAsia="zh-CN" w:bidi="ar"/>
        </w:rPr>
        <w:t>本部门2022年度无国有资本经营预算财政拨款支出。</w:t>
      </w:r>
    </w:p>
    <w:p>
      <w:pPr>
        <w:pStyle w:val="15"/>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三、“三公”经费情况说明</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（一）“三公”经费支出总体情况说明</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202</w:t>
      </w:r>
      <w:r>
        <w:rPr>
          <w:rFonts w:hint="default" w:ascii="Times New Roman" w:hAnsi="Times New Roman" w:eastAsia="方正仿宋_GBK" w:cs="Times New Roman"/>
          <w:b w:val="0"/>
          <w:bCs w:val="0"/>
          <w:color w:val="auto"/>
          <w:sz w:val="32"/>
          <w:szCs w:val="32"/>
          <w:highlight w:val="none"/>
          <w:shd w:val="clear" w:fill="FFFFFF"/>
          <w:lang w:val="en-US" w:eastAsia="zh-CN"/>
        </w:rPr>
        <w:t>2</w:t>
      </w:r>
      <w:r>
        <w:rPr>
          <w:rFonts w:hint="default" w:ascii="Times New Roman" w:hAnsi="Times New Roman" w:eastAsia="方正仿宋_GBK" w:cs="Times New Roman"/>
          <w:b w:val="0"/>
          <w:bCs w:val="0"/>
          <w:color w:val="auto"/>
          <w:sz w:val="32"/>
          <w:szCs w:val="32"/>
          <w:highlight w:val="none"/>
          <w:shd w:val="clear" w:fill="FFFFFF"/>
        </w:rPr>
        <w:t>年度“三公”经费支出共计</w:t>
      </w:r>
      <w:r>
        <w:rPr>
          <w:rFonts w:hint="default" w:ascii="Times New Roman" w:hAnsi="Times New Roman" w:eastAsia="方正仿宋_GBK" w:cs="Times New Roman"/>
          <w:b w:val="0"/>
          <w:bCs w:val="0"/>
          <w:color w:val="auto"/>
          <w:sz w:val="32"/>
          <w:szCs w:val="32"/>
          <w:highlight w:val="none"/>
          <w:shd w:val="clear" w:fill="FFFFFF"/>
          <w:lang w:val="en-US" w:eastAsia="zh-CN"/>
        </w:rPr>
        <w:t>7.10</w:t>
      </w:r>
      <w:r>
        <w:rPr>
          <w:rFonts w:hint="default" w:ascii="Times New Roman" w:hAnsi="Times New Roman" w:eastAsia="方正仿宋_GBK" w:cs="Times New Roman"/>
          <w:b w:val="0"/>
          <w:bCs w:val="0"/>
          <w:color w:val="auto"/>
          <w:sz w:val="32"/>
          <w:szCs w:val="32"/>
          <w:highlight w:val="none"/>
          <w:shd w:val="clear" w:fill="FFFFFF"/>
        </w:rPr>
        <w:t>万元，较年初预算数</w:t>
      </w:r>
      <w:r>
        <w:rPr>
          <w:rFonts w:hint="default" w:ascii="Times New Roman" w:hAnsi="Times New Roman" w:eastAsia="方正仿宋_GBK" w:cs="Times New Roman"/>
          <w:b w:val="0"/>
          <w:bCs w:val="0"/>
          <w:color w:val="auto"/>
          <w:sz w:val="32"/>
          <w:szCs w:val="32"/>
          <w:highlight w:val="none"/>
          <w:shd w:val="clear" w:fill="FFFFFF"/>
          <w:lang w:val="en-US" w:eastAsia="zh-CN"/>
        </w:rPr>
        <w:t>增加1.41</w:t>
      </w:r>
      <w:r>
        <w:rPr>
          <w:rFonts w:hint="default" w:ascii="Times New Roman" w:hAnsi="Times New Roman" w:eastAsia="方正仿宋_GBK" w:cs="Times New Roman"/>
          <w:b w:val="0"/>
          <w:bCs w:val="0"/>
          <w:color w:val="auto"/>
          <w:sz w:val="32"/>
          <w:szCs w:val="32"/>
          <w:highlight w:val="none"/>
          <w:shd w:val="clear" w:fill="FFFFFF"/>
        </w:rPr>
        <w:t>万元，</w:t>
      </w:r>
      <w:r>
        <w:rPr>
          <w:rFonts w:hint="default" w:ascii="Times New Roman" w:hAnsi="Times New Roman" w:eastAsia="方正仿宋_GBK" w:cs="Times New Roman"/>
          <w:b w:val="0"/>
          <w:bCs w:val="0"/>
          <w:color w:val="auto"/>
          <w:sz w:val="32"/>
          <w:szCs w:val="32"/>
          <w:highlight w:val="none"/>
          <w:shd w:val="clear" w:fill="FFFFFF"/>
          <w:lang w:val="en-US" w:eastAsia="zh-CN"/>
        </w:rPr>
        <w:t>增长24.8</w:t>
      </w:r>
      <w:r>
        <w:rPr>
          <w:rFonts w:hint="default" w:ascii="Times New Roman" w:hAnsi="Times New Roman" w:eastAsia="方正仿宋_GBK" w:cs="Times New Roman"/>
          <w:b w:val="0"/>
          <w:bCs w:val="0"/>
          <w:color w:val="auto"/>
          <w:sz w:val="32"/>
          <w:szCs w:val="32"/>
          <w:highlight w:val="none"/>
          <w:shd w:val="clear" w:fill="FFFFFF"/>
        </w:rPr>
        <w:t>%，主要原因是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公务车使用年数过久，维修保养次数增加</w:t>
      </w:r>
      <w:r>
        <w:rPr>
          <w:rFonts w:hint="default" w:ascii="Times New Roman" w:hAnsi="Times New Roman" w:eastAsia="方正仿宋_GBK" w:cs="Times New Roman"/>
          <w:b w:val="0"/>
          <w:bCs w:val="0"/>
          <w:color w:val="auto"/>
          <w:sz w:val="32"/>
          <w:szCs w:val="32"/>
          <w:highlight w:val="none"/>
          <w:shd w:val="clear" w:fill="FFFFFF"/>
        </w:rPr>
        <w:t>。较上年支出数增加0.50万元，增长7.6%，主要原因是公务用车运行维护费中车辆维修费增加0.</w:t>
      </w:r>
      <w:r>
        <w:rPr>
          <w:rFonts w:hint="default" w:ascii="Times New Roman" w:hAnsi="Times New Roman" w:eastAsia="方正仿宋_GBK" w:cs="Times New Roman"/>
          <w:b w:val="0"/>
          <w:bCs w:val="0"/>
          <w:color w:val="auto"/>
          <w:sz w:val="32"/>
          <w:szCs w:val="32"/>
          <w:highlight w:val="none"/>
          <w:shd w:val="clear" w:fill="FFFFFF"/>
          <w:lang w:val="en-US" w:eastAsia="zh-CN"/>
        </w:rPr>
        <w:t>5</w:t>
      </w:r>
      <w:r>
        <w:rPr>
          <w:rFonts w:hint="default" w:ascii="Times New Roman" w:hAnsi="Times New Roman" w:eastAsia="方正仿宋_GBK" w:cs="Times New Roman"/>
          <w:b w:val="0"/>
          <w:bCs w:val="0"/>
          <w:color w:val="auto"/>
          <w:sz w:val="32"/>
          <w:szCs w:val="32"/>
          <w:highlight w:val="none"/>
          <w:shd w:val="clear" w:fill="FFFFFF"/>
        </w:rPr>
        <w:t>1万元。</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（二）“三公”经费分项支出情况</w:t>
      </w:r>
      <w:r>
        <w:rPr>
          <w:rStyle w:val="14"/>
          <w:rFonts w:hint="eastAsia" w:ascii="Times New Roman" w:hAnsi="Times New Roman" w:eastAsia="方正楷体_GBK" w:cs="Times New Roman"/>
          <w:b w:val="0"/>
          <w:bCs w:val="0"/>
          <w:sz w:val="32"/>
          <w:szCs w:val="32"/>
          <w:highlight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shd w:val="clear" w:fill="FFFFFF"/>
          <w:lang w:val="en-US" w:eastAsia="zh-CN" w:bidi="ar"/>
        </w:rPr>
      </w:pPr>
      <w:r>
        <w:rPr>
          <w:rFonts w:hint="default" w:ascii="Times New Roman" w:hAnsi="Times New Roman" w:eastAsia="方正仿宋_GBK" w:cs="Times New Roman"/>
          <w:b w:val="0"/>
          <w:bCs w:val="0"/>
          <w:color w:val="auto"/>
          <w:kern w:val="0"/>
          <w:sz w:val="32"/>
          <w:szCs w:val="32"/>
          <w:highlight w:val="none"/>
          <w:shd w:val="clear" w:fill="FFFFFF"/>
          <w:lang w:val="en-US" w:eastAsia="zh-CN" w:bidi="ar"/>
        </w:rPr>
        <w:t>2022年度本单位因公出国（境）费用0.00万元，未安排单位人员出国出访。</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kern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lang w:val="en-US" w:eastAsia="zh-CN"/>
        </w:rPr>
        <w:t>公务车购置费0.00万元，2022年未购置新车。</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fill="FFFFFF"/>
        </w:rPr>
        <w:t>公务车运行维护费7.10万元，主要用于机要文件交换、市内因公出行、下村走访等工作所需车辆的燃料费、维修费、保险费等。费用支出较年初预算数增加2.41万元，增长51.4%，主要原因是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公务车使用年数太久，维修保养次数增多</w:t>
      </w:r>
      <w:r>
        <w:rPr>
          <w:rFonts w:hint="default" w:ascii="Times New Roman" w:hAnsi="Times New Roman" w:eastAsia="方正仿宋_GBK" w:cs="Times New Roman"/>
          <w:b w:val="0"/>
          <w:bCs w:val="0"/>
          <w:color w:val="auto"/>
          <w:sz w:val="32"/>
          <w:szCs w:val="32"/>
          <w:highlight w:val="none"/>
          <w:shd w:val="clear" w:fill="FFFFFF"/>
        </w:rPr>
        <w:t>。较上年支出数增加0.50万元，增长7.6%，主要原因是公务用车运行维护费中车辆维修费增加</w:t>
      </w:r>
      <w:r>
        <w:rPr>
          <w:rFonts w:hint="default" w:ascii="Times New Roman" w:hAnsi="Times New Roman" w:eastAsia="方正仿宋_GBK" w:cs="Times New Roman"/>
          <w:b w:val="0"/>
          <w:bCs w:val="0"/>
          <w:color w:val="auto"/>
          <w:sz w:val="32"/>
          <w:szCs w:val="32"/>
          <w:highlight w:val="none"/>
          <w:shd w:val="clear" w:fill="FFFFFF"/>
          <w:lang w:val="en-US" w:eastAsia="zh-CN"/>
        </w:rPr>
        <w:t>0.51</w:t>
      </w:r>
      <w:r>
        <w:rPr>
          <w:rFonts w:hint="default" w:ascii="Times New Roman" w:hAnsi="Times New Roman" w:eastAsia="方正仿宋_GBK" w:cs="Times New Roman"/>
          <w:b w:val="0"/>
          <w:bCs w:val="0"/>
          <w:color w:val="auto"/>
          <w:sz w:val="32"/>
          <w:szCs w:val="32"/>
          <w:highlight w:val="none"/>
          <w:shd w:val="clear" w:fill="FFFFFF"/>
        </w:rPr>
        <w:t>万元。</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公务接待费0.00万元，</w:t>
      </w:r>
      <w:r>
        <w:rPr>
          <w:rFonts w:hint="default" w:ascii="Times New Roman" w:hAnsi="Times New Roman" w:eastAsia="方正仿宋_GBK" w:cs="Times New Roman"/>
          <w:b w:val="0"/>
          <w:bCs w:val="0"/>
          <w:color w:val="auto"/>
          <w:sz w:val="32"/>
          <w:szCs w:val="32"/>
          <w:highlight w:val="none"/>
          <w:shd w:val="clear" w:fill="FFFFFF"/>
          <w:lang w:val="en-US" w:eastAsia="zh-CN"/>
        </w:rPr>
        <w:t>公务接待在机关食堂，</w:t>
      </w:r>
      <w:r>
        <w:rPr>
          <w:rFonts w:hint="default" w:ascii="Times New Roman" w:hAnsi="Times New Roman" w:eastAsia="方正仿宋_GBK" w:cs="Times New Roman"/>
          <w:b w:val="0"/>
          <w:bCs w:val="0"/>
          <w:color w:val="auto"/>
          <w:sz w:val="32"/>
          <w:szCs w:val="32"/>
          <w:highlight w:val="none"/>
          <w:shd w:val="clear" w:fill="FFFFFF"/>
        </w:rPr>
        <w:t>未</w:t>
      </w:r>
      <w:r>
        <w:rPr>
          <w:rFonts w:hint="default" w:ascii="Times New Roman" w:hAnsi="Times New Roman" w:eastAsia="方正仿宋_GBK" w:cs="Times New Roman"/>
          <w:b w:val="0"/>
          <w:bCs w:val="0"/>
          <w:color w:val="auto"/>
          <w:sz w:val="32"/>
          <w:szCs w:val="32"/>
          <w:highlight w:val="none"/>
          <w:shd w:val="clear" w:fill="FFFFFF"/>
          <w:lang w:val="en-US" w:eastAsia="zh-CN"/>
        </w:rPr>
        <w:t>专门列支</w:t>
      </w:r>
      <w:r>
        <w:rPr>
          <w:rFonts w:hint="default" w:ascii="Times New Roman" w:hAnsi="Times New Roman" w:eastAsia="方正仿宋_GBK" w:cs="Times New Roman"/>
          <w:b w:val="0"/>
          <w:bCs w:val="0"/>
          <w:color w:val="auto"/>
          <w:sz w:val="32"/>
          <w:szCs w:val="32"/>
          <w:highlight w:val="none"/>
          <w:shd w:val="clear" w:fill="FFFFFF"/>
        </w:rPr>
        <w:t>公务接待</w:t>
      </w:r>
      <w:r>
        <w:rPr>
          <w:rFonts w:hint="default" w:ascii="Times New Roman" w:hAnsi="Times New Roman" w:eastAsia="方正仿宋_GBK" w:cs="Times New Roman"/>
          <w:b w:val="0"/>
          <w:bCs w:val="0"/>
          <w:color w:val="auto"/>
          <w:sz w:val="32"/>
          <w:szCs w:val="32"/>
          <w:highlight w:val="none"/>
          <w:shd w:val="clear" w:fill="FFFFFF"/>
          <w:lang w:val="en-US" w:eastAsia="zh-CN"/>
        </w:rPr>
        <w:t>费用</w:t>
      </w:r>
      <w:r>
        <w:rPr>
          <w:rFonts w:hint="default" w:ascii="Times New Roman" w:hAnsi="Times New Roman" w:eastAsia="方正仿宋_GBK" w:cs="Times New Roman"/>
          <w:b w:val="0"/>
          <w:bCs w:val="0"/>
          <w:color w:val="auto"/>
          <w:sz w:val="32"/>
          <w:szCs w:val="32"/>
          <w:highlight w:val="none"/>
          <w:shd w:val="clear" w:fill="FFFFFF"/>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（三）“三公”经费实物量情况</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2022年度本部门因公出国（境）共计0个团组，0人；公务用车购置0辆，公务车保有量为2辆；国内公务接待0批次0人，其中：国内外事接待0批次，0人；国（境）外公务接待0批次，0人。2022年本部门人均接待费0.00元，车均购置费0.00万元，车均维护费3.55万元。</w:t>
      </w:r>
    </w:p>
    <w:p>
      <w:pPr>
        <w:pStyle w:val="15"/>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bidi="ar-SA"/>
        </w:rPr>
        <w:t>四、其他需要说明的事项</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（一）财政拨款会议费和培训费情况说明</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本年度会议费支出0.00万元，较上年决算数增加0.00万元</w:t>
      </w:r>
      <w:r>
        <w:rPr>
          <w:rFonts w:hint="default" w:ascii="Times New Roman" w:hAnsi="Times New Roman" w:eastAsia="方正仿宋_GBK" w:cs="Times New Roman"/>
          <w:b w:val="0"/>
          <w:bCs w:val="0"/>
          <w:color w:val="auto"/>
          <w:sz w:val="32"/>
          <w:szCs w:val="32"/>
          <w:highlight w:val="none"/>
          <w:shd w:val="clear" w:fill="FFFFFF"/>
          <w:lang w:eastAsia="zh-CN"/>
        </w:rPr>
        <w:t>。</w:t>
      </w:r>
      <w:r>
        <w:rPr>
          <w:rFonts w:hint="default" w:ascii="Times New Roman" w:hAnsi="Times New Roman" w:eastAsia="方正仿宋_GBK" w:cs="Times New Roman"/>
          <w:b w:val="0"/>
          <w:bCs w:val="0"/>
          <w:color w:val="auto"/>
          <w:sz w:val="32"/>
          <w:szCs w:val="32"/>
          <w:highlight w:val="none"/>
          <w:shd w:val="clear" w:fill="FFFFFF"/>
        </w:rPr>
        <w:t>本年度培训费支出0.12万元，较上年决算数增加0.12万元，主要原因是</w:t>
      </w:r>
      <w:r>
        <w:rPr>
          <w:rFonts w:hint="default" w:ascii="Times New Roman" w:hAnsi="Times New Roman" w:eastAsia="方正仿宋_GBK" w:cs="Times New Roman"/>
          <w:b w:val="0"/>
          <w:bCs w:val="0"/>
          <w:color w:val="auto"/>
          <w:sz w:val="32"/>
          <w:szCs w:val="32"/>
          <w:highlight w:val="none"/>
          <w:shd w:val="clear" w:fill="FFFFFF"/>
          <w:lang w:val="en-US" w:eastAsia="zh-CN"/>
        </w:rPr>
        <w:t>疫情原因少量培训支出。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default" w:ascii="Times New Roman" w:hAnsi="Times New Roman" w:eastAsia="方正楷体_GBK" w:cs="Times New Roman"/>
          <w:b w:val="0"/>
          <w:bCs w:val="0"/>
          <w:sz w:val="32"/>
          <w:szCs w:val="32"/>
          <w:highlight w:val="none"/>
          <w:shd w:val="clear" w:fill="FFFFFF"/>
        </w:rPr>
      </w:pPr>
      <w:r>
        <w:rPr>
          <w:rStyle w:val="14"/>
          <w:rFonts w:hint="default" w:ascii="Times New Roman" w:hAnsi="Times New Roman" w:eastAsia="方正楷体_GBK" w:cs="Times New Roman"/>
          <w:b w:val="0"/>
          <w:bCs w:val="0"/>
          <w:sz w:val="32"/>
          <w:szCs w:val="32"/>
          <w:highlight w:val="none"/>
          <w:shd w:val="clear" w:fill="FFFFFF"/>
        </w:rPr>
        <w:t>（二）机关运行经费支出情况说明</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2022年度本部门机关运行经费支出149.46万元，主要用于开支电费、气费、办公费、差旅费。机关运行经费较上年决算数减少23.88万元，下降13.8%，主要原因是主要原因是人员</w:t>
      </w:r>
      <w:r>
        <w:rPr>
          <w:rFonts w:hint="default" w:ascii="Times New Roman" w:hAnsi="Times New Roman" w:eastAsia="方正仿宋_GBK" w:cs="Times New Roman"/>
          <w:b w:val="0"/>
          <w:bCs w:val="0"/>
          <w:color w:val="auto"/>
          <w:sz w:val="32"/>
          <w:szCs w:val="32"/>
          <w:highlight w:val="none"/>
          <w:shd w:val="clear" w:fill="FFFFFF"/>
          <w:lang w:val="en-US" w:eastAsia="zh-CN"/>
        </w:rPr>
        <w:t>减少。</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（三）国有资产占用情况说明</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截至2022年12月31日，本部门共有车辆2辆，其中，机要通信用车1辆、应急保障用车1辆。单价100万元（含）以上设备（不含车辆）0台（套）。</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（四）政府采购支出说明</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fill="FFFFFF"/>
        </w:rPr>
        <w:t>202</w:t>
      </w:r>
      <w:r>
        <w:rPr>
          <w:rFonts w:hint="default" w:ascii="Times New Roman" w:hAnsi="Times New Roman" w:eastAsia="方正仿宋_GBK" w:cs="Times New Roman"/>
          <w:b w:val="0"/>
          <w:bCs w:val="0"/>
          <w:color w:val="auto"/>
          <w:sz w:val="32"/>
          <w:szCs w:val="32"/>
          <w:highlight w:val="none"/>
          <w:shd w:val="clear" w:fill="FFFFFF"/>
          <w:lang w:val="en-US" w:eastAsia="zh-CN"/>
        </w:rPr>
        <w:t>2</w:t>
      </w:r>
      <w:r>
        <w:rPr>
          <w:rFonts w:hint="default" w:ascii="Times New Roman" w:hAnsi="Times New Roman" w:eastAsia="方正仿宋_GBK" w:cs="Times New Roman"/>
          <w:b w:val="0"/>
          <w:bCs w:val="0"/>
          <w:color w:val="auto"/>
          <w:sz w:val="32"/>
          <w:szCs w:val="32"/>
          <w:highlight w:val="none"/>
          <w:shd w:val="clear" w:fill="FFFFFF"/>
        </w:rPr>
        <w:t>年度我单位未发生政府采购事项，无相关经费支出</w:t>
      </w:r>
      <w:r>
        <w:rPr>
          <w:rFonts w:hint="default" w:ascii="Times New Roman" w:hAnsi="Times New Roman" w:eastAsia="方正仿宋_GBK" w:cs="Times New Roman"/>
          <w:b w:val="0"/>
          <w:bCs w:val="0"/>
          <w:kern w:val="0"/>
          <w:sz w:val="32"/>
          <w:szCs w:val="32"/>
          <w:highlight w:val="none"/>
        </w:rPr>
        <w:t>。</w:t>
      </w:r>
    </w:p>
    <w:p>
      <w:pPr>
        <w:pStyle w:val="15"/>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eastAsia="方正黑体_GBK" w:cs="Times New Roman"/>
          <w:b w:val="0"/>
          <w:bCs w:val="0"/>
          <w:kern w:val="2"/>
          <w:sz w:val="32"/>
          <w:szCs w:val="32"/>
          <w:lang w:val="en-US" w:eastAsia="zh-CN" w:bidi="ar-SA"/>
        </w:rPr>
        <w:t>五、预算绩效管理情况说明</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eastAsia" w:ascii="Times New Roman" w:hAnsi="Times New Roman" w:eastAsia="方正楷体_GBK" w:cs="Times New Roman"/>
          <w:b w:val="0"/>
          <w:bCs w:val="0"/>
          <w:sz w:val="32"/>
          <w:szCs w:val="32"/>
          <w:highlight w:val="none"/>
          <w:shd w:val="clear" w:fill="FFFFFF"/>
          <w:lang w:eastAsia="zh-CN"/>
        </w:rPr>
      </w:pPr>
      <w:r>
        <w:rPr>
          <w:rStyle w:val="14"/>
          <w:rFonts w:hint="default" w:ascii="Times New Roman" w:hAnsi="Times New Roman" w:eastAsia="方正楷体_GBK" w:cs="Times New Roman"/>
          <w:b w:val="0"/>
          <w:bCs w:val="0"/>
          <w:sz w:val="32"/>
          <w:szCs w:val="32"/>
          <w:highlight w:val="none"/>
          <w:shd w:val="clear" w:fill="FFFFFF"/>
        </w:rPr>
        <w:t>（一）预算绩效管理工作开展情况</w:t>
      </w:r>
      <w:r>
        <w:rPr>
          <w:rStyle w:val="14"/>
          <w:rFonts w:hint="eastAsia" w:ascii="Times New Roman" w:hAnsi="Times New Roman" w:eastAsia="方正楷体_GBK" w:cs="Times New Roman"/>
          <w:b w:val="0"/>
          <w:bCs w:val="0"/>
          <w:sz w:val="32"/>
          <w:szCs w:val="32"/>
          <w:highlight w:val="none"/>
          <w:shd w:val="clear" w:fill="FFFFFF"/>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根据预算绩效管理要求，我</w:t>
      </w:r>
      <w:r>
        <w:rPr>
          <w:rFonts w:hint="default" w:ascii="Times New Roman" w:hAnsi="Times New Roman" w:eastAsia="方正仿宋_GBK" w:cs="Times New Roman"/>
          <w:kern w:val="0"/>
          <w:sz w:val="32"/>
          <w:szCs w:val="32"/>
          <w:lang w:val="en-US" w:eastAsia="zh-CN"/>
        </w:rPr>
        <w:t>单位</w:t>
      </w: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val="en-US" w:eastAsia="zh-CN"/>
        </w:rPr>
        <w:t>134</w:t>
      </w:r>
      <w:r>
        <w:rPr>
          <w:rFonts w:hint="default" w:ascii="Times New Roman" w:hAnsi="Times New Roman" w:eastAsia="方正仿宋_GBK" w:cs="Times New Roman"/>
          <w:kern w:val="0"/>
          <w:sz w:val="32"/>
          <w:szCs w:val="32"/>
        </w:rPr>
        <w:t>个项目开展了绩效自评。</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Style w:val="14"/>
          <w:rFonts w:hint="default" w:ascii="Times New Roman" w:hAnsi="Times New Roman" w:eastAsia="方正楷体_GBK" w:cs="Times New Roman"/>
          <w:b w:val="0"/>
          <w:bCs w:val="0"/>
          <w:sz w:val="32"/>
          <w:szCs w:val="32"/>
          <w:highlight w:val="none"/>
          <w:shd w:val="clear" w:fill="FFFFFF"/>
        </w:rPr>
      </w:pPr>
      <w:r>
        <w:rPr>
          <w:rStyle w:val="14"/>
          <w:rFonts w:hint="default" w:ascii="Times New Roman" w:hAnsi="Times New Roman" w:eastAsia="方正楷体_GBK" w:cs="Times New Roman"/>
          <w:b w:val="0"/>
          <w:bCs w:val="0"/>
          <w:sz w:val="32"/>
          <w:szCs w:val="32"/>
          <w:highlight w:val="none"/>
          <w:shd w:val="clear" w:fill="FFFFFF"/>
        </w:rPr>
        <w:t>（二）绩效自评结果。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8" w:lineRule="exact"/>
        <w:ind w:left="0" w:firstLine="640" w:firstLineChars="200"/>
        <w:jc w:val="both"/>
        <w:textAlignment w:val="auto"/>
        <w:rPr>
          <w:rStyle w:val="14"/>
          <w:rFonts w:hint="default" w:ascii="Times New Roman" w:hAnsi="Times New Roman" w:eastAsia="方正仿宋_GBK" w:cs="Times New Roman"/>
          <w:b w:val="0"/>
          <w:bCs/>
          <w:sz w:val="32"/>
          <w:szCs w:val="32"/>
          <w:highlight w:val="none"/>
          <w:shd w:val="clear" w:fill="FFFFFF"/>
        </w:rPr>
      </w:pPr>
      <w:r>
        <w:rPr>
          <w:rStyle w:val="14"/>
          <w:rFonts w:hint="default" w:ascii="Times New Roman" w:hAnsi="Times New Roman" w:eastAsia="方正仿宋_GBK" w:cs="Times New Roman"/>
          <w:b w:val="0"/>
          <w:bCs/>
          <w:sz w:val="32"/>
          <w:szCs w:val="32"/>
          <w:highlight w:val="none"/>
          <w:shd w:val="clear" w:fill="FFFFFF"/>
        </w:rPr>
        <w:t>1.绩效目标自评表。</w:t>
      </w:r>
    </w:p>
    <w:tbl>
      <w:tblPr>
        <w:tblStyle w:val="12"/>
        <w:tblW w:w="51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456"/>
        <w:gridCol w:w="456"/>
        <w:gridCol w:w="696"/>
        <w:gridCol w:w="1475"/>
        <w:gridCol w:w="1288"/>
        <w:gridCol w:w="825"/>
        <w:gridCol w:w="689"/>
        <w:gridCol w:w="457"/>
        <w:gridCol w:w="697"/>
        <w:gridCol w:w="805"/>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项目名称：</w:t>
            </w: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w:t>
            </w:r>
            <w:r>
              <w:rPr>
                <w:rFonts w:hint="eastAsia" w:ascii="方正仿宋_GBK" w:hAnsi="方正仿宋_GBK" w:eastAsia="方正仿宋_GBK" w:cs="方正仿宋_GBK"/>
                <w:i w:val="0"/>
                <w:iCs w:val="0"/>
                <w:color w:val="000000"/>
                <w:kern w:val="0"/>
                <w:sz w:val="24"/>
                <w:szCs w:val="24"/>
                <w:u w:val="none"/>
                <w:lang w:val="en-US" w:eastAsia="zh-CN" w:bidi="ar"/>
              </w:rPr>
              <w:t>年车辆购置税收入补助地方农村公路项目资金（第二批）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项目编码：</w:t>
            </w:r>
          </w:p>
        </w:tc>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50023522T000002681098</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自评总分：</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98</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项目主管部门：</w:t>
            </w: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933</w:t>
            </w:r>
            <w:r>
              <w:rPr>
                <w:rFonts w:hint="eastAsia" w:ascii="方正仿宋_GBK" w:hAnsi="方正仿宋_GBK" w:eastAsia="方正仿宋_GBK" w:cs="方正仿宋_GBK"/>
                <w:i w:val="0"/>
                <w:iCs w:val="0"/>
                <w:color w:val="000000"/>
                <w:kern w:val="0"/>
                <w:sz w:val="24"/>
                <w:szCs w:val="24"/>
                <w:u w:val="none"/>
                <w:lang w:val="en-US" w:eastAsia="zh-CN" w:bidi="ar"/>
              </w:rPr>
              <w:t>-后叶镇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财政归口处室：</w:t>
            </w:r>
          </w:p>
        </w:tc>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001</w:t>
            </w:r>
            <w:r>
              <w:rPr>
                <w:rFonts w:hint="eastAsia" w:ascii="方正仿宋_GBK" w:hAnsi="方正仿宋_GBK" w:eastAsia="方正仿宋_GBK" w:cs="方正仿宋_GBK"/>
                <w:i w:val="0"/>
                <w:iCs w:val="0"/>
                <w:color w:val="000000"/>
                <w:kern w:val="0"/>
                <w:sz w:val="24"/>
                <w:szCs w:val="24"/>
                <w:u w:val="none"/>
                <w:lang w:val="en-US" w:eastAsia="zh-CN" w:bidi="ar"/>
              </w:rPr>
              <w:t>-预算科</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部门联系人：</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联系电话：</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19132173308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年初预算数</w:t>
            </w:r>
          </w:p>
        </w:tc>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全年（调整）预算数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全年执行数</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执行率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执行率权重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年度总金额</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110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700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700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其中：财政拨款</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110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700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700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10</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年初绩效目标</w:t>
            </w:r>
          </w:p>
        </w:tc>
        <w:tc>
          <w:tcPr>
            <w:tcW w:w="23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全年（调整）绩效目标</w:t>
            </w:r>
          </w:p>
        </w:tc>
        <w:tc>
          <w:tcPr>
            <w:tcW w:w="14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2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230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按照云阳财建〔</w:t>
            </w:r>
            <w:r>
              <w:rPr>
                <w:rFonts w:hint="default" w:ascii="Times New Roman" w:hAnsi="Times New Roman" w:eastAsia="方正仿宋_GBK" w:cs="Times New Roman"/>
                <w:i w:val="0"/>
                <w:iCs w:val="0"/>
                <w:color w:val="000000"/>
                <w:kern w:val="0"/>
                <w:sz w:val="24"/>
                <w:szCs w:val="24"/>
                <w:u w:val="none"/>
                <w:lang w:val="en-US" w:eastAsia="zh-CN" w:bidi="ar"/>
              </w:rPr>
              <w:t>2022</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53</w:t>
            </w:r>
            <w:r>
              <w:rPr>
                <w:rFonts w:hint="eastAsia" w:ascii="方正仿宋_GBK" w:hAnsi="方正仿宋_GBK" w:eastAsia="方正仿宋_GBK" w:cs="方正仿宋_GBK"/>
                <w:i w:val="0"/>
                <w:iCs w:val="0"/>
                <w:color w:val="000000"/>
                <w:kern w:val="0"/>
                <w:sz w:val="24"/>
                <w:szCs w:val="24"/>
                <w:u w:val="none"/>
                <w:lang w:val="en-US" w:eastAsia="zh-CN" w:bidi="ar"/>
              </w:rPr>
              <w:t>号云阳县财政局关于下达</w:t>
            </w:r>
            <w:r>
              <w:rPr>
                <w:rFonts w:hint="default" w:ascii="Times New Roman" w:hAnsi="Times New Roman" w:eastAsia="方正仿宋_GBK" w:cs="Times New Roman"/>
                <w:i w:val="0"/>
                <w:iCs w:val="0"/>
                <w:color w:val="000000"/>
                <w:kern w:val="0"/>
                <w:sz w:val="24"/>
                <w:szCs w:val="24"/>
                <w:u w:val="none"/>
                <w:lang w:val="en-US" w:eastAsia="zh-CN" w:bidi="ar"/>
              </w:rPr>
              <w:t>2022</w:t>
            </w:r>
            <w:r>
              <w:rPr>
                <w:rFonts w:hint="eastAsia" w:ascii="方正仿宋_GBK" w:hAnsi="方正仿宋_GBK" w:eastAsia="方正仿宋_GBK" w:cs="方正仿宋_GBK"/>
                <w:i w:val="0"/>
                <w:iCs w:val="0"/>
                <w:color w:val="000000"/>
                <w:kern w:val="0"/>
                <w:sz w:val="24"/>
                <w:szCs w:val="24"/>
                <w:u w:val="none"/>
                <w:lang w:val="en-US" w:eastAsia="zh-CN" w:bidi="ar"/>
              </w:rPr>
              <w:t>年车辆购置税收入补助地方资金预算（第二批）的通知，完成农村建设任务</w:t>
            </w:r>
          </w:p>
        </w:tc>
        <w:tc>
          <w:tcPr>
            <w:tcW w:w="14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工程及时完成，便利居民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指标名称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计量单位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指标性质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指标值</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全年完成值</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偏离度（%）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得分系数（%）</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指标权重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指标得分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是否核心指标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说明</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重要道路窄路面扩宽里程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组级公路通达通畅改建公里路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公里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工程完成及时率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工程使用年限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年</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受益群众满意度</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98</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98</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kern w:val="0"/>
                <w:sz w:val="24"/>
                <w:szCs w:val="24"/>
                <w:u w:val="none"/>
                <w:lang w:val="en-US" w:eastAsia="zh-CN" w:bidi="ar"/>
              </w:rPr>
            </w:pP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default" w:ascii="Times New Roman" w:hAnsi="Times New Roman" w:eastAsia="方正黑体_GBK" w:cs="Times New Roman"/>
          <w:sz w:val="32"/>
          <w:szCs w:val="32"/>
          <w:highlight w:val="none"/>
        </w:rPr>
      </w:pPr>
      <w:r>
        <w:rPr>
          <w:rStyle w:val="14"/>
          <w:rFonts w:hint="default" w:ascii="Times New Roman" w:hAnsi="Times New Roman" w:eastAsia="方正黑体_GBK" w:cs="Times New Roman"/>
          <w:b w:val="0"/>
          <w:bCs/>
          <w:sz w:val="32"/>
          <w:szCs w:val="32"/>
          <w:highlight w:val="none"/>
          <w:shd w:val="clear" w:fill="FFFFFF"/>
        </w:rPr>
        <w:t>六、专业名词解释</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eastAsia" w:ascii="方正楷体_GBK" w:hAnsi="方正楷体_GBK" w:eastAsia="方正楷体_GBK" w:cs="方正楷体_GBK"/>
          <w:color w:val="auto"/>
          <w:sz w:val="32"/>
          <w:szCs w:val="32"/>
          <w:highlight w:val="none"/>
          <w:shd w:val="clear" w:fill="FFFFFF"/>
        </w:rPr>
        <w:t>（一）财政拨款收入：</w:t>
      </w:r>
      <w:r>
        <w:rPr>
          <w:rFonts w:hint="default" w:ascii="Times New Roman" w:hAnsi="Times New Roman" w:eastAsia="方正仿宋_GBK" w:cs="Times New Roman"/>
          <w:color w:val="auto"/>
          <w:sz w:val="32"/>
          <w:szCs w:val="32"/>
          <w:highlight w:val="none"/>
          <w:shd w:val="clear" w:fill="FFFFFF"/>
        </w:rPr>
        <w:t>指本年度从本级财政部门取得的财政拨款，包括一般公共预算财政拨款和政府性基金预算财政拨款。</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（二）事业收入：</w:t>
      </w:r>
      <w:r>
        <w:rPr>
          <w:rFonts w:hint="default" w:ascii="Times New Roman" w:hAnsi="Times New Roman" w:eastAsia="方正仿宋_GBK" w:cs="Times New Roman"/>
          <w:color w:val="auto"/>
          <w:sz w:val="32"/>
          <w:szCs w:val="32"/>
          <w:highlight w:val="none"/>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（三）经营收入：</w:t>
      </w:r>
      <w:r>
        <w:rPr>
          <w:rFonts w:hint="default" w:ascii="Times New Roman" w:hAnsi="Times New Roman" w:eastAsia="方正仿宋_GBK" w:cs="Times New Roman"/>
          <w:color w:val="auto"/>
          <w:sz w:val="32"/>
          <w:szCs w:val="32"/>
          <w:highlight w:val="none"/>
          <w:shd w:val="clear" w:fill="FFFFFF"/>
        </w:rPr>
        <w:t>指事业单位在专业业务活动及其辅助活动之外开展非独立核算经营活动取得的现金流入。</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（四）其他收入：</w:t>
      </w:r>
      <w:r>
        <w:rPr>
          <w:rFonts w:hint="default" w:ascii="Times New Roman" w:hAnsi="Times New Roman" w:eastAsia="方正仿宋_GBK" w:cs="Times New Roman"/>
          <w:color w:val="auto"/>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（五）使用非财政拨款结余：</w:t>
      </w:r>
      <w:r>
        <w:rPr>
          <w:rFonts w:hint="default" w:ascii="Times New Roman" w:hAnsi="Times New Roman" w:eastAsia="方正仿宋_GBK" w:cs="Times New Roman"/>
          <w:color w:val="auto"/>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（六）年初结转和结余：</w:t>
      </w:r>
      <w:r>
        <w:rPr>
          <w:rFonts w:hint="default" w:ascii="Times New Roman" w:hAnsi="Times New Roman" w:eastAsia="方正仿宋_GBK" w:cs="Times New Roman"/>
          <w:color w:val="auto"/>
          <w:sz w:val="32"/>
          <w:szCs w:val="32"/>
          <w:highlight w:val="none"/>
          <w:shd w:val="clear" w:fill="FFFFFF"/>
        </w:rPr>
        <w:t>指单位上年结转本年使用的基本支出结转、项目支出结转和结余、经营结余。</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（七）结余分配：</w:t>
      </w:r>
      <w:r>
        <w:rPr>
          <w:rFonts w:hint="default" w:ascii="Times New Roman" w:hAnsi="Times New Roman" w:eastAsia="方正仿宋_GBK" w:cs="Times New Roman"/>
          <w:color w:val="auto"/>
          <w:sz w:val="32"/>
          <w:szCs w:val="32"/>
          <w:highlight w:val="none"/>
          <w:shd w:val="clear" w:fill="FFFFFF"/>
        </w:rPr>
        <w:t>指单位按照国家有关规定，缴纳所得税、提取专用基金、转入非财政拨款结余等当年结余的分配情况。</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（八）年末结转和结余：</w:t>
      </w:r>
      <w:r>
        <w:rPr>
          <w:rFonts w:hint="default" w:ascii="Times New Roman" w:hAnsi="Times New Roman" w:eastAsia="方正仿宋_GBK" w:cs="Times New Roman"/>
          <w:color w:val="auto"/>
          <w:sz w:val="32"/>
          <w:szCs w:val="32"/>
          <w:highlight w:val="none"/>
          <w:shd w:val="clear" w:fill="FFFFFF"/>
        </w:rPr>
        <w:t>指单位结转下年的基本支出结转、项目支出结转和结余、经营结余。</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（九）基本支出：</w:t>
      </w:r>
      <w:r>
        <w:rPr>
          <w:rFonts w:hint="default" w:ascii="Times New Roman" w:hAnsi="Times New Roman" w:eastAsia="方正仿宋_GBK" w:cs="Times New Roman"/>
          <w:color w:val="auto"/>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（十）项目支出：</w:t>
      </w:r>
      <w:r>
        <w:rPr>
          <w:rFonts w:hint="default" w:ascii="Times New Roman" w:hAnsi="Times New Roman" w:eastAsia="方正仿宋_GBK" w:cs="Times New Roman"/>
          <w:color w:val="auto"/>
          <w:sz w:val="32"/>
          <w:szCs w:val="32"/>
          <w:highlight w:val="none"/>
          <w:shd w:val="clear" w:fill="FFFFFF"/>
        </w:rPr>
        <w:t>指在基本支出之外为完成特定行政任务和事业发展目标所发生的支出。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（十一）经营支出：</w:t>
      </w:r>
      <w:r>
        <w:rPr>
          <w:rFonts w:hint="default" w:ascii="Times New Roman" w:hAnsi="Times New Roman" w:eastAsia="方正仿宋_GBK" w:cs="Times New Roman"/>
          <w:color w:val="auto"/>
          <w:sz w:val="32"/>
          <w:szCs w:val="32"/>
          <w:highlight w:val="none"/>
          <w:shd w:val="clear" w:fill="FFFFFF"/>
        </w:rPr>
        <w:t>指事业单位在专业业务活动及其辅助活动之外开展非独立核算经营活动发生的支出。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（十二）“三公”经费：</w:t>
      </w:r>
      <w:r>
        <w:rPr>
          <w:rFonts w:hint="default" w:ascii="Times New Roman" w:hAnsi="Times New Roman" w:eastAsia="方正仿宋_GBK" w:cs="Times New Roman"/>
          <w:color w:val="auto"/>
          <w:sz w:val="32"/>
          <w:szCs w:val="32"/>
          <w:highlight w:val="none"/>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（十三）机关运行经费：</w:t>
      </w:r>
      <w:r>
        <w:rPr>
          <w:rFonts w:hint="default" w:ascii="Times New Roman" w:hAnsi="Times New Roman" w:eastAsia="方正仿宋_GBK" w:cs="Times New Roman"/>
          <w:color w:val="auto"/>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（十四）工资福利支出（支出经济分类科目类级）：</w:t>
      </w:r>
      <w:r>
        <w:rPr>
          <w:rFonts w:hint="default" w:ascii="Times New Roman" w:hAnsi="Times New Roman" w:eastAsia="方正仿宋_GBK" w:cs="Times New Roman"/>
          <w:color w:val="auto"/>
          <w:sz w:val="32"/>
          <w:szCs w:val="32"/>
          <w:highlight w:val="none"/>
          <w:shd w:val="clear" w:fill="FFFFFF"/>
        </w:rPr>
        <w:t>反映单位开支的在职职工和编制外长期聘用人员的各类劳动报酬，以及为上述人员缴纳的各项社会保险费等。</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（十五）商品和服务支出（支出经济分类科目类级）：</w:t>
      </w:r>
      <w:r>
        <w:rPr>
          <w:rFonts w:hint="default" w:ascii="Times New Roman" w:hAnsi="Times New Roman" w:eastAsia="方正仿宋_GBK" w:cs="Times New Roman"/>
          <w:color w:val="auto"/>
          <w:sz w:val="32"/>
          <w:szCs w:val="32"/>
          <w:highlight w:val="none"/>
          <w:shd w:val="clear" w:fill="FFFFFF"/>
        </w:rPr>
        <w:t>反映单位购买商品和服务的支出（不包括用于购置固定资产的支出、战略性和应急储备支出）。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（十六）对个人和家庭的补助（支出经济分类科目类级）：</w:t>
      </w:r>
      <w:r>
        <w:rPr>
          <w:rFonts w:hint="default" w:ascii="Times New Roman" w:hAnsi="Times New Roman" w:eastAsia="方正仿宋_GBK" w:cs="Times New Roman"/>
          <w:color w:val="auto"/>
          <w:sz w:val="32"/>
          <w:szCs w:val="32"/>
          <w:highlight w:val="none"/>
          <w:shd w:val="clear" w:fill="FFFFFF"/>
        </w:rPr>
        <w:t>反映用于对个人和家庭的补助支出。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方正楷体_GBK" w:hAnsi="方正楷体_GBK" w:eastAsia="方正楷体_GBK" w:cs="方正楷体_GBK"/>
          <w:color w:val="auto"/>
          <w:sz w:val="32"/>
          <w:szCs w:val="32"/>
          <w:highlight w:val="none"/>
          <w:shd w:val="clear" w:fill="FFFFFF"/>
        </w:rPr>
        <w:t>（十七）其他资本性支出（支出经济分类科目类级）：</w:t>
      </w:r>
      <w:r>
        <w:rPr>
          <w:rFonts w:hint="default" w:ascii="Times New Roman" w:hAnsi="Times New Roman" w:eastAsia="方正仿宋_GBK" w:cs="Times New Roman"/>
          <w:color w:val="auto"/>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eastAsia" w:ascii="方正黑体_GBK" w:hAnsi="方正黑体_GBK" w:eastAsia="方正黑体_GBK" w:cs="方正黑体_GBK"/>
          <w:color w:val="auto"/>
          <w:sz w:val="32"/>
          <w:szCs w:val="32"/>
          <w:highlight w:val="none"/>
          <w:shd w:val="clear" w:fill="FFFFFF"/>
        </w:rPr>
      </w:pPr>
      <w:r>
        <w:rPr>
          <w:rFonts w:hint="eastAsia" w:ascii="方正黑体_GBK" w:hAnsi="方正黑体_GBK" w:eastAsia="方正黑体_GBK" w:cs="方正黑体_GBK"/>
          <w:color w:val="auto"/>
          <w:sz w:val="32"/>
          <w:szCs w:val="32"/>
          <w:highlight w:val="none"/>
          <w:shd w:val="clear" w:fill="FFFFFF"/>
        </w:rPr>
        <w:t>七、决算公开联系方式及信息反馈渠道</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shd w:val="clear" w:fill="FFFFFF"/>
        </w:rPr>
      </w:pPr>
      <w:r>
        <w:rPr>
          <w:rFonts w:hint="default" w:ascii="Times New Roman" w:hAnsi="Times New Roman" w:eastAsia="方正仿宋_GBK" w:cs="Times New Roman"/>
          <w:color w:val="auto"/>
          <w:sz w:val="32"/>
          <w:szCs w:val="32"/>
          <w:highlight w:val="none"/>
          <w:shd w:val="clear" w:fill="FFFFFF"/>
        </w:rPr>
        <w:t>本单位决算公开信息反馈和联系方式：</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eastAsia" w:ascii="Times New Roman" w:hAnsi="Times New Roman" w:eastAsia="方正仿宋_GBK" w:cs="Times New Roman"/>
          <w:color w:val="auto"/>
          <w:sz w:val="32"/>
          <w:szCs w:val="32"/>
          <w:highlight w:val="none"/>
          <w:shd w:val="clear" w:fill="FFFFFF"/>
          <w:lang w:eastAsia="zh-CN"/>
        </w:rPr>
      </w:pPr>
      <w:r>
        <w:rPr>
          <w:rFonts w:hint="default" w:ascii="Times New Roman" w:hAnsi="Times New Roman" w:eastAsia="方正仿宋_GBK" w:cs="Times New Roman"/>
          <w:color w:val="auto"/>
          <w:sz w:val="32"/>
          <w:szCs w:val="32"/>
          <w:highlight w:val="none"/>
          <w:shd w:val="clear" w:fill="FFFFFF"/>
        </w:rPr>
        <w:t>联系人：</w:t>
      </w:r>
      <w:r>
        <w:rPr>
          <w:rFonts w:hint="default" w:ascii="Times New Roman" w:hAnsi="Times New Roman" w:eastAsia="方正仿宋_GBK" w:cs="Times New Roman"/>
          <w:color w:val="auto"/>
          <w:sz w:val="32"/>
          <w:szCs w:val="32"/>
          <w:highlight w:val="none"/>
          <w:shd w:val="clear" w:fill="FFFFFF"/>
          <w:lang w:val="en-US" w:eastAsia="zh-CN"/>
        </w:rPr>
        <w:t>张苗</w:t>
      </w:r>
      <w:r>
        <w:rPr>
          <w:rFonts w:hint="default" w:ascii="Times New Roman" w:hAnsi="Times New Roman" w:eastAsia="方正仿宋_GBK" w:cs="Times New Roman"/>
          <w:color w:val="auto"/>
          <w:sz w:val="32"/>
          <w:szCs w:val="32"/>
          <w:highlight w:val="none"/>
          <w:shd w:val="clear" w:fill="FFFFFF"/>
        </w:rPr>
        <w:t>；办公电话：023-55825168</w:t>
      </w:r>
      <w:r>
        <w:rPr>
          <w:rFonts w:hint="eastAsia" w:ascii="Times New Roman" w:hAnsi="Times New Roman" w:eastAsia="方正仿宋_GBK" w:cs="Times New Roman"/>
          <w:color w:val="auto"/>
          <w:sz w:val="32"/>
          <w:szCs w:val="32"/>
          <w:highlight w:val="none"/>
          <w:shd w:val="clear" w:fill="FFFFFF"/>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8" w:lineRule="exact"/>
        <w:ind w:left="0" w:firstLine="640" w:firstLineChars="200"/>
        <w:jc w:val="left"/>
        <w:textAlignment w:val="auto"/>
        <w:rPr>
          <w:rFonts w:hint="default" w:ascii="Times New Roman" w:hAnsi="Times New Roman" w:cs="Times New Roman"/>
          <w:sz w:val="32"/>
          <w:szCs w:val="32"/>
          <w:highlight w:val="none"/>
        </w:rPr>
      </w:pPr>
    </w:p>
    <w:sectPr>
      <w:footerReference r:id="rId3" w:type="default"/>
      <w:pgSz w:w="11915" w:h="16851"/>
      <w:pgMar w:top="1962" w:right="1474" w:bottom="1848"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hdrShapeDefaults>
    <o:shapelayout v:ext="edit">
      <o:idmap v:ext="edit" data="3,4"/>
    </o:shapelayout>
  </w:hdrShapeDefaults>
  <w:compat>
    <w:doNotExpandShiftReturn/>
    <w:doNotBreakWrappedTables/>
    <w:doNotWrapTextWithPunct/>
    <w:doNotUseEastAsianBreakRules/>
    <w:growAutofit/>
    <w:useFELayout/>
    <w:doNotUseIndentAsNumberingTabStop/>
    <w:useAltKinsokuLineBreakRules/>
    <w:compatSetting w:name="compatibilityMode" w:uri="http://schemas.microsoft.com/office/word" w:val="11"/>
  </w:compat>
  <w:docVars>
    <w:docVar w:name="commondata" w:val="eyJoZGlkIjoiM2ZlZjdlOTQ3NTRmYjk0MTA1YzYzYjRkNjRkZjYwMWQifQ=="/>
  </w:docVars>
  <w:rsids>
    <w:rsidRoot w:val="00172A27"/>
    <w:rsid w:val="011E0236"/>
    <w:rsid w:val="02C7409E"/>
    <w:rsid w:val="09BC05EC"/>
    <w:rsid w:val="09E74E84"/>
    <w:rsid w:val="0B502996"/>
    <w:rsid w:val="0BEC52CA"/>
    <w:rsid w:val="0F6743E2"/>
    <w:rsid w:val="12CF313E"/>
    <w:rsid w:val="12D60970"/>
    <w:rsid w:val="18A137CE"/>
    <w:rsid w:val="192A5572"/>
    <w:rsid w:val="205F15B9"/>
    <w:rsid w:val="21415B4F"/>
    <w:rsid w:val="21B31E7D"/>
    <w:rsid w:val="22E76282"/>
    <w:rsid w:val="2B8F74B6"/>
    <w:rsid w:val="2E717347"/>
    <w:rsid w:val="2F4F7689"/>
    <w:rsid w:val="2F813E2A"/>
    <w:rsid w:val="3C356086"/>
    <w:rsid w:val="3DD9FB8D"/>
    <w:rsid w:val="411F7702"/>
    <w:rsid w:val="4392347B"/>
    <w:rsid w:val="4420119C"/>
    <w:rsid w:val="4527713B"/>
    <w:rsid w:val="4B964CA6"/>
    <w:rsid w:val="4C123ECB"/>
    <w:rsid w:val="4E66BACA"/>
    <w:rsid w:val="4F1B0EDE"/>
    <w:rsid w:val="57A37CC2"/>
    <w:rsid w:val="5821117D"/>
    <w:rsid w:val="68FB54A7"/>
    <w:rsid w:val="6AE0505D"/>
    <w:rsid w:val="6BD050D2"/>
    <w:rsid w:val="6CAC415B"/>
    <w:rsid w:val="6E202C32"/>
    <w:rsid w:val="6E6ED299"/>
    <w:rsid w:val="6EC16F54"/>
    <w:rsid w:val="7617023A"/>
    <w:rsid w:val="791E3C29"/>
    <w:rsid w:val="799F19EF"/>
    <w:rsid w:val="7AE83ABA"/>
    <w:rsid w:val="7B86755B"/>
    <w:rsid w:val="7BD55DED"/>
    <w:rsid w:val="7D6529D6"/>
    <w:rsid w:val="7EDF012D"/>
    <w:rsid w:val="DC77A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5283</Words>
  <Characters>6037</Characters>
  <TotalTime>0</TotalTime>
  <ScaleCrop>false</ScaleCrop>
  <LinksUpToDate>false</LinksUpToDate>
  <CharactersWithSpaces>6044</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2023-10-25T01:09:00Z</dcterms:created>
  <dc:creator>邱玲</dc:creator>
  <cp:lastModifiedBy>hyzbgs</cp:lastModifiedBy>
  <dcterms:modified xsi:type="dcterms:W3CDTF">2023-10-24T19:32:49Z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595C7B63B5694C02AE4C4595A366E7F9_13</vt:lpwstr>
  </property>
</Properties>
</file>