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sz w:val="44"/>
          <w:szCs w:val="44"/>
        </w:rPr>
      </w:pPr>
      <w:bookmarkStart w:id="0" w:name="_GoBack"/>
      <w:r>
        <w:rPr>
          <w:rFonts w:hint="default" w:ascii="Times New Roman" w:hAnsi="Times New Roman" w:eastAsia="方正小标宋_GBK" w:cs="Times New Roman"/>
          <w:sz w:val="44"/>
          <w:szCs w:val="44"/>
        </w:rPr>
        <w:t>云阳县</w:t>
      </w:r>
      <w:r>
        <w:rPr>
          <w:rFonts w:hint="default" w:ascii="Times New Roman" w:hAnsi="Times New Roman" w:eastAsia="方正小标宋_GBK" w:cs="Times New Roman"/>
          <w:sz w:val="44"/>
          <w:szCs w:val="44"/>
        </w:rPr>
        <w:t>黄石镇综合行政执法大队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sz w:val="44"/>
          <w:szCs w:val="44"/>
        </w:rPr>
      </w:pPr>
      <w:r>
        <w:rPr>
          <w:rFonts w:hint="default" w:ascii="Times New Roman" w:hAnsi="Times New Roman" w:cs="Times New Roman"/>
          <w:sz w:val="44"/>
          <w:szCs w:val="44"/>
        </w:rPr>
        <w:t>2022</w:t>
      </w:r>
      <w:r>
        <w:rPr>
          <w:rFonts w:hint="default" w:ascii="Times New Roman" w:hAnsi="Times New Roman" w:eastAsia="方正小标宋_GBK" w:cs="Times New Roman"/>
          <w:sz w:val="44"/>
          <w:szCs w:val="44"/>
        </w:rPr>
        <w:t>年度县级部门决算公开说明</w:t>
      </w:r>
    </w:p>
    <w:bookmarkEnd w:id="0"/>
    <w:p>
      <w:pPr>
        <w:pStyle w:val="4"/>
        <w:keepNext w:val="0"/>
        <w:keepLines w:val="0"/>
        <w:widowControl/>
        <w:suppressLineNumbers w:val="0"/>
        <w:spacing w:before="0" w:beforeAutospacing="0" w:after="0" w:afterAutospacing="0" w:line="600" w:lineRule="atLeast"/>
        <w:ind w:left="0" w:right="0"/>
        <w:rPr>
          <w:rFonts w:hint="default" w:ascii="Times New Roman" w:hAnsi="Times New Roman" w:cs="Times New Roman"/>
        </w:rPr>
      </w:pPr>
      <w:r>
        <w:rPr>
          <w:rStyle w:val="7"/>
          <w:rFonts w:hint="default" w:ascii="Times New Roman" w:hAnsi="Times New Roman" w:eastAsia="方正仿宋简体" w:cs="Times New Roman"/>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一、单位基本情况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（一）职能职责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（二）机构设置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黄石镇综合行政执法大队，为黄石镇人民政府管理的下属事业单位，无机构设置。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（三）单位构成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1"/>
          <w:szCs w:val="31"/>
        </w:rPr>
        <w:t>黄石镇综合行政执法大队，为黄石镇人民政府管理的下属事业单位，无单位构成</w:t>
      </w:r>
      <w:r>
        <w:rPr>
          <w:rFonts w:hint="default" w:ascii="Times New Roman" w:hAnsi="Times New Roman" w:eastAsia="方正仿宋_GBK" w:cs="Times New Roman"/>
          <w:color w:val="auto"/>
          <w:sz w:val="31"/>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二、部门决算情况说明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1"/>
          <w:szCs w:val="31"/>
        </w:rPr>
        <w:t>（一）收入支出决算总体情况说明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1.</w:t>
      </w:r>
      <w:r>
        <w:rPr>
          <w:rFonts w:hint="default" w:ascii="Times New Roman" w:hAnsi="Times New Roman" w:eastAsia="方正仿宋_GBK" w:cs="Times New Roman"/>
          <w:b/>
          <w:bCs/>
          <w:color w:val="auto"/>
          <w:sz w:val="31"/>
          <w:szCs w:val="31"/>
        </w:rPr>
        <w:t>总体情况。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年度收入总计</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万元，支出总计</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万元。收支较上年决算数增加</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，主要原因是按照</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年决算列报口径，新增云阳县黄石镇综合行政执法大队为决算单位，上年决算数为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2.</w:t>
      </w:r>
      <w:r>
        <w:rPr>
          <w:rFonts w:hint="default" w:ascii="Times New Roman" w:hAnsi="Times New Roman" w:eastAsia="方正仿宋_GBK" w:cs="Times New Roman"/>
          <w:b/>
          <w:bCs/>
          <w:color w:val="auto"/>
          <w:sz w:val="31"/>
          <w:szCs w:val="31"/>
        </w:rPr>
        <w:t>收入情况。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年度收入合计</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万元，较上年决算数增加</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万元。其中财政拨款收入</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万元，占</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，无年初结转和结余。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3.</w:t>
      </w:r>
      <w:r>
        <w:rPr>
          <w:rFonts w:hint="default" w:ascii="Times New Roman" w:hAnsi="Times New Roman" w:eastAsia="方正仿宋_GBK" w:cs="Times New Roman"/>
          <w:b/>
          <w:bCs/>
          <w:color w:val="auto"/>
          <w:sz w:val="31"/>
          <w:szCs w:val="31"/>
        </w:rPr>
        <w:t>支出情况。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年度支出合计</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万元，较上年决算增加</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万元。其中基本支出</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万元，占</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，无项目支出。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4.</w:t>
      </w:r>
      <w:r>
        <w:rPr>
          <w:rFonts w:hint="default" w:ascii="Times New Roman" w:hAnsi="Times New Roman" w:eastAsia="方正仿宋_GBK" w:cs="Times New Roman"/>
          <w:b/>
          <w:bCs/>
          <w:color w:val="auto"/>
          <w:sz w:val="31"/>
          <w:szCs w:val="31"/>
        </w:rPr>
        <w:t>结转结余情况。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年度年末结转和结余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8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（二）财政拨款收入支出决算总体情况说明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年度财政拨款收、支总计</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万元。与</w:t>
      </w:r>
      <w:r>
        <w:rPr>
          <w:rFonts w:hint="default" w:ascii="Times New Roman" w:hAnsi="Times New Roman" w:cs="Times New Roman"/>
          <w:color w:val="auto"/>
          <w:sz w:val="31"/>
          <w:szCs w:val="31"/>
        </w:rPr>
        <w:t>2021</w:t>
      </w:r>
      <w:r>
        <w:rPr>
          <w:rFonts w:hint="default" w:ascii="Times New Roman" w:hAnsi="Times New Roman" w:eastAsia="方正仿宋_GBK" w:cs="Times New Roman"/>
          <w:color w:val="auto"/>
          <w:sz w:val="31"/>
          <w:szCs w:val="31"/>
        </w:rPr>
        <w:t>年相比，财政拨款收、支总计各增加</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年新增为决算单位，上年收支决算数均为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（三）一般公共预算财政拨款收入支出决算情况说明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1.</w:t>
      </w:r>
      <w:r>
        <w:rPr>
          <w:rFonts w:hint="default" w:ascii="Times New Roman" w:hAnsi="Times New Roman" w:eastAsia="方正仿宋_GBK" w:cs="Times New Roman"/>
          <w:b/>
          <w:bCs/>
          <w:color w:val="auto"/>
          <w:sz w:val="31"/>
          <w:szCs w:val="31"/>
        </w:rPr>
        <w:t>收入情况。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年度一般公共预算财政拨款收入</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万元，较上年决算数增加</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万元。主要原因是</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年新增为决算单位，上年决算数为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万元。较年初预算数增加</w:t>
      </w:r>
      <w:r>
        <w:rPr>
          <w:rFonts w:hint="default" w:ascii="Times New Roman" w:hAnsi="Times New Roman" w:cs="Times New Roman"/>
          <w:color w:val="auto"/>
          <w:sz w:val="31"/>
          <w:szCs w:val="31"/>
        </w:rPr>
        <w:t>9.67</w:t>
      </w:r>
      <w:r>
        <w:rPr>
          <w:rFonts w:hint="default" w:ascii="Times New Roman" w:hAnsi="Times New Roman" w:eastAsia="方正仿宋_GBK" w:cs="Times New Roman"/>
          <w:color w:val="auto"/>
          <w:sz w:val="31"/>
          <w:szCs w:val="31"/>
        </w:rPr>
        <w:t>万元，增长</w:t>
      </w:r>
      <w:r>
        <w:rPr>
          <w:rFonts w:hint="default" w:ascii="Times New Roman" w:hAnsi="Times New Roman" w:cs="Times New Roman"/>
          <w:color w:val="auto"/>
          <w:sz w:val="31"/>
          <w:szCs w:val="31"/>
        </w:rPr>
        <w:t>5.9%</w:t>
      </w:r>
      <w:r>
        <w:rPr>
          <w:rFonts w:hint="default" w:ascii="Times New Roman" w:hAnsi="Times New Roman" w:eastAsia="方正仿宋_GBK" w:cs="Times New Roman"/>
          <w:color w:val="auto"/>
          <w:sz w:val="31"/>
          <w:szCs w:val="31"/>
        </w:rPr>
        <w:t>，主要原因是年中追加了人员经费预算。此外，年初财政拨款结转和结余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2.</w:t>
      </w:r>
      <w:r>
        <w:rPr>
          <w:rFonts w:hint="default" w:ascii="Times New Roman" w:hAnsi="Times New Roman" w:eastAsia="方正仿宋_GBK" w:cs="Times New Roman"/>
          <w:b/>
          <w:bCs/>
          <w:color w:val="auto"/>
          <w:sz w:val="31"/>
          <w:szCs w:val="31"/>
        </w:rPr>
        <w:t>支出情况。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年度一般公共预算财政拨款支出</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万元，上年决算支出数为</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3.</w:t>
      </w:r>
      <w:r>
        <w:rPr>
          <w:rFonts w:hint="default" w:ascii="Times New Roman" w:hAnsi="Times New Roman" w:eastAsia="方正仿宋_GBK" w:cs="Times New Roman"/>
          <w:b/>
          <w:bCs/>
          <w:color w:val="auto"/>
          <w:sz w:val="31"/>
          <w:szCs w:val="31"/>
        </w:rPr>
        <w:t>结转结余情况。</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年度年末一般公共预算财政拨款结转和结余</w:t>
      </w:r>
      <w:r>
        <w:rPr>
          <w:rFonts w:hint="default" w:ascii="Times New Roman" w:hAnsi="Times New Roman" w:cs="Times New Roman"/>
          <w:color w:val="auto"/>
          <w:sz w:val="31"/>
          <w:szCs w:val="31"/>
        </w:rPr>
        <w:t>0.00</w:t>
      </w:r>
      <w:r>
        <w:rPr>
          <w:rFonts w:hint="default" w:ascii="Times New Roman" w:hAnsi="Times New Roman" w:eastAsia="方正仿宋_GBK" w:cs="Times New Roman"/>
          <w:color w:val="auto"/>
          <w:sz w:val="31"/>
          <w:szCs w:val="31"/>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b/>
          <w:bCs/>
          <w:color w:val="auto"/>
          <w:sz w:val="31"/>
          <w:szCs w:val="31"/>
        </w:rPr>
        <w:t>4.</w:t>
      </w:r>
      <w:r>
        <w:rPr>
          <w:rFonts w:hint="default" w:ascii="Times New Roman" w:hAnsi="Times New Roman" w:eastAsia="方正仿宋_GBK" w:cs="Times New Roman"/>
          <w:b/>
          <w:bCs/>
          <w:color w:val="auto"/>
          <w:sz w:val="31"/>
          <w:szCs w:val="31"/>
        </w:rPr>
        <w:t>比较情况。</w:t>
      </w:r>
      <w:r>
        <w:rPr>
          <w:rFonts w:hint="default" w:ascii="Times New Roman" w:hAnsi="Times New Roman" w:eastAsia="方正仿宋_GBK" w:cs="Times New Roman"/>
          <w:color w:val="auto"/>
          <w:sz w:val="31"/>
          <w:szCs w:val="31"/>
        </w:rPr>
        <w:t>本部门</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年度一般公共预算财政拨款支出主要用于以下几个方面：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（1）社会保障与就业支出18.68万元，占10.7%，较年初预算数增加0.81万元，增长4.5%，主要原因是年底增人调资养老、职业年金增加。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（2）卫生健康支出9.39万元，占5.4%，较年初预算数增加0.49万元，增长5.5%，主要原因是年底增人调资医疗增加。 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（3）住房保障支出9.35万元，占5.4%，较年初预算数增加0.59万元，增长6.7%，主要原因是年底增人调资住房公积金增加。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fill="FFFFFF"/>
        </w:rPr>
        <w:t>（4）一般公共服务支出137.08万元，占78.6%，较年初预算数增加7.77万元，增长6%，主要原因是年底增人调资工资福利支出等进行了增加。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（四）一般公共预算财政拨款基本支出决算情况说明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年度一般公共预算财政拨款基本支出</w:t>
      </w:r>
      <w:r>
        <w:rPr>
          <w:rFonts w:hint="default" w:ascii="Times New Roman" w:hAnsi="Times New Roman" w:cs="Times New Roman"/>
          <w:color w:val="auto"/>
          <w:sz w:val="31"/>
          <w:szCs w:val="31"/>
        </w:rPr>
        <w:t>174.51</w:t>
      </w:r>
      <w:r>
        <w:rPr>
          <w:rFonts w:hint="default" w:ascii="Times New Roman" w:hAnsi="Times New Roman" w:eastAsia="方正仿宋_GBK" w:cs="Times New Roman"/>
          <w:color w:val="auto"/>
          <w:sz w:val="31"/>
          <w:szCs w:val="31"/>
        </w:rPr>
        <w:t>万元。其中人员经费</w:t>
      </w:r>
      <w:r>
        <w:rPr>
          <w:rFonts w:hint="default" w:ascii="Times New Roman" w:hAnsi="Times New Roman" w:cs="Times New Roman"/>
          <w:color w:val="auto"/>
          <w:sz w:val="31"/>
          <w:szCs w:val="31"/>
        </w:rPr>
        <w:t>171.86</w:t>
      </w:r>
      <w:r>
        <w:rPr>
          <w:rFonts w:hint="default" w:ascii="Times New Roman" w:hAnsi="Times New Roman" w:eastAsia="方正仿宋_GBK" w:cs="Times New Roman"/>
          <w:color w:val="auto"/>
          <w:sz w:val="31"/>
          <w:szCs w:val="31"/>
        </w:rPr>
        <w:t>万元，用途主要包括工资性福利支出、商品和服务支出和对个人和家庭的补助。公用经费</w:t>
      </w:r>
      <w:r>
        <w:rPr>
          <w:rFonts w:hint="default" w:ascii="Times New Roman" w:hAnsi="Times New Roman" w:cs="Times New Roman"/>
          <w:color w:val="auto"/>
          <w:sz w:val="31"/>
          <w:szCs w:val="31"/>
        </w:rPr>
        <w:t>2.65</w:t>
      </w:r>
      <w:r>
        <w:rPr>
          <w:rFonts w:hint="default" w:ascii="Times New Roman" w:hAnsi="Times New Roman" w:eastAsia="方正仿宋_GBK" w:cs="Times New Roman"/>
          <w:color w:val="auto"/>
          <w:sz w:val="31"/>
          <w:szCs w:val="31"/>
        </w:rPr>
        <w:t>万元，用途主要包括工会经费和福利费。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（五）政府性基金预算收支决算情况说明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shd w:val="clear" w:fill="FFFFFF"/>
        </w:rPr>
        <w:t>本单位</w:t>
      </w:r>
      <w:r>
        <w:rPr>
          <w:rFonts w:hint="default" w:ascii="Times New Roman" w:hAnsi="Times New Roman" w:cs="Times New Roman"/>
          <w:color w:val="auto"/>
          <w:sz w:val="31"/>
          <w:szCs w:val="31"/>
          <w:shd w:val="clear" w:fill="FFFFFF"/>
        </w:rPr>
        <w:t>2022</w:t>
      </w:r>
      <w:r>
        <w:rPr>
          <w:rFonts w:hint="default" w:ascii="Times New Roman" w:hAnsi="Times New Roman" w:eastAsia="方正仿宋_GBK" w:cs="Times New Roman"/>
          <w:color w:val="auto"/>
          <w:sz w:val="31"/>
          <w:szCs w:val="31"/>
          <w:shd w:val="clear" w:fill="FFFFFF"/>
        </w:rPr>
        <w:t>年度无政府性基金预算财政拨款收支。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shd w:val="clear" w:fill="FFFFFF"/>
        </w:rPr>
        <w:t>（六）国有资本经营预算财政拨款支出决算情况说明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shd w:val="clear" w:fill="FFFFFF"/>
        </w:rPr>
        <w:t>本单位</w:t>
      </w:r>
      <w:r>
        <w:rPr>
          <w:rFonts w:hint="default" w:ascii="Times New Roman" w:hAnsi="Times New Roman" w:cs="Times New Roman"/>
          <w:color w:val="auto"/>
          <w:sz w:val="31"/>
          <w:szCs w:val="31"/>
          <w:shd w:val="clear" w:fill="FFFFFF"/>
        </w:rPr>
        <w:t>2022</w:t>
      </w:r>
      <w:r>
        <w:rPr>
          <w:rFonts w:hint="default" w:ascii="Times New Roman" w:hAnsi="Times New Roman" w:eastAsia="方正仿宋_GBK" w:cs="Times New Roman"/>
          <w:color w:val="auto"/>
          <w:sz w:val="31"/>
          <w:szCs w:val="31"/>
          <w:shd w:val="clear" w:fill="FFFFFF"/>
        </w:rPr>
        <w:t>年度无国有资本经营预算财政拨款支出。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三、</w:t>
      </w:r>
      <w:r>
        <w:rPr>
          <w:rFonts w:hint="default" w:ascii="Times New Roman" w:hAnsi="Times New Roman" w:cs="Times New Roman"/>
          <w:color w:val="auto"/>
          <w:sz w:val="31"/>
          <w:szCs w:val="31"/>
        </w:rPr>
        <w:t>“</w:t>
      </w:r>
      <w:r>
        <w:rPr>
          <w:rFonts w:hint="default" w:ascii="Times New Roman" w:hAnsi="Times New Roman" w:eastAsia="方正黑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黑体_GBK" w:cs="Times New Roman"/>
          <w:color w:val="auto"/>
          <w:sz w:val="31"/>
          <w:szCs w:val="31"/>
        </w:rPr>
        <w:t>经费情况说明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经费支出情况。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（二）“三</w:t>
      </w:r>
      <w:r>
        <w:rPr>
          <w:rFonts w:hint="default" w:ascii="Times New Roman" w:hAnsi="Times New Roman" w:eastAsia="方正楷体_GBK" w:cs="Times New Roman"/>
          <w:color w:val="auto"/>
          <w:sz w:val="31"/>
          <w:szCs w:val="31"/>
        </w:rPr>
        <w:t>公</w:t>
      </w:r>
      <w:r>
        <w:rPr>
          <w:rFonts w:hint="default" w:ascii="Times New Roman" w:hAnsi="Times New Roman" w:eastAsia="方正仿宋_GBK" w:cs="Times New Roman"/>
          <w:color w:val="auto"/>
          <w:sz w:val="31"/>
          <w:szCs w:val="31"/>
        </w:rPr>
        <w:t>”</w:t>
      </w:r>
      <w:r>
        <w:rPr>
          <w:rFonts w:hint="default" w:ascii="Times New Roman" w:hAnsi="Times New Roman" w:eastAsia="方正楷体_GBK" w:cs="Times New Roman"/>
          <w:color w:val="auto"/>
          <w:sz w:val="31"/>
          <w:szCs w:val="31"/>
        </w:rPr>
        <w:t>经费分项支出情况。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eastAsia="方正楷体_GBK"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eastAsia="方正楷体_GBK"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w:t>
      </w:r>
      <w:r>
        <w:rPr>
          <w:rFonts w:hint="eastAsia" w:ascii="Times New Roman" w:hAnsi="Times New Roman" w:eastAsia="方正楷体_GBK" w:cs="Times New Roman"/>
          <w:color w:val="auto"/>
          <w:sz w:val="31"/>
          <w:szCs w:val="31"/>
          <w:lang w:val="en" w:eastAsia="zh-CN"/>
        </w:rPr>
        <w:t>三</w:t>
      </w:r>
      <w:r>
        <w:rPr>
          <w:rFonts w:hint="default" w:ascii="Times New Roman" w:hAnsi="Times New Roman" w:eastAsia="方正楷体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楷体_GBK" w:cs="Times New Roman"/>
          <w:color w:val="auto"/>
          <w:sz w:val="31"/>
          <w:szCs w:val="31"/>
        </w:rPr>
        <w:t>经费实物量情况。</w:t>
      </w:r>
      <w:r>
        <w:rPr>
          <w:rFonts w:hint="default" w:ascii="Times New Roman" w:hAnsi="Times New Roman" w:eastAsia="方正仿宋_GBK" w:cs="Times New Roman"/>
          <w:color w:val="auto"/>
          <w:sz w:val="31"/>
          <w:szCs w:val="31"/>
        </w:rPr>
        <w:t>对按照部门决算列报口径，我单位不在</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三公</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经费统计范围之内。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四、其他需要说明的事项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（一）财政拨款会议费和培训费情况说明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本年度会议费支出0.00万元，较上年决算数增加0.00万元，增长0%，本年度培训费支出0.57元，较上年决算数增加0.57万元，增长100%，主要原因是2022年综合行政执法大队为新增决算单位，上年决算数为0</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（二）机关运行经费支出情况说明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3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按照部门决算列报口径，我单位不在机关运行经费统计范围之内。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（三）国有资产占用情况说明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3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应包含以下信息：截至</w:t>
      </w:r>
      <w:r>
        <w:rPr>
          <w:rFonts w:hint="default" w:ascii="Times New Roman" w:hAnsi="Times New Roman" w:cs="Times New Roman"/>
          <w:color w:val="auto"/>
          <w:sz w:val="31"/>
          <w:szCs w:val="31"/>
        </w:rPr>
        <w:t>2022</w:t>
      </w:r>
      <w:r>
        <w:rPr>
          <w:rFonts w:hint="default" w:ascii="Times New Roman" w:hAnsi="Times New Roman" w:eastAsia="方正仿宋_GBK" w:cs="Times New Roman"/>
          <w:color w:val="auto"/>
          <w:sz w:val="31"/>
          <w:szCs w:val="31"/>
        </w:rPr>
        <w:t>年</w:t>
      </w:r>
      <w:r>
        <w:rPr>
          <w:rFonts w:hint="default" w:ascii="Times New Roman" w:hAnsi="Times New Roman" w:cs="Times New Roman"/>
          <w:color w:val="auto"/>
          <w:sz w:val="31"/>
          <w:szCs w:val="31"/>
        </w:rPr>
        <w:t>12</w:t>
      </w:r>
      <w:r>
        <w:rPr>
          <w:rFonts w:hint="default" w:ascii="Times New Roman" w:hAnsi="Times New Roman" w:eastAsia="方正仿宋_GBK" w:cs="Times New Roman"/>
          <w:color w:val="auto"/>
          <w:sz w:val="31"/>
          <w:szCs w:val="31"/>
        </w:rPr>
        <w:t>月</w:t>
      </w:r>
      <w:r>
        <w:rPr>
          <w:rFonts w:hint="default" w:ascii="Times New Roman" w:hAnsi="Times New Roman" w:cs="Times New Roman"/>
          <w:color w:val="auto"/>
          <w:sz w:val="31"/>
          <w:szCs w:val="31"/>
        </w:rPr>
        <w:t>31</w:t>
      </w:r>
      <w:r>
        <w:rPr>
          <w:rFonts w:hint="default" w:ascii="Times New Roman" w:hAnsi="Times New Roman" w:eastAsia="方正仿宋_GBK" w:cs="Times New Roman"/>
          <w:color w:val="auto"/>
          <w:sz w:val="31"/>
          <w:szCs w:val="31"/>
        </w:rPr>
        <w:t>日，本部门共有车辆</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辆。其中：副部（省）级及以上领导用车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辆，主要领导干部用车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辆，机要通信用车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辆，应急保障用车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辆，执法执勤用车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辆，特种专业技术用车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辆，离退休干部用车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辆，其他用车</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辆。单价</w:t>
      </w:r>
      <w:r>
        <w:rPr>
          <w:rFonts w:hint="default" w:ascii="Times New Roman" w:hAnsi="Times New Roman" w:cs="Times New Roman"/>
          <w:color w:val="auto"/>
          <w:sz w:val="31"/>
          <w:szCs w:val="31"/>
        </w:rPr>
        <w:t>50</w:t>
      </w:r>
      <w:r>
        <w:rPr>
          <w:rFonts w:hint="default" w:ascii="Times New Roman" w:hAnsi="Times New Roman" w:eastAsia="方正仿宋_GBK" w:cs="Times New Roman"/>
          <w:color w:val="auto"/>
          <w:sz w:val="31"/>
          <w:szCs w:val="31"/>
        </w:rPr>
        <w:t>万元（含）以上通用设备</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台（套），单价</w:t>
      </w:r>
      <w:r>
        <w:rPr>
          <w:rFonts w:hint="default" w:ascii="Times New Roman" w:hAnsi="Times New Roman" w:cs="Times New Roman"/>
          <w:color w:val="auto"/>
          <w:sz w:val="31"/>
          <w:szCs w:val="31"/>
        </w:rPr>
        <w:t>100</w:t>
      </w:r>
      <w:r>
        <w:rPr>
          <w:rFonts w:hint="default" w:ascii="Times New Roman" w:hAnsi="Times New Roman" w:eastAsia="方正仿宋_GBK" w:cs="Times New Roman"/>
          <w:color w:val="auto"/>
          <w:sz w:val="31"/>
          <w:szCs w:val="31"/>
        </w:rPr>
        <w:t>万元（含）以上专用设备</w:t>
      </w:r>
      <w:r>
        <w:rPr>
          <w:rFonts w:hint="default" w:ascii="Times New Roman" w:hAnsi="Times New Roman" w:cs="Times New Roman"/>
          <w:color w:val="auto"/>
          <w:sz w:val="31"/>
          <w:szCs w:val="31"/>
        </w:rPr>
        <w:t>0</w:t>
      </w:r>
      <w:r>
        <w:rPr>
          <w:rFonts w:hint="default" w:ascii="Times New Roman" w:hAnsi="Times New Roman" w:eastAsia="方正仿宋_GBK" w:cs="Times New Roman"/>
          <w:color w:val="auto"/>
          <w:sz w:val="31"/>
          <w:szCs w:val="31"/>
        </w:rPr>
        <w:t>台（套）。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31"/>
          <w:szCs w:val="31"/>
        </w:rPr>
        <w:t>（四）政府采购支出情况说明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3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本单位</w:t>
      </w:r>
      <w:r>
        <w:rPr>
          <w:rFonts w:hint="default" w:ascii="Times New Roman" w:hAnsi="Times New Roman" w:cs="Times New Roman"/>
          <w:color w:val="auto"/>
          <w:sz w:val="31"/>
          <w:szCs w:val="31"/>
        </w:rPr>
        <w:t>202</w:t>
      </w:r>
      <w:r>
        <w:rPr>
          <w:rFonts w:hint="default" w:ascii="Times New Roman" w:hAnsi="Times New Roman" w:cs="Times New Roman"/>
          <w:color w:val="auto"/>
          <w:sz w:val="31"/>
          <w:szCs w:val="31"/>
          <w:lang w:val="en-US" w:eastAsia="zh-CN"/>
        </w:rPr>
        <w:t>2</w:t>
      </w:r>
      <w:r>
        <w:rPr>
          <w:rFonts w:hint="default" w:ascii="Times New Roman" w:hAnsi="Times New Roman" w:eastAsia="方正仿宋_GBK" w:cs="Times New Roman"/>
          <w:color w:val="auto"/>
          <w:sz w:val="31"/>
          <w:szCs w:val="31"/>
        </w:rPr>
        <w:t>年无政府采购预算。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五、预算绩效管理情况说明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（一）预算绩效管理工作开展情况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根据预算绩效管理要求，我单位的上级单位云阳县黄石镇人民政府对部门整体绩效和</w:t>
      </w:r>
      <w:r>
        <w:rPr>
          <w:rFonts w:hint="default" w:ascii="Times New Roman" w:hAnsi="Times New Roman" w:cs="Times New Roman"/>
          <w:color w:val="auto"/>
          <w:sz w:val="31"/>
          <w:szCs w:val="31"/>
        </w:rPr>
        <w:t>109</w:t>
      </w:r>
      <w:r>
        <w:rPr>
          <w:rFonts w:hint="default" w:ascii="Times New Roman" w:hAnsi="Times New Roman" w:eastAsia="方正仿宋_GBK" w:cs="Times New Roman"/>
          <w:color w:val="auto"/>
          <w:sz w:val="31"/>
          <w:szCs w:val="31"/>
        </w:rPr>
        <w:t>个项目开展了绩效自评，涉及资金</w:t>
      </w:r>
      <w:r>
        <w:rPr>
          <w:rFonts w:hint="default" w:ascii="Times New Roman" w:hAnsi="Times New Roman" w:cs="Times New Roman"/>
          <w:color w:val="auto"/>
          <w:sz w:val="31"/>
          <w:szCs w:val="31"/>
        </w:rPr>
        <w:t>3228.66</w:t>
      </w:r>
      <w:r>
        <w:rPr>
          <w:rFonts w:hint="default" w:ascii="Times New Roman" w:hAnsi="Times New Roman" w:eastAsia="方正仿宋_GBK" w:cs="Times New Roman"/>
          <w:color w:val="auto"/>
          <w:sz w:val="31"/>
          <w:szCs w:val="31"/>
        </w:rPr>
        <w:t>万元。从自评情况来看，基本上达到年初设定目标。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1"/>
          <w:szCs w:val="31"/>
        </w:rPr>
        <w:t>（二）绩效自评结果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cs="Times New Roman"/>
          <w:color w:val="auto"/>
          <w:sz w:val="31"/>
          <w:szCs w:val="31"/>
        </w:rPr>
        <w:t>1.</w:t>
      </w:r>
      <w:r>
        <w:rPr>
          <w:rStyle w:val="7"/>
          <w:rFonts w:hint="default" w:ascii="Times New Roman" w:hAnsi="Times New Roman" w:eastAsia="方正仿宋_GBK" w:cs="Times New Roman"/>
          <w:color w:val="auto"/>
          <w:sz w:val="31"/>
          <w:szCs w:val="31"/>
        </w:rPr>
        <w:t>绩效目标自评表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eastAsia="方正仿宋_GBK" w:cs="Times New Roman"/>
          <w:color w:val="auto"/>
          <w:sz w:val="31"/>
          <w:szCs w:val="31"/>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cs="Times New Roman"/>
          <w:color w:val="auto"/>
          <w:sz w:val="31"/>
          <w:szCs w:val="31"/>
        </w:rPr>
        <w:t>2.</w:t>
      </w:r>
      <w:r>
        <w:rPr>
          <w:rStyle w:val="7"/>
          <w:rFonts w:hint="default" w:ascii="Times New Roman" w:hAnsi="Times New Roman" w:eastAsia="方正仿宋_GBK" w:cs="Times New Roman"/>
          <w:color w:val="auto"/>
          <w:sz w:val="31"/>
          <w:szCs w:val="31"/>
        </w:rPr>
        <w:t>绩效自评报告或案例（如有）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cs="Times New Roman"/>
          <w:color w:val="auto"/>
          <w:sz w:val="31"/>
          <w:szCs w:val="31"/>
        </w:rPr>
        <w:t>3.</w:t>
      </w:r>
      <w:r>
        <w:rPr>
          <w:rStyle w:val="7"/>
          <w:rFonts w:hint="default" w:ascii="Times New Roman" w:hAnsi="Times New Roman" w:eastAsia="方正仿宋_GBK" w:cs="Times New Roman"/>
          <w:color w:val="auto"/>
          <w:sz w:val="31"/>
          <w:szCs w:val="31"/>
        </w:rPr>
        <w:t>关于绩效自评结果的说明。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31"/>
          <w:szCs w:val="31"/>
        </w:rPr>
        <w:t>（三）重点绩效评价结果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六、专业名词解释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1"/>
          <w:szCs w:val="31"/>
        </w:rPr>
        <w:t>单位应根据实际情况对专业名词进行解释，不得遗漏。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（一）财政拨款收入：</w:t>
      </w:r>
      <w:r>
        <w:rPr>
          <w:rFonts w:hint="default" w:ascii="Times New Roman" w:hAnsi="Times New Roman" w:eastAsia="方正仿宋_GBK" w:cs="Times New Roman"/>
          <w:color w:val="auto"/>
          <w:sz w:val="31"/>
          <w:szCs w:val="31"/>
        </w:rPr>
        <w:t>指本年度从本级财政部门取得的财政拨款，包括一般公共预算财政拨款和政府性基金预算财政拨款。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（二）事业收入：</w:t>
      </w:r>
      <w:r>
        <w:rPr>
          <w:rFonts w:hint="default" w:ascii="Times New Roman" w:hAnsi="Times New Roman" w:eastAsia="方正仿宋_GBK" w:cs="Times New Roman"/>
          <w:color w:val="auto"/>
          <w:sz w:val="31"/>
          <w:szCs w:val="31"/>
        </w:rPr>
        <w:t>指事业单位开展专业业务活动及其辅助活动取得的现金流入；事业单位收到的财政专户实际核拨的教育收费等资金在此反映。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（三）经营收入：</w:t>
      </w:r>
      <w:r>
        <w:rPr>
          <w:rFonts w:hint="default" w:ascii="Times New Roman" w:hAnsi="Times New Roman" w:eastAsia="方正仿宋_GBK" w:cs="Times New Roman"/>
          <w:color w:val="auto"/>
          <w:sz w:val="31"/>
          <w:szCs w:val="31"/>
        </w:rPr>
        <w:t>指事业单位在专业业务活动及其辅助活动之外开展非独立核算经营活动取得的现金流入。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（四）其他收入：</w:t>
      </w:r>
      <w:r>
        <w:rPr>
          <w:rFonts w:hint="default" w:ascii="Times New Roman" w:hAnsi="Times New Roman" w:eastAsia="方正仿宋_GBK" w:cs="Times New Roman"/>
          <w:color w:val="auto"/>
          <w:sz w:val="31"/>
          <w:szCs w:val="31"/>
        </w:rPr>
        <w:t>指单位取得的除</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财政拨款收入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事业收入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经营收入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（五）使用非财政拨款结余：</w:t>
      </w:r>
      <w:r>
        <w:rPr>
          <w:rFonts w:hint="default" w:ascii="Times New Roman" w:hAnsi="Times New Roman" w:eastAsia="方正仿宋_GBK" w:cs="Times New Roman"/>
          <w:color w:val="auto"/>
          <w:sz w:val="31"/>
          <w:szCs w:val="31"/>
        </w:rPr>
        <w:t>指单位在当年的</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财政拨款收入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事业收入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经营收入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其他收入</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等不足以安排当年支出的情况下，使用以前年度积累的非财政拨款结余弥补本年度收支缺口的资金。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（六）年初结转和结余：</w:t>
      </w:r>
      <w:r>
        <w:rPr>
          <w:rFonts w:hint="default" w:ascii="Times New Roman" w:hAnsi="Times New Roman" w:eastAsia="方正仿宋_GBK" w:cs="Times New Roman"/>
          <w:color w:val="auto"/>
          <w:sz w:val="31"/>
          <w:szCs w:val="31"/>
        </w:rPr>
        <w:t>指单位上年结转本年使用的基本支出结转、项目支出结转和结余、经营结余。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（七）结余分配：</w:t>
      </w:r>
      <w:r>
        <w:rPr>
          <w:rFonts w:hint="default" w:ascii="Times New Roman" w:hAnsi="Times New Roman" w:eastAsia="方正仿宋_GBK" w:cs="Times New Roman"/>
          <w:color w:val="auto"/>
          <w:sz w:val="31"/>
          <w:szCs w:val="31"/>
        </w:rPr>
        <w:t>指单位按照国家有关规定，缴纳所得税、提取专用基金、转入非财政拨款结余等当年结余的分配情况。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（八）年末结转和结余：</w:t>
      </w:r>
      <w:r>
        <w:rPr>
          <w:rFonts w:hint="default" w:ascii="Times New Roman" w:hAnsi="Times New Roman" w:eastAsia="方正仿宋_GBK" w:cs="Times New Roman"/>
          <w:color w:val="auto"/>
          <w:sz w:val="31"/>
          <w:szCs w:val="31"/>
        </w:rPr>
        <w:t>指单位结转下年的基本支出结转、项目支出结转和结余、经营结余。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（九）基本支出：</w:t>
      </w:r>
      <w:r>
        <w:rPr>
          <w:rFonts w:hint="default" w:ascii="Times New Roman" w:hAnsi="Times New Roman" w:eastAsia="方正仿宋_GBK" w:cs="Times New Roman"/>
          <w:color w:val="auto"/>
          <w:sz w:val="31"/>
          <w:szCs w:val="31"/>
        </w:rPr>
        <w:t>指为保障机构正常运转、完成日常工作任务而发生的人员经费和公用经费。其中：人员经费指政府收支分类经济科目中的</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工资福利支出</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和</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对个人和家庭的补助</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；公用经费指政府收支分类经济科目中除</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工资福利支出</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和</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对个人和家庭的补助</w:t>
      </w:r>
      <w:r>
        <w:rPr>
          <w:rFonts w:hint="default" w:ascii="Times New Roman" w:hAnsi="Times New Roman" w:cs="Times New Roman"/>
          <w:color w:val="auto"/>
          <w:sz w:val="31"/>
          <w:szCs w:val="31"/>
        </w:rPr>
        <w:t>”</w:t>
      </w:r>
      <w:r>
        <w:rPr>
          <w:rFonts w:hint="default" w:ascii="Times New Roman" w:hAnsi="Times New Roman" w:eastAsia="方正仿宋_GBK" w:cs="Times New Roman"/>
          <w:color w:val="auto"/>
          <w:sz w:val="31"/>
          <w:szCs w:val="31"/>
        </w:rPr>
        <w:t>外的其他支出。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（十）项目支出：</w:t>
      </w:r>
      <w:r>
        <w:rPr>
          <w:rFonts w:hint="default" w:ascii="Times New Roman" w:hAnsi="Times New Roman" w:eastAsia="方正仿宋_GBK" w:cs="Times New Roman"/>
          <w:color w:val="auto"/>
          <w:sz w:val="31"/>
          <w:szCs w:val="31"/>
        </w:rPr>
        <w:t>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（十一）经营支出：</w:t>
      </w:r>
      <w:r>
        <w:rPr>
          <w:rFonts w:hint="default" w:ascii="Times New Roman" w:hAnsi="Times New Roman" w:eastAsia="方正仿宋_GBK" w:cs="Times New Roman"/>
          <w:color w:val="auto"/>
          <w:sz w:val="31"/>
          <w:szCs w:val="31"/>
        </w:rPr>
        <w:t>指事业单位在专业业务活动及其辅助活动之外开展非独立核算经营活动发生的支出。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（十二）“三公”经费：</w:t>
      </w:r>
      <w:r>
        <w:rPr>
          <w:rFonts w:hint="default" w:ascii="Times New Roman" w:hAnsi="Times New Roman" w:eastAsia="方正仿宋_GBK" w:cs="Times New Roman"/>
          <w:color w:val="auto"/>
          <w:sz w:val="31"/>
          <w:szCs w:val="31"/>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（十三）机关运行经费：</w:t>
      </w:r>
      <w:r>
        <w:rPr>
          <w:rFonts w:hint="default" w:ascii="Times New Roman" w:hAnsi="Times New Roman" w:eastAsia="方正仿宋_GBK" w:cs="Times New Roman"/>
          <w:color w:val="auto"/>
          <w:sz w:val="31"/>
          <w:szCs w:val="31"/>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（十四）工资福利支出（支出经济分类科目类级）：</w:t>
      </w:r>
      <w:r>
        <w:rPr>
          <w:rFonts w:hint="default" w:ascii="Times New Roman" w:hAnsi="Times New Roman" w:eastAsia="方正仿宋_GBK" w:cs="Times New Roman"/>
          <w:color w:val="auto"/>
          <w:sz w:val="31"/>
          <w:szCs w:val="31"/>
        </w:rPr>
        <w:t>反映单位开支的在职职工和编制外长期聘用人员的各类劳动报酬，以及为上述人员缴纳的各项社会保险费等。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（十五）商品和服务支出（支出经济分类科目类级）：</w:t>
      </w:r>
      <w:r>
        <w:rPr>
          <w:rFonts w:hint="default" w:ascii="Times New Roman" w:hAnsi="Times New Roman" w:eastAsia="方正仿宋_GBK" w:cs="Times New Roman"/>
          <w:color w:val="auto"/>
          <w:sz w:val="31"/>
          <w:szCs w:val="31"/>
        </w:rPr>
        <w:t>反映单位购买商品和服务的支出（不包括用于购置固定资产的支出、战略性和应急储备支出）。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（十六）对个</w:t>
      </w:r>
      <w:r>
        <w:rPr>
          <w:rFonts w:hint="default" w:ascii="Times New Roman" w:hAnsi="Times New Roman" w:eastAsia="方正楷体_GBK" w:cs="Times New Roman"/>
          <w:color w:val="auto"/>
          <w:sz w:val="31"/>
          <w:szCs w:val="31"/>
        </w:rPr>
        <w:t>人和家庭的补助（支出经济分类科目类级）</w:t>
      </w:r>
      <w:r>
        <w:rPr>
          <w:rFonts w:hint="default" w:ascii="Times New Roman" w:hAnsi="Times New Roman" w:eastAsia="方正仿宋_GBK" w:cs="Times New Roman"/>
          <w:color w:val="auto"/>
          <w:sz w:val="31"/>
          <w:szCs w:val="31"/>
        </w:rPr>
        <w:t>：反映用于对个人和家庭的补助支出。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eastAsia" w:ascii="方正楷体_GBK" w:hAnsi="方正楷体_GBK" w:eastAsia="方正楷体_GBK" w:cs="方正楷体_GBK"/>
          <w:color w:val="auto"/>
          <w:sz w:val="31"/>
          <w:szCs w:val="31"/>
        </w:rPr>
        <w:t>（十七）其他</w:t>
      </w:r>
      <w:r>
        <w:rPr>
          <w:rFonts w:hint="default" w:ascii="Times New Roman" w:hAnsi="Times New Roman" w:eastAsia="方正楷体_GBK" w:cs="Times New Roman"/>
          <w:color w:val="auto"/>
          <w:sz w:val="31"/>
          <w:szCs w:val="31"/>
        </w:rPr>
        <w:t>资本性支出（支出经济分类科目类级）</w:t>
      </w:r>
      <w:r>
        <w:rPr>
          <w:rFonts w:hint="default" w:ascii="Times New Roman" w:hAnsi="Times New Roman" w:eastAsia="方正仿宋_GBK" w:cs="Times New Roman"/>
          <w:color w:val="auto"/>
          <w:sz w:val="31"/>
          <w:szCs w:val="31"/>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1"/>
          <w:szCs w:val="31"/>
        </w:rPr>
        <w:t>七、决算公开联系方式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eastAsia="方正仿宋_GBK" w:cs="Times New Roman"/>
          <w:color w:val="auto"/>
          <w:sz w:val="31"/>
          <w:szCs w:val="31"/>
        </w:rPr>
        <w:t>单位决算公开联系人：宋方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cs="Times New Roman"/>
          <w:color w:val="auto"/>
        </w:rPr>
      </w:pPr>
      <w:r>
        <w:rPr>
          <w:rStyle w:val="7"/>
          <w:rFonts w:hint="default" w:ascii="Times New Roman" w:hAnsi="Times New Roman" w:eastAsia="方正仿宋_GBK" w:cs="Times New Roman"/>
          <w:color w:val="auto"/>
          <w:sz w:val="31"/>
          <w:szCs w:val="31"/>
        </w:rPr>
        <w:t>联系方式：</w:t>
      </w:r>
      <w:r>
        <w:rPr>
          <w:rStyle w:val="7"/>
          <w:rFonts w:hint="default" w:ascii="Times New Roman" w:hAnsi="Times New Roman" w:cs="Times New Roman"/>
          <w:color w:val="auto"/>
          <w:sz w:val="31"/>
          <w:szCs w:val="31"/>
        </w:rPr>
        <w:t>023-5581011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beforeLines="0" w:afterLines="0" w:line="578" w:lineRule="exact"/>
        <w:textAlignment w:val="auto"/>
        <w:rPr>
          <w:rFonts w:hint="default" w:ascii="Times New Roman" w:hAnsi="Times New Roman" w:cs="Times New Roman"/>
          <w:color w:val="auto"/>
          <w:sz w:val="21"/>
          <w:szCs w:val="22"/>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Q2ODM1YmQwMzE2NmY3YWQ0NTUyM2M1NjNhMzIifQ=="/>
  </w:docVars>
  <w:rsids>
    <w:rsidRoot w:val="00000000"/>
    <w:rsid w:val="056F5913"/>
    <w:rsid w:val="37EE4B5B"/>
    <w:rsid w:val="553B4104"/>
    <w:rsid w:val="6DFF4647"/>
    <w:rsid w:val="6EF21F29"/>
    <w:rsid w:val="A3EB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paragraph" w:styleId="8">
    <w:name w:val="List Paragraph"/>
    <w:basedOn w:val="1"/>
    <w:unhideWhenUsed/>
    <w:qFormat/>
    <w:uiPriority w:val="34"/>
    <w:pPr>
      <w:spacing w:beforeLines="0" w:afterLines="0"/>
      <w:ind w:firstLine="420" w:firstLineChars="200"/>
    </w:pPr>
    <w:rPr>
      <w:rFonts w:hint="default"/>
      <w:sz w:val="21"/>
      <w:szCs w:val="22"/>
    </w:rPr>
  </w:style>
  <w:style w:type="character" w:customStyle="1" w:styleId="9">
    <w:name w:val="页眉 Char"/>
    <w:basedOn w:val="6"/>
    <w:link w:val="3"/>
    <w:qFormat/>
    <w:uiPriority w:val="0"/>
    <w:rPr>
      <w:rFonts w:hint="eastAsia" w:ascii="宋体" w:hAnsi="宋体" w:eastAsia="宋体" w:cs="宋体"/>
      <w:sz w:val="18"/>
      <w:szCs w:val="18"/>
    </w:rPr>
  </w:style>
  <w:style w:type="character" w:customStyle="1" w:styleId="10">
    <w:name w:val="页脚 Char"/>
    <w:basedOn w:val="6"/>
    <w:link w:val="2"/>
    <w:qFormat/>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2023-10-24T01:14:00Z</dcterms:created>
  <dc:creator>Lenovo</dc:creator>
  <cp:lastModifiedBy>user</cp:lastModifiedBy>
  <dcterms:modified xsi:type="dcterms:W3CDTF">2023-11-08T16:48:19Z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6D22BCFA7413466291AF616B9595DD81_12</vt:lpwstr>
  </property>
</Properties>
</file>