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Times New Roman" w:hAnsi="Times New Roman" w:cs="Times New Roman"/>
          <w:color w:val="auto"/>
        </w:rPr>
      </w:pPr>
      <w:bookmarkStart w:id="0" w:name="_GoBack"/>
      <w:r>
        <w:rPr>
          <w:rFonts w:hint="default" w:ascii="Times New Roman" w:hAnsi="Times New Roman" w:eastAsia="方正小标宋_GBK" w:cs="Times New Roman"/>
          <w:color w:val="auto"/>
          <w:sz w:val="43"/>
          <w:szCs w:val="43"/>
        </w:rPr>
        <w:t>云阳县黄石镇劳动就业和社会保障服务所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Times New Roman" w:hAnsi="Times New Roman" w:cs="Times New Roman"/>
          <w:color w:val="auto"/>
        </w:rPr>
      </w:pPr>
      <w:r>
        <w:rPr>
          <w:rFonts w:hint="default" w:ascii="Times New Roman" w:hAnsi="Times New Roman" w:cs="Times New Roman"/>
          <w:color w:val="auto"/>
          <w:sz w:val="43"/>
          <w:szCs w:val="43"/>
        </w:rPr>
        <w:t>2022</w:t>
      </w:r>
      <w:r>
        <w:rPr>
          <w:rFonts w:hint="default" w:ascii="Times New Roman" w:hAnsi="Times New Roman" w:eastAsia="方正小标宋_GBK" w:cs="Times New Roman"/>
          <w:color w:val="auto"/>
          <w:sz w:val="43"/>
          <w:szCs w:val="43"/>
        </w:rPr>
        <w:t>年度县级部门决算公开说明</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firstLine="885"/>
        <w:textAlignment w:val="auto"/>
        <w:rPr>
          <w:rFonts w:hint="default" w:ascii="Times New Roman" w:hAnsi="Times New Roman" w:cs="Times New Roman"/>
          <w:color w:val="auto"/>
        </w:rPr>
      </w:pPr>
      <w:r>
        <w:rPr>
          <w:rStyle w:val="6"/>
          <w:rFonts w:hint="default" w:ascii="Times New Roman" w:hAnsi="Times New Roman" w:eastAsia="方正仿宋简体" w:cs="Times New Roman"/>
          <w:color w:val="auto"/>
          <w:sz w:val="43"/>
          <w:szCs w:val="43"/>
        </w:rPr>
        <w:t> </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一、单位基本情况</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（一）职能职责</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单位现行的职能职责宣传劳动就业和社会保障方面的法律法规和政策，做好政策的咨询解释、信访工作；负责就业、再就业以及农村富余劳动力转移；负责社会保险、最低生活保障、优抚救济等社会保障工作。</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（二）机构设置</w:t>
      </w:r>
    </w:p>
    <w:p>
      <w:pPr>
        <w:pStyle w:val="3"/>
        <w:keepNext w:val="0"/>
        <w:keepLines w:val="0"/>
        <w:widowControl/>
        <w:suppressLineNumbers w:val="0"/>
        <w:spacing w:before="0" w:beforeAutospacing="0" w:after="0" w:afterAutospacing="0" w:line="585" w:lineRule="atLeast"/>
        <w:ind w:left="0" w:right="0" w:firstLine="645"/>
        <w:jc w:val="left"/>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黄石镇劳动就业和社会保障服务所，为黄石镇人民政府管理的下属，无机构设置。</w:t>
      </w:r>
    </w:p>
    <w:p>
      <w:pPr>
        <w:pStyle w:val="3"/>
        <w:keepNext w:val="0"/>
        <w:keepLines w:val="0"/>
        <w:widowControl/>
        <w:suppressLineNumbers w:val="0"/>
        <w:spacing w:before="0" w:beforeAutospacing="0" w:after="0" w:afterAutospacing="0" w:line="585" w:lineRule="atLeast"/>
        <w:ind w:left="0" w:right="0" w:firstLine="645"/>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（三）单位构成</w:t>
      </w:r>
    </w:p>
    <w:p>
      <w:pPr>
        <w:pStyle w:val="3"/>
        <w:keepNext w:val="0"/>
        <w:keepLines w:val="0"/>
        <w:widowControl/>
        <w:suppressLineNumbers w:val="0"/>
        <w:spacing w:before="0" w:beforeAutospacing="0" w:after="0" w:afterAutospacing="0" w:line="585" w:lineRule="atLeast"/>
        <w:ind w:left="0" w:right="0" w:firstLine="645"/>
        <w:jc w:val="left"/>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本单位为云阳县黄石镇下属单位，无单位构成</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二、部门决算情况说明</w:t>
      </w:r>
    </w:p>
    <w:p>
      <w:pPr>
        <w:pStyle w:val="3"/>
        <w:keepNext w:val="0"/>
        <w:keepLines w:val="0"/>
        <w:widowControl/>
        <w:suppressLineNumbers w:val="0"/>
        <w:spacing w:before="0" w:beforeAutospacing="0" w:after="0" w:afterAutospacing="0" w:line="585" w:lineRule="atLeast"/>
        <w:ind w:left="0" w:right="0" w:firstLine="645"/>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（一）收入支出决算总体情况说明</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1.</w:t>
      </w:r>
      <w:r>
        <w:rPr>
          <w:rFonts w:hint="default" w:ascii="Times New Roman" w:hAnsi="Times New Roman" w:eastAsia="方正仿宋_GBK" w:cs="Times New Roman"/>
          <w:b/>
          <w:bCs/>
          <w:color w:val="auto"/>
          <w:sz w:val="32"/>
          <w:szCs w:val="32"/>
        </w:rPr>
        <w:t>总体情况。</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年度收入总计</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万元，支出总计</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万元。收支较上年决算数增加</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增长</w:t>
      </w:r>
      <w:r>
        <w:rPr>
          <w:rFonts w:hint="default" w:ascii="Times New Roman" w:hAnsi="Times New Roman" w:cs="Times New Roman"/>
          <w:color w:val="auto"/>
          <w:sz w:val="32"/>
          <w:szCs w:val="32"/>
        </w:rPr>
        <w:t>100%</w:t>
      </w:r>
      <w:r>
        <w:rPr>
          <w:rFonts w:hint="default" w:ascii="Times New Roman" w:hAnsi="Times New Roman" w:eastAsia="方正仿宋_GBK" w:cs="Times New Roman"/>
          <w:color w:val="auto"/>
          <w:sz w:val="32"/>
          <w:szCs w:val="32"/>
        </w:rPr>
        <w:t>，主要原因是按照</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年决算列报口径，新增云阳县黄石镇劳动就业和社会保障服务所为决算单位，上年决算数为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2.</w:t>
      </w:r>
      <w:r>
        <w:rPr>
          <w:rFonts w:hint="default" w:ascii="Times New Roman" w:hAnsi="Times New Roman" w:eastAsia="方正仿宋_GBK" w:cs="Times New Roman"/>
          <w:b/>
          <w:bCs/>
          <w:color w:val="auto"/>
          <w:sz w:val="32"/>
          <w:szCs w:val="32"/>
        </w:rPr>
        <w:t>收入情况。</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年度收入合计</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万元，较上年决算数增加</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万元，增长</w:t>
      </w:r>
      <w:r>
        <w:rPr>
          <w:rFonts w:hint="default" w:ascii="Times New Roman" w:hAnsi="Times New Roman" w:cs="Times New Roman"/>
          <w:color w:val="auto"/>
          <w:sz w:val="32"/>
          <w:szCs w:val="32"/>
        </w:rPr>
        <w:t>100%</w:t>
      </w:r>
      <w:r>
        <w:rPr>
          <w:rFonts w:hint="default" w:ascii="Times New Roman" w:hAnsi="Times New Roman" w:eastAsia="方正仿宋_GBK" w:cs="Times New Roman"/>
          <w:color w:val="auto"/>
          <w:sz w:val="32"/>
          <w:szCs w:val="32"/>
        </w:rPr>
        <w:t>，主要原因是</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年新增为决算单位，上年决算数为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万元。其中财政拨款收入</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万元，占</w:t>
      </w:r>
      <w:r>
        <w:rPr>
          <w:rFonts w:hint="default" w:ascii="Times New Roman" w:hAnsi="Times New Roman" w:cs="Times New Roman"/>
          <w:color w:val="auto"/>
          <w:sz w:val="32"/>
          <w:szCs w:val="32"/>
        </w:rPr>
        <w:t>100%</w:t>
      </w:r>
      <w:r>
        <w:rPr>
          <w:rFonts w:hint="default" w:ascii="Times New Roman" w:hAnsi="Times New Roman" w:eastAsia="方正仿宋_GBK" w:cs="Times New Roman"/>
          <w:color w:val="auto"/>
          <w:sz w:val="32"/>
          <w:szCs w:val="32"/>
        </w:rPr>
        <w:t>，无年初结转和结余。</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3.</w:t>
      </w:r>
      <w:r>
        <w:rPr>
          <w:rFonts w:hint="default" w:ascii="Times New Roman" w:hAnsi="Times New Roman" w:eastAsia="方正仿宋_GBK" w:cs="Times New Roman"/>
          <w:b/>
          <w:bCs/>
          <w:color w:val="auto"/>
          <w:sz w:val="32"/>
          <w:szCs w:val="32"/>
        </w:rPr>
        <w:t>支出情况。</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年度支出合计</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万元，较上年决算增加</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万元，增长</w:t>
      </w:r>
      <w:r>
        <w:rPr>
          <w:rFonts w:hint="default" w:ascii="Times New Roman" w:hAnsi="Times New Roman" w:cs="Times New Roman"/>
          <w:color w:val="auto"/>
          <w:sz w:val="32"/>
          <w:szCs w:val="32"/>
        </w:rPr>
        <w:t>100%</w:t>
      </w:r>
      <w:r>
        <w:rPr>
          <w:rFonts w:hint="default" w:ascii="Times New Roman" w:hAnsi="Times New Roman" w:eastAsia="方正仿宋_GBK" w:cs="Times New Roman"/>
          <w:color w:val="auto"/>
          <w:sz w:val="32"/>
          <w:szCs w:val="32"/>
        </w:rPr>
        <w:t>，主要原因是</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年新增为决算单位，上年决算数为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万元。其中基本支出</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万元，占</w:t>
      </w:r>
      <w:r>
        <w:rPr>
          <w:rFonts w:hint="default" w:ascii="Times New Roman" w:hAnsi="Times New Roman" w:cs="Times New Roman"/>
          <w:color w:val="auto"/>
          <w:sz w:val="32"/>
          <w:szCs w:val="32"/>
        </w:rPr>
        <w:t>100%</w:t>
      </w:r>
      <w:r>
        <w:rPr>
          <w:rFonts w:hint="default" w:ascii="Times New Roman" w:hAnsi="Times New Roman" w:eastAsia="方正仿宋_GBK" w:cs="Times New Roman"/>
          <w:color w:val="auto"/>
          <w:sz w:val="32"/>
          <w:szCs w:val="32"/>
        </w:rPr>
        <w:t>，无项目支出。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4.</w:t>
      </w:r>
      <w:r>
        <w:rPr>
          <w:rFonts w:hint="default" w:ascii="Times New Roman" w:hAnsi="Times New Roman" w:eastAsia="方正仿宋_GBK" w:cs="Times New Roman"/>
          <w:b/>
          <w:bCs/>
          <w:color w:val="auto"/>
          <w:sz w:val="32"/>
          <w:szCs w:val="32"/>
        </w:rPr>
        <w:t>结转结余情况。</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年度年末结转和结余</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w:t>
      </w:r>
    </w:p>
    <w:p>
      <w:pPr>
        <w:pStyle w:val="3"/>
        <w:keepNext w:val="0"/>
        <w:keepLines w:val="0"/>
        <w:widowControl/>
        <w:suppressLineNumbers w:val="0"/>
        <w:spacing w:before="0" w:beforeAutospacing="0" w:after="0" w:afterAutospacing="0" w:line="585" w:lineRule="atLeast"/>
        <w:ind w:left="0" w:right="0" w:firstLine="480"/>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（二）财政拨款收入支出决算总体情况说明</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年度财政拨款收、支总计</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万元。与</w:t>
      </w: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年相比，财政拨款收、支总计各增加</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万元，增长</w:t>
      </w:r>
      <w:r>
        <w:rPr>
          <w:rFonts w:hint="default" w:ascii="Times New Roman" w:hAnsi="Times New Roman" w:cs="Times New Roman"/>
          <w:color w:val="auto"/>
          <w:sz w:val="32"/>
          <w:szCs w:val="32"/>
        </w:rPr>
        <w:t>100%</w:t>
      </w:r>
      <w:r>
        <w:rPr>
          <w:rFonts w:hint="default" w:ascii="Times New Roman" w:hAnsi="Times New Roman" w:eastAsia="方正仿宋_GBK" w:cs="Times New Roman"/>
          <w:color w:val="auto"/>
          <w:sz w:val="32"/>
          <w:szCs w:val="32"/>
        </w:rPr>
        <w:t>。主要原因是</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年新增为决算单位，上年收支决算数均为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w:t>
      </w:r>
    </w:p>
    <w:p>
      <w:pPr>
        <w:pStyle w:val="3"/>
        <w:keepNext w:val="0"/>
        <w:keepLines w:val="0"/>
        <w:widowControl/>
        <w:suppressLineNumbers w:val="0"/>
        <w:shd w:val="clear" w:fill="FFFFFF"/>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shd w:val="clear" w:fill="FFFFFF"/>
        </w:rPr>
        <w:t>（三）一般公共预算财政拨款收入支出决算情况说明</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1.</w:t>
      </w:r>
      <w:r>
        <w:rPr>
          <w:rFonts w:hint="default" w:ascii="Times New Roman" w:hAnsi="Times New Roman" w:eastAsia="方正仿宋_GBK" w:cs="Times New Roman"/>
          <w:b/>
          <w:bCs/>
          <w:color w:val="auto"/>
          <w:sz w:val="32"/>
          <w:szCs w:val="32"/>
        </w:rPr>
        <w:t>收入情况。</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年度一般公共预算财政拨款收入</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万元，较上年决算数增加</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万元。主要原因是</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年新增为决算单位，上年决算数为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万元。较年初预算数增加</w:t>
      </w:r>
      <w:r>
        <w:rPr>
          <w:rFonts w:hint="default" w:ascii="Times New Roman" w:hAnsi="Times New Roman" w:cs="Times New Roman"/>
          <w:color w:val="auto"/>
          <w:sz w:val="32"/>
          <w:szCs w:val="32"/>
        </w:rPr>
        <w:t>19.56</w:t>
      </w:r>
      <w:r>
        <w:rPr>
          <w:rFonts w:hint="default" w:ascii="Times New Roman" w:hAnsi="Times New Roman" w:eastAsia="方正仿宋_GBK" w:cs="Times New Roman"/>
          <w:color w:val="auto"/>
          <w:sz w:val="32"/>
          <w:szCs w:val="32"/>
        </w:rPr>
        <w:t>万元，增长</w:t>
      </w:r>
      <w:r>
        <w:rPr>
          <w:rFonts w:hint="default" w:ascii="Times New Roman" w:hAnsi="Times New Roman" w:cs="Times New Roman"/>
          <w:color w:val="auto"/>
          <w:sz w:val="32"/>
          <w:szCs w:val="32"/>
        </w:rPr>
        <w:t>31.5%</w:t>
      </w:r>
      <w:r>
        <w:rPr>
          <w:rFonts w:hint="default" w:ascii="Times New Roman" w:hAnsi="Times New Roman" w:eastAsia="方正仿宋_GBK" w:cs="Times New Roman"/>
          <w:color w:val="auto"/>
          <w:sz w:val="32"/>
          <w:szCs w:val="32"/>
        </w:rPr>
        <w:t>，主要原因是年中追加了人员经费预算。此外，年初财政拨款结转和结余</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2.</w:t>
      </w:r>
      <w:r>
        <w:rPr>
          <w:rFonts w:hint="default" w:ascii="Times New Roman" w:hAnsi="Times New Roman" w:eastAsia="方正仿宋_GBK" w:cs="Times New Roman"/>
          <w:b/>
          <w:bCs/>
          <w:color w:val="auto"/>
          <w:sz w:val="32"/>
          <w:szCs w:val="32"/>
        </w:rPr>
        <w:t>支出情况。</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年度一般公共预算财政拨款支出</w:t>
      </w:r>
      <w:r>
        <w:rPr>
          <w:rFonts w:hint="default" w:ascii="Times New Roman" w:hAnsi="Times New Roman" w:cs="Times New Roman"/>
          <w:color w:val="auto"/>
          <w:sz w:val="32"/>
          <w:szCs w:val="32"/>
        </w:rPr>
        <w:t>81.58</w:t>
      </w:r>
      <w:r>
        <w:rPr>
          <w:rFonts w:hint="default" w:ascii="Times New Roman" w:hAnsi="Times New Roman" w:eastAsia="方正仿宋_GBK" w:cs="Times New Roman"/>
          <w:color w:val="auto"/>
          <w:sz w:val="32"/>
          <w:szCs w:val="32"/>
        </w:rPr>
        <w:t>万元，上年决算支出数为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3.</w:t>
      </w:r>
      <w:r>
        <w:rPr>
          <w:rFonts w:hint="default" w:ascii="Times New Roman" w:hAnsi="Times New Roman" w:eastAsia="方正仿宋_GBK" w:cs="Times New Roman"/>
          <w:b/>
          <w:bCs/>
          <w:color w:val="auto"/>
          <w:sz w:val="32"/>
          <w:szCs w:val="32"/>
        </w:rPr>
        <w:t>结转结余情况。</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年度年末一般公共预算财政拨款结转和结余</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4.</w:t>
      </w:r>
      <w:r>
        <w:rPr>
          <w:rFonts w:hint="default" w:ascii="Times New Roman" w:hAnsi="Times New Roman" w:eastAsia="方正仿宋_GBK" w:cs="Times New Roman"/>
          <w:b/>
          <w:bCs/>
          <w:color w:val="auto"/>
          <w:sz w:val="32"/>
          <w:szCs w:val="32"/>
        </w:rPr>
        <w:t>比较情况。</w:t>
      </w:r>
      <w:r>
        <w:rPr>
          <w:rFonts w:hint="default" w:ascii="Times New Roman" w:hAnsi="Times New Roman" w:eastAsia="方正仿宋_GBK" w:cs="Times New Roman"/>
          <w:color w:val="auto"/>
          <w:sz w:val="32"/>
          <w:szCs w:val="32"/>
        </w:rPr>
        <w:t>本部门</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年度一般公共预算财政拨款支出主要用于以下几个方面：</w:t>
      </w:r>
    </w:p>
    <w:p>
      <w:pPr>
        <w:pStyle w:val="3"/>
        <w:keepNext w:val="0"/>
        <w:keepLines w:val="0"/>
        <w:widowControl/>
        <w:suppressLineNumbers w:val="0"/>
        <w:shd w:val="clear" w:fill="FFFFFF"/>
        <w:spacing w:before="0" w:beforeAutospacing="0" w:after="0" w:afterAutospacing="0" w:line="315" w:lineRule="atLeast"/>
        <w:ind w:left="0" w:righ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fill="FFFFFF"/>
        </w:rPr>
        <w:t>（1）社会保障与就业支出70.73万元，占86.7%。较年初预算数增加15.25万元，增长27.5%，主要原因是年底增人调资养老、职业年金增加。</w:t>
      </w:r>
    </w:p>
    <w:p>
      <w:pPr>
        <w:pStyle w:val="3"/>
        <w:keepNext w:val="0"/>
        <w:keepLines w:val="0"/>
        <w:widowControl/>
        <w:suppressLineNumbers w:val="0"/>
        <w:shd w:val="clear" w:fill="FFFFFF"/>
        <w:spacing w:before="0" w:beforeAutospacing="0" w:after="0" w:afterAutospacing="0" w:line="315" w:lineRule="atLeast"/>
        <w:ind w:left="0" w:righ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fill="FFFFFF"/>
        </w:rPr>
        <w:t>（2）卫生健康支出3.79万元，占4.6%，较年初预算数增加0.46万元，增长13.8%，主要原因是年底增人调资医疗增加。</w:t>
      </w:r>
    </w:p>
    <w:p>
      <w:pPr>
        <w:pStyle w:val="3"/>
        <w:keepNext w:val="0"/>
        <w:keepLines w:val="0"/>
        <w:widowControl/>
        <w:suppressLineNumbers w:val="0"/>
        <w:shd w:val="clear" w:fill="FFFFFF"/>
        <w:spacing w:before="0" w:beforeAutospacing="0" w:after="0" w:afterAutospacing="0" w:line="315" w:lineRule="atLeast"/>
        <w:ind w:left="0" w:righ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fill="FFFFFF"/>
        </w:rPr>
        <w:t>（3）住房保障支出3.77万元，占4.6%，较年初预算数增加0.55万元，增长17.1%，主要原因是年底增人调资住房公积金增加。</w:t>
      </w:r>
    </w:p>
    <w:p>
      <w:pPr>
        <w:pStyle w:val="3"/>
        <w:keepNext w:val="0"/>
        <w:keepLines w:val="0"/>
        <w:widowControl/>
        <w:suppressLineNumbers w:val="0"/>
        <w:shd w:val="clear" w:fill="FFFFFF"/>
        <w:spacing w:before="0" w:beforeAutospacing="0" w:after="0" w:afterAutospacing="0" w:line="315" w:lineRule="atLeast"/>
        <w:ind w:left="0" w:righ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auto"/>
        </w:rPr>
        <w:t>（4）农林水支出3.29万元，占4%，</w:t>
      </w:r>
      <w:r>
        <w:rPr>
          <w:rFonts w:hint="default" w:ascii="Times New Roman" w:hAnsi="Times New Roman" w:eastAsia="方正仿宋_GBK" w:cs="Times New Roman"/>
          <w:color w:val="auto"/>
          <w:sz w:val="32"/>
          <w:szCs w:val="32"/>
          <w:shd w:val="clear" w:fill="FFFFFF"/>
        </w:rPr>
        <w:t>较年初预算数增加3.29万元，增长100%，主要原因是决算时三支一扶纳入到了社保。</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（四）一般公共预算财政拨款基本支出决算情况说明</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年度一般公共预算财政拨款基本支出</w:t>
      </w:r>
      <w:r>
        <w:rPr>
          <w:rFonts w:hint="default" w:ascii="Times New Roman" w:hAnsi="Times New Roman" w:cs="Times New Roman"/>
          <w:color w:val="auto"/>
          <w:sz w:val="32"/>
          <w:szCs w:val="32"/>
        </w:rPr>
        <w:t>78.29</w:t>
      </w:r>
      <w:r>
        <w:rPr>
          <w:rFonts w:hint="default" w:ascii="Times New Roman" w:hAnsi="Times New Roman" w:eastAsia="方正仿宋_GBK" w:cs="Times New Roman"/>
          <w:color w:val="auto"/>
          <w:sz w:val="32"/>
          <w:szCs w:val="32"/>
        </w:rPr>
        <w:t>万元。其中人员经费</w:t>
      </w:r>
      <w:r>
        <w:rPr>
          <w:rFonts w:hint="default" w:ascii="Times New Roman" w:hAnsi="Times New Roman" w:cs="Times New Roman"/>
          <w:color w:val="auto"/>
          <w:sz w:val="32"/>
          <w:szCs w:val="32"/>
        </w:rPr>
        <w:t>77.37</w:t>
      </w:r>
      <w:r>
        <w:rPr>
          <w:rFonts w:hint="default" w:ascii="Times New Roman" w:hAnsi="Times New Roman" w:eastAsia="方正仿宋_GBK" w:cs="Times New Roman"/>
          <w:color w:val="auto"/>
          <w:sz w:val="32"/>
          <w:szCs w:val="32"/>
        </w:rPr>
        <w:t>万元，用途主要包括工资性福利支出、商品和服务支出和对个人和家庭的补助。公用经费</w:t>
      </w:r>
      <w:r>
        <w:rPr>
          <w:rFonts w:hint="default" w:ascii="Times New Roman" w:hAnsi="Times New Roman" w:cs="Times New Roman"/>
          <w:color w:val="auto"/>
          <w:sz w:val="32"/>
          <w:szCs w:val="32"/>
        </w:rPr>
        <w:t>0.92</w:t>
      </w:r>
      <w:r>
        <w:rPr>
          <w:rFonts w:hint="default" w:ascii="Times New Roman" w:hAnsi="Times New Roman" w:eastAsia="方正仿宋_GBK" w:cs="Times New Roman"/>
          <w:color w:val="auto"/>
          <w:sz w:val="32"/>
          <w:szCs w:val="32"/>
        </w:rPr>
        <w:t>万元，用途主要包括工会经费和福利费。</w:t>
      </w:r>
    </w:p>
    <w:p>
      <w:pPr>
        <w:pStyle w:val="3"/>
        <w:keepNext w:val="0"/>
        <w:keepLines w:val="0"/>
        <w:widowControl/>
        <w:suppressLineNumbers w:val="0"/>
        <w:shd w:val="clear" w:fill="FFFFFF"/>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shd w:val="clear" w:fill="FFFFFF"/>
        </w:rPr>
        <w:t>（五）政府性基金预算收支决算情况说明</w:t>
      </w:r>
    </w:p>
    <w:p>
      <w:pPr>
        <w:pStyle w:val="3"/>
        <w:keepNext w:val="0"/>
        <w:keepLines w:val="0"/>
        <w:widowControl/>
        <w:suppressLineNumbers w:val="0"/>
        <w:shd w:val="clear" w:fill="FFFFFF"/>
        <w:spacing w:before="0" w:beforeAutospacing="0" w:after="0" w:afterAutospacing="0" w:line="585" w:lineRule="atLeast"/>
        <w:ind w:left="0" w:right="0" w:firstLine="630"/>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shd w:val="clear" w:fill="FFFFFF"/>
        </w:rPr>
        <w:t>本单位</w:t>
      </w:r>
      <w:r>
        <w:rPr>
          <w:rFonts w:hint="default" w:ascii="Times New Roman" w:hAnsi="Times New Roman" w:cs="Times New Roman"/>
          <w:color w:val="auto"/>
          <w:sz w:val="32"/>
          <w:szCs w:val="32"/>
          <w:shd w:val="clear" w:fill="FFFFFF"/>
        </w:rPr>
        <w:t>2022</w:t>
      </w:r>
      <w:r>
        <w:rPr>
          <w:rFonts w:hint="default" w:ascii="Times New Roman" w:hAnsi="Times New Roman" w:eastAsia="方正仿宋_GBK" w:cs="Times New Roman"/>
          <w:color w:val="auto"/>
          <w:sz w:val="32"/>
          <w:szCs w:val="32"/>
          <w:shd w:val="clear" w:fill="FFFFFF"/>
        </w:rPr>
        <w:t>年度无政府性基金预算财政拨款收支。</w:t>
      </w:r>
    </w:p>
    <w:p>
      <w:pPr>
        <w:pStyle w:val="3"/>
        <w:keepNext w:val="0"/>
        <w:keepLines w:val="0"/>
        <w:widowControl/>
        <w:suppressLineNumbers w:val="0"/>
        <w:shd w:val="clear" w:fill="FFFFFF"/>
        <w:spacing w:before="0" w:beforeAutospacing="0" w:after="0" w:afterAutospacing="0" w:line="585" w:lineRule="atLeast"/>
        <w:ind w:left="0" w:right="0" w:firstLine="630"/>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shd w:val="clear" w:fill="FFFFFF"/>
        </w:rPr>
        <w:t>（六）国有资本经营预算财政拨款支出决算情况说明</w:t>
      </w:r>
    </w:p>
    <w:p>
      <w:pPr>
        <w:pStyle w:val="3"/>
        <w:keepNext w:val="0"/>
        <w:keepLines w:val="0"/>
        <w:widowControl/>
        <w:suppressLineNumbers w:val="0"/>
        <w:shd w:val="clear" w:fill="FFFFFF"/>
        <w:spacing w:before="0" w:beforeAutospacing="0" w:after="0" w:afterAutospacing="0" w:line="585" w:lineRule="atLeast"/>
        <w:ind w:left="0" w:right="0" w:firstLine="630"/>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shd w:val="clear" w:fill="FFFFFF"/>
        </w:rPr>
        <w:t>本单位</w:t>
      </w:r>
      <w:r>
        <w:rPr>
          <w:rFonts w:hint="default" w:ascii="Times New Roman" w:hAnsi="Times New Roman" w:cs="Times New Roman"/>
          <w:color w:val="auto"/>
          <w:sz w:val="32"/>
          <w:szCs w:val="32"/>
          <w:shd w:val="clear" w:fill="FFFFFF"/>
        </w:rPr>
        <w:t>2022</w:t>
      </w:r>
      <w:r>
        <w:rPr>
          <w:rFonts w:hint="default" w:ascii="Times New Roman" w:hAnsi="Times New Roman" w:eastAsia="方正仿宋_GBK" w:cs="Times New Roman"/>
          <w:color w:val="auto"/>
          <w:sz w:val="32"/>
          <w:szCs w:val="32"/>
          <w:shd w:val="clear" w:fill="FFFFFF"/>
        </w:rPr>
        <w:t>年度无国有资本经营预算财政拨款支出。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三、</w:t>
      </w:r>
      <w:r>
        <w:rPr>
          <w:rFonts w:hint="default" w:ascii="Times New Roman" w:hAnsi="Times New Roman" w:cs="Times New Roman"/>
          <w:color w:val="auto"/>
          <w:sz w:val="32"/>
          <w:szCs w:val="32"/>
        </w:rPr>
        <w:t>“</w:t>
      </w:r>
      <w:r>
        <w:rPr>
          <w:rFonts w:hint="default" w:ascii="Times New Roman" w:hAnsi="Times New Roman" w:eastAsia="方正黑体_GBK" w:cs="Times New Roman"/>
          <w:color w:val="auto"/>
          <w:sz w:val="32"/>
          <w:szCs w:val="32"/>
        </w:rPr>
        <w:t>三公</w:t>
      </w:r>
      <w:r>
        <w:rPr>
          <w:rFonts w:hint="default" w:ascii="Times New Roman" w:hAnsi="Times New Roman" w:cs="Times New Roman"/>
          <w:color w:val="auto"/>
          <w:sz w:val="32"/>
          <w:szCs w:val="32"/>
        </w:rPr>
        <w:t>”</w:t>
      </w:r>
      <w:r>
        <w:rPr>
          <w:rFonts w:hint="default" w:ascii="Times New Roman" w:hAnsi="Times New Roman" w:eastAsia="方正黑体_GBK" w:cs="Times New Roman"/>
          <w:color w:val="auto"/>
          <w:sz w:val="32"/>
          <w:szCs w:val="32"/>
        </w:rPr>
        <w:t>经费情况说明</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（一）</w:t>
      </w:r>
      <w:r>
        <w:rPr>
          <w:rFonts w:hint="default" w:ascii="Times New Roman" w:hAnsi="Times New Roman" w:cs="Times New Roman"/>
          <w:color w:val="auto"/>
          <w:sz w:val="32"/>
          <w:szCs w:val="32"/>
        </w:rPr>
        <w:t>“</w:t>
      </w:r>
      <w:r>
        <w:rPr>
          <w:rFonts w:hint="default" w:ascii="Times New Roman" w:hAnsi="Times New Roman" w:eastAsia="方正楷体_GBK" w:cs="Times New Roman"/>
          <w:color w:val="auto"/>
          <w:sz w:val="32"/>
          <w:szCs w:val="32"/>
        </w:rPr>
        <w:t>三公</w:t>
      </w:r>
      <w:r>
        <w:rPr>
          <w:rFonts w:hint="default" w:ascii="Times New Roman" w:hAnsi="Times New Roman" w:cs="Times New Roman"/>
          <w:color w:val="auto"/>
          <w:sz w:val="32"/>
          <w:szCs w:val="32"/>
        </w:rPr>
        <w:t>”</w:t>
      </w:r>
      <w:r>
        <w:rPr>
          <w:rFonts w:hint="default" w:ascii="Times New Roman" w:hAnsi="Times New Roman" w:eastAsia="方正楷体_GBK" w:cs="Times New Roman"/>
          <w:color w:val="auto"/>
          <w:sz w:val="32"/>
          <w:szCs w:val="32"/>
        </w:rPr>
        <w:t>经费支出情况。</w:t>
      </w:r>
      <w:r>
        <w:rPr>
          <w:rFonts w:hint="default" w:ascii="Times New Roman" w:hAnsi="Times New Roman" w:eastAsia="方正仿宋_GBK" w:cs="Times New Roman"/>
          <w:color w:val="auto"/>
          <w:sz w:val="32"/>
          <w:szCs w:val="32"/>
        </w:rPr>
        <w:t>对按照部门决算列报口径，我单位不在</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三公</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经费统计范围之内。</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（二）</w:t>
      </w:r>
      <w:r>
        <w:rPr>
          <w:rFonts w:hint="default" w:ascii="Times New Roman" w:hAnsi="Times New Roman" w:eastAsia="方正楷体_GBK" w:cs="Times New Roman"/>
          <w:color w:val="auto"/>
          <w:sz w:val="32"/>
          <w:szCs w:val="32"/>
        </w:rPr>
        <w:t>三公</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经费分项支出情况。</w:t>
      </w:r>
      <w:r>
        <w:rPr>
          <w:rFonts w:hint="default" w:ascii="Times New Roman" w:hAnsi="Times New Roman" w:eastAsia="方正仿宋_GBK" w:cs="Times New Roman"/>
          <w:color w:val="auto"/>
          <w:sz w:val="32"/>
          <w:szCs w:val="32"/>
        </w:rPr>
        <w:t>对按照部门决算列报口径，我单位不在</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rPr>
        <w:t>三公</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rPr>
        <w:t>经费统计范围之内。</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（三）</w:t>
      </w:r>
      <w:r>
        <w:rPr>
          <w:rFonts w:hint="default" w:ascii="Times New Roman" w:hAnsi="Times New Roman" w:cs="Times New Roman"/>
          <w:color w:val="auto"/>
          <w:sz w:val="32"/>
          <w:szCs w:val="32"/>
        </w:rPr>
        <w:t>“</w:t>
      </w:r>
      <w:r>
        <w:rPr>
          <w:rFonts w:hint="default" w:ascii="Times New Roman" w:hAnsi="Times New Roman" w:eastAsia="方正楷体_GBK" w:cs="Times New Roman"/>
          <w:color w:val="auto"/>
          <w:sz w:val="32"/>
          <w:szCs w:val="32"/>
        </w:rPr>
        <w:t>三公</w:t>
      </w:r>
      <w:r>
        <w:rPr>
          <w:rFonts w:hint="default" w:ascii="Times New Roman" w:hAnsi="Times New Roman" w:cs="Times New Roman"/>
          <w:color w:val="auto"/>
          <w:sz w:val="32"/>
          <w:szCs w:val="32"/>
        </w:rPr>
        <w:t>”</w:t>
      </w:r>
      <w:r>
        <w:rPr>
          <w:rFonts w:hint="default" w:ascii="Times New Roman" w:hAnsi="Times New Roman" w:eastAsia="方正楷体_GBK" w:cs="Times New Roman"/>
          <w:color w:val="auto"/>
          <w:sz w:val="32"/>
          <w:szCs w:val="32"/>
        </w:rPr>
        <w:t>经费实物量情况。</w:t>
      </w:r>
      <w:r>
        <w:rPr>
          <w:rFonts w:hint="default" w:ascii="Times New Roman" w:hAnsi="Times New Roman" w:eastAsia="方正仿宋_GBK" w:cs="Times New Roman"/>
          <w:color w:val="auto"/>
          <w:sz w:val="32"/>
          <w:szCs w:val="32"/>
        </w:rPr>
        <w:t>对按照部门决算列报口径，我单位不在</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三公</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经费统计范围之内。</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四、其他需要说明的事项</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（一）财政拨款会议费和培训费情况说明</w:t>
      </w:r>
    </w:p>
    <w:p>
      <w:pPr>
        <w:pStyle w:val="3"/>
        <w:keepNext w:val="0"/>
        <w:keepLines w:val="0"/>
        <w:widowControl/>
        <w:suppressLineNumbers w:val="0"/>
        <w:shd w:val="clear" w:fill="FFFFFF"/>
        <w:spacing w:before="0" w:beforeAutospacing="0" w:after="0" w:afterAutospacing="0" w:line="315" w:lineRule="atLeast"/>
        <w:ind w:left="0" w:right="0" w:firstLine="640" w:firstLineChars="200"/>
        <w:rPr>
          <w:rFonts w:hint="eastAsia"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shd w:val="clear" w:fill="FFFFFF"/>
        </w:rPr>
        <w:t>本年度会议费支出0.00万元，较上年决算数增加0.00万元，增长0%，本年度培训费支出0.2万元，较上年决算数增加0.2万元，增长100%，主要原因是2022年黄石镇劳动就业和社会保障服务所为新增决算单位，上年决算数为</w:t>
      </w:r>
      <w:r>
        <w:rPr>
          <w:rFonts w:hint="default" w:eastAsia="方正仿宋_GBK" w:cs="Times New Roman"/>
          <w:color w:val="auto"/>
          <w:sz w:val="32"/>
          <w:szCs w:val="32"/>
          <w:shd w:val="clear" w:fill="FFFFFF"/>
          <w:lang w:val="en"/>
        </w:rPr>
        <w:t>0</w:t>
      </w:r>
      <w:r>
        <w:rPr>
          <w:rFonts w:hint="eastAsia" w:eastAsia="方正仿宋_GBK" w:cs="Times New Roman"/>
          <w:color w:val="auto"/>
          <w:sz w:val="32"/>
          <w:szCs w:val="32"/>
          <w:shd w:val="clear" w:fill="FFFFFF"/>
          <w:lang w:val="en" w:eastAsia="zh-CN"/>
        </w:rPr>
        <w:t>。</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（二）机关运行经费支出情况说明</w:t>
      </w:r>
    </w:p>
    <w:p>
      <w:pPr>
        <w:pStyle w:val="3"/>
        <w:keepNext w:val="0"/>
        <w:keepLines w:val="0"/>
        <w:widowControl/>
        <w:suppressLineNumbers w:val="0"/>
        <w:spacing w:before="0" w:beforeAutospacing="0" w:after="0" w:afterAutospacing="0" w:line="585" w:lineRule="atLeast"/>
        <w:ind w:left="0" w:right="0" w:firstLine="640" w:firstLineChars="200"/>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（三）国有资产占用情况说明</w:t>
      </w:r>
    </w:p>
    <w:p>
      <w:pPr>
        <w:pStyle w:val="3"/>
        <w:keepNext w:val="0"/>
        <w:keepLines w:val="0"/>
        <w:widowControl/>
        <w:suppressLineNumbers w:val="0"/>
        <w:spacing w:before="0" w:beforeAutospacing="0" w:after="0" w:afterAutospacing="0" w:line="585" w:lineRule="atLeast"/>
        <w:ind w:left="0" w:right="0"/>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应包含以下信息：截至</w:t>
      </w:r>
      <w:r>
        <w:rPr>
          <w:rFonts w:hint="default" w:ascii="Times New Roman" w:hAnsi="Times New Roman" w:cs="Times New Roman"/>
          <w:color w:val="auto"/>
          <w:sz w:val="32"/>
          <w:szCs w:val="32"/>
        </w:rPr>
        <w:t>2022</w:t>
      </w:r>
      <w:r>
        <w:rPr>
          <w:rFonts w:hint="default" w:ascii="Times New Roman" w:hAnsi="Times New Roman" w:eastAsia="方正仿宋_GBK" w:cs="Times New Roman"/>
          <w:color w:val="auto"/>
          <w:sz w:val="32"/>
          <w:szCs w:val="32"/>
        </w:rPr>
        <w:t>年</w:t>
      </w:r>
      <w:r>
        <w:rPr>
          <w:rFonts w:hint="default" w:ascii="Times New Roman" w:hAnsi="Times New Roman" w:cs="Times New Roman"/>
          <w:color w:val="auto"/>
          <w:sz w:val="32"/>
          <w:szCs w:val="32"/>
        </w:rPr>
        <w:t>12</w:t>
      </w:r>
      <w:r>
        <w:rPr>
          <w:rFonts w:hint="default" w:ascii="Times New Roman" w:hAnsi="Times New Roman" w:eastAsia="方正仿宋_GBK" w:cs="Times New Roman"/>
          <w:color w:val="auto"/>
          <w:sz w:val="32"/>
          <w:szCs w:val="32"/>
        </w:rPr>
        <w:t>月</w:t>
      </w:r>
      <w:r>
        <w:rPr>
          <w:rFonts w:hint="default" w:ascii="Times New Roman" w:hAnsi="Times New Roman" w:cs="Times New Roman"/>
          <w:color w:val="auto"/>
          <w:sz w:val="32"/>
          <w:szCs w:val="32"/>
        </w:rPr>
        <w:t>31</w:t>
      </w:r>
      <w:r>
        <w:rPr>
          <w:rFonts w:hint="default" w:ascii="Times New Roman" w:hAnsi="Times New Roman" w:eastAsia="方正仿宋_GBK" w:cs="Times New Roman"/>
          <w:color w:val="auto"/>
          <w:sz w:val="32"/>
          <w:szCs w:val="32"/>
        </w:rPr>
        <w:t>日，本部门共有车辆</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辆。其中：副部（省）级及以上领导用车</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辆，主要领导干部用车</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辆，机要通信用车</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辆，应急保障用车</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辆，执法执勤用车</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辆，特种专业技术用车</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辆，离退休干部用车</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辆，其他用车</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辆。单价</w:t>
      </w:r>
      <w:r>
        <w:rPr>
          <w:rFonts w:hint="default" w:ascii="Times New Roman" w:hAnsi="Times New Roman" w:cs="Times New Roman"/>
          <w:color w:val="auto"/>
          <w:sz w:val="32"/>
          <w:szCs w:val="32"/>
        </w:rPr>
        <w:t>50</w:t>
      </w:r>
      <w:r>
        <w:rPr>
          <w:rFonts w:hint="default" w:ascii="Times New Roman" w:hAnsi="Times New Roman" w:eastAsia="方正仿宋_GBK" w:cs="Times New Roman"/>
          <w:color w:val="auto"/>
          <w:sz w:val="32"/>
          <w:szCs w:val="32"/>
        </w:rPr>
        <w:t>万元（含）以上通用设备</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台（套），单价</w:t>
      </w:r>
      <w:r>
        <w:rPr>
          <w:rFonts w:hint="default" w:ascii="Times New Roman" w:hAnsi="Times New Roman" w:cs="Times New Roman"/>
          <w:color w:val="auto"/>
          <w:sz w:val="32"/>
          <w:szCs w:val="32"/>
        </w:rPr>
        <w:t>100</w:t>
      </w:r>
      <w:r>
        <w:rPr>
          <w:rFonts w:hint="default" w:ascii="Times New Roman" w:hAnsi="Times New Roman" w:eastAsia="方正仿宋_GBK" w:cs="Times New Roman"/>
          <w:color w:val="auto"/>
          <w:sz w:val="32"/>
          <w:szCs w:val="32"/>
        </w:rPr>
        <w:t>万元（含）以上专用设备</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台（套）。</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（四）政府采购支出情况说明</w:t>
      </w:r>
    </w:p>
    <w:p>
      <w:pPr>
        <w:pStyle w:val="3"/>
        <w:keepNext w:val="0"/>
        <w:keepLines w:val="0"/>
        <w:widowControl/>
        <w:suppressLineNumbers w:val="0"/>
        <w:spacing w:before="0" w:beforeAutospacing="0" w:after="0" w:afterAutospacing="0" w:line="585" w:lineRule="atLeast"/>
        <w:ind w:right="0" w:firstLine="640" w:firstLineChars="200"/>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本单位</w:t>
      </w:r>
      <w:r>
        <w:rPr>
          <w:rFonts w:hint="default" w:ascii="Times New Roman" w:hAnsi="Times New Roman" w:cs="Times New Roman"/>
          <w:color w:val="auto"/>
          <w:sz w:val="32"/>
          <w:szCs w:val="32"/>
        </w:rPr>
        <w:t>202</w:t>
      </w:r>
      <w:r>
        <w:rPr>
          <w:rFonts w:hint="eastAsia" w:cs="Times New Roman"/>
          <w:color w:val="auto"/>
          <w:sz w:val="32"/>
          <w:szCs w:val="32"/>
          <w:lang w:val="en-US" w:eastAsia="zh-CN"/>
        </w:rPr>
        <w:t>2</w:t>
      </w:r>
      <w:r>
        <w:rPr>
          <w:rFonts w:hint="default" w:ascii="Times New Roman" w:hAnsi="Times New Roman" w:eastAsia="方正仿宋_GBK" w:cs="Times New Roman"/>
          <w:color w:val="auto"/>
          <w:sz w:val="32"/>
          <w:szCs w:val="32"/>
        </w:rPr>
        <w:t>年无政府采购预算。</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五、预算绩效管理情况说明</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（一）预算绩效管理工作开展情况</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根据预算绩效管理要求，我单位的上级单位云阳县黄石镇人民政府对部门整体绩效和</w:t>
      </w:r>
      <w:r>
        <w:rPr>
          <w:rFonts w:hint="default" w:ascii="Times New Roman" w:hAnsi="Times New Roman" w:cs="Times New Roman"/>
          <w:color w:val="auto"/>
          <w:sz w:val="32"/>
          <w:szCs w:val="32"/>
        </w:rPr>
        <w:t>109</w:t>
      </w:r>
      <w:r>
        <w:rPr>
          <w:rFonts w:hint="default" w:ascii="Times New Roman" w:hAnsi="Times New Roman" w:eastAsia="方正仿宋_GBK" w:cs="Times New Roman"/>
          <w:color w:val="auto"/>
          <w:sz w:val="32"/>
          <w:szCs w:val="32"/>
        </w:rPr>
        <w:t>个项目开展了绩效自评，涉及资金</w:t>
      </w:r>
      <w:r>
        <w:rPr>
          <w:rFonts w:hint="default" w:ascii="Times New Roman" w:hAnsi="Times New Roman" w:cs="Times New Roman"/>
          <w:color w:val="auto"/>
          <w:sz w:val="32"/>
          <w:szCs w:val="32"/>
        </w:rPr>
        <w:t>3228.66</w:t>
      </w:r>
      <w:r>
        <w:rPr>
          <w:rFonts w:hint="default" w:ascii="Times New Roman" w:hAnsi="Times New Roman" w:eastAsia="方正仿宋_GBK" w:cs="Times New Roman"/>
          <w:color w:val="auto"/>
          <w:sz w:val="32"/>
          <w:szCs w:val="32"/>
        </w:rPr>
        <w:t>万元。从自评情况来看，基本上达到年初设定目标。</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（二）绩效自评结果</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Style w:val="6"/>
          <w:rFonts w:hint="default" w:ascii="Times New Roman" w:hAnsi="Times New Roman" w:cs="Times New Roman"/>
          <w:color w:val="auto"/>
          <w:sz w:val="32"/>
          <w:szCs w:val="32"/>
        </w:rPr>
        <w:t>1.</w:t>
      </w:r>
      <w:r>
        <w:rPr>
          <w:rStyle w:val="6"/>
          <w:rFonts w:hint="default" w:ascii="Times New Roman" w:hAnsi="Times New Roman" w:eastAsia="方正仿宋_GBK" w:cs="Times New Roman"/>
          <w:color w:val="auto"/>
          <w:sz w:val="32"/>
          <w:szCs w:val="32"/>
        </w:rPr>
        <w:t>绩效目标自评表</w:t>
      </w:r>
    </w:p>
    <w:p>
      <w:pPr>
        <w:pStyle w:val="3"/>
        <w:keepNext w:val="0"/>
        <w:keepLines w:val="0"/>
        <w:widowControl/>
        <w:suppressLineNumbers w:val="0"/>
        <w:spacing w:before="0" w:beforeAutospacing="0" w:after="0" w:afterAutospacing="0" w:line="585" w:lineRule="atLeast"/>
        <w:ind w:left="0" w:right="0" w:firstLine="645"/>
        <w:rPr>
          <w:rFonts w:hint="eastAsia" w:ascii="Times New Roman" w:hAnsi="Times New Roman" w:eastAsia="方正仿宋_GBK" w:cs="Times New Roman"/>
          <w:b w:val="0"/>
          <w:bCs/>
          <w:color w:val="auto"/>
          <w:sz w:val="32"/>
          <w:szCs w:val="32"/>
          <w:lang w:eastAsia="zh-CN"/>
        </w:rPr>
      </w:pPr>
      <w:r>
        <w:rPr>
          <w:rStyle w:val="6"/>
          <w:rFonts w:hint="default" w:ascii="Times New Roman" w:hAnsi="Times New Roman" w:eastAsia="方正仿宋_GBK" w:cs="Times New Roman"/>
          <w:b w:val="0"/>
          <w:bCs/>
          <w:color w:val="auto"/>
          <w:sz w:val="32"/>
          <w:szCs w:val="32"/>
        </w:rPr>
        <w:t>无</w:t>
      </w:r>
      <w:r>
        <w:rPr>
          <w:rStyle w:val="6"/>
          <w:rFonts w:hint="eastAsia" w:eastAsia="方正仿宋_GBK" w:cs="Times New Roman"/>
          <w:b w:val="0"/>
          <w:bCs/>
          <w:color w:val="auto"/>
          <w:sz w:val="32"/>
          <w:szCs w:val="32"/>
          <w:lang w:eastAsia="zh-CN"/>
        </w:rPr>
        <w:t>。</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Style w:val="6"/>
          <w:rFonts w:hint="default" w:ascii="Times New Roman" w:hAnsi="Times New Roman" w:cs="Times New Roman"/>
          <w:color w:val="auto"/>
          <w:sz w:val="32"/>
          <w:szCs w:val="32"/>
        </w:rPr>
        <w:t>2.</w:t>
      </w:r>
      <w:r>
        <w:rPr>
          <w:rStyle w:val="6"/>
          <w:rFonts w:hint="default" w:ascii="Times New Roman" w:hAnsi="Times New Roman" w:eastAsia="方正仿宋_GBK" w:cs="Times New Roman"/>
          <w:color w:val="auto"/>
          <w:sz w:val="32"/>
          <w:szCs w:val="32"/>
        </w:rPr>
        <w:t>绩效自评报告或案例（如有）</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无。</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Style w:val="6"/>
          <w:rFonts w:hint="default" w:ascii="Times New Roman" w:hAnsi="Times New Roman" w:cs="Times New Roman"/>
          <w:color w:val="auto"/>
          <w:sz w:val="32"/>
          <w:szCs w:val="32"/>
        </w:rPr>
        <w:t>3.</w:t>
      </w:r>
      <w:r>
        <w:rPr>
          <w:rStyle w:val="6"/>
          <w:rFonts w:hint="default" w:ascii="Times New Roman" w:hAnsi="Times New Roman" w:eastAsia="方正仿宋_GBK" w:cs="Times New Roman"/>
          <w:color w:val="auto"/>
          <w:sz w:val="32"/>
          <w:szCs w:val="32"/>
        </w:rPr>
        <w:t>关于绩效自评结果的说明。</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无。</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（三）重点绩效评价结果</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无。</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六、专业名词解释</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单位应根据实际情况对专业名词进行解释，不得遗漏。</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（一）财政拨款收入：</w:t>
      </w:r>
      <w:r>
        <w:rPr>
          <w:rFonts w:hint="default" w:ascii="Times New Roman" w:hAnsi="Times New Roman" w:eastAsia="方正仿宋_GBK" w:cs="Times New Roman"/>
          <w:color w:val="auto"/>
          <w:sz w:val="32"/>
          <w:szCs w:val="32"/>
        </w:rPr>
        <w:t>指本年度从本级财政部门取得的财政拨款，包括一般公共预算财政拨款和政府性基金预算财政拨款。</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（二）事业收入：</w:t>
      </w:r>
      <w:r>
        <w:rPr>
          <w:rFonts w:hint="default" w:ascii="Times New Roman" w:hAnsi="Times New Roman" w:eastAsia="方正仿宋_GBK" w:cs="Times New Roman"/>
          <w:color w:val="auto"/>
          <w:sz w:val="32"/>
          <w:szCs w:val="32"/>
        </w:rPr>
        <w:t>指事业单位开展专业业务活动及其辅助活动取得的现金流入；事业单位收到的财政专户实际核拨的教育收费等资金在此反映。</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（三）经营收入：</w:t>
      </w:r>
      <w:r>
        <w:rPr>
          <w:rFonts w:hint="default" w:ascii="Times New Roman" w:hAnsi="Times New Roman" w:eastAsia="方正仿宋_GBK" w:cs="Times New Roman"/>
          <w:color w:val="auto"/>
          <w:sz w:val="32"/>
          <w:szCs w:val="32"/>
        </w:rPr>
        <w:t>指事业单位在专业业务活动及其辅助活动之外开展非独立核算经营活动取得的现金流入。</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（四）其他收入：</w:t>
      </w:r>
      <w:r>
        <w:rPr>
          <w:rFonts w:hint="default" w:ascii="Times New Roman" w:hAnsi="Times New Roman" w:eastAsia="方正仿宋_GBK" w:cs="Times New Roman"/>
          <w:color w:val="auto"/>
          <w:sz w:val="32"/>
          <w:szCs w:val="32"/>
        </w:rPr>
        <w:t>指单位取得的除</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财政拨款收入</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事业收入</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经营收入</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（五）使用非财政拨款结余：</w:t>
      </w:r>
      <w:r>
        <w:rPr>
          <w:rFonts w:hint="default" w:ascii="Times New Roman" w:hAnsi="Times New Roman" w:eastAsia="方正仿宋_GBK" w:cs="Times New Roman"/>
          <w:color w:val="auto"/>
          <w:sz w:val="32"/>
          <w:szCs w:val="32"/>
        </w:rPr>
        <w:t>指单位在当年的</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财政拨款收入</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事业收入</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经营收入</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其他收入</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等不足以安排当年支出的情况下，使用以前年度积累的非财政拨款结余弥补本年度收支缺口的资金。</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（六）年初结转和结余：</w:t>
      </w:r>
      <w:r>
        <w:rPr>
          <w:rFonts w:hint="default" w:ascii="Times New Roman" w:hAnsi="Times New Roman" w:eastAsia="方正仿宋_GBK" w:cs="Times New Roman"/>
          <w:color w:val="auto"/>
          <w:sz w:val="32"/>
          <w:szCs w:val="32"/>
        </w:rPr>
        <w:t>指单位上年结转本年使用的基本支出结转、项目支出结转和结余、经营结余。</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（七）结余分配：</w:t>
      </w:r>
      <w:r>
        <w:rPr>
          <w:rFonts w:hint="default" w:ascii="Times New Roman" w:hAnsi="Times New Roman" w:eastAsia="方正仿宋_GBK" w:cs="Times New Roman"/>
          <w:color w:val="auto"/>
          <w:sz w:val="32"/>
          <w:szCs w:val="32"/>
        </w:rPr>
        <w:t>指单位按照国家有关规定，缴纳所得税、提取专用基金、转入非财政拨款结余等当年结余的分配情况。</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（八）年末结转和结余：</w:t>
      </w:r>
      <w:r>
        <w:rPr>
          <w:rFonts w:hint="default" w:ascii="Times New Roman" w:hAnsi="Times New Roman" w:eastAsia="方正仿宋_GBK" w:cs="Times New Roman"/>
          <w:color w:val="auto"/>
          <w:sz w:val="32"/>
          <w:szCs w:val="32"/>
        </w:rPr>
        <w:t>指单位结转下年的基本支出结转、项目支出结转和结余、经营结余。</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（九）基本支出：</w:t>
      </w:r>
      <w:r>
        <w:rPr>
          <w:rFonts w:hint="default" w:ascii="Times New Roman" w:hAnsi="Times New Roman" w:eastAsia="方正仿宋_GBK" w:cs="Times New Roman"/>
          <w:color w:val="auto"/>
          <w:sz w:val="32"/>
          <w:szCs w:val="32"/>
        </w:rPr>
        <w:t>指为保障机构正常运转、完成日常工作任务而发生的人员经费和公用经费。其中：人员经费指政府收支分类经济科目中的</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工资福利支出</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和</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对个人和家庭的补助</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；公用经费指政府收支分类经济科目中除</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工资福利支出</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和</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对个人和家庭的补助</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外的其他支出。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（十）项目支出：</w:t>
      </w:r>
      <w:r>
        <w:rPr>
          <w:rFonts w:hint="default" w:ascii="Times New Roman" w:hAnsi="Times New Roman" w:eastAsia="方正仿宋_GBK" w:cs="Times New Roman"/>
          <w:color w:val="auto"/>
          <w:sz w:val="32"/>
          <w:szCs w:val="32"/>
        </w:rPr>
        <w:t>指在基本支出之外为完成特定行政任务和事业发展目标所发生的支出。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（十一）经营支出：</w:t>
      </w:r>
      <w:r>
        <w:rPr>
          <w:rFonts w:hint="default" w:ascii="Times New Roman" w:hAnsi="Times New Roman" w:eastAsia="方正仿宋_GBK" w:cs="Times New Roman"/>
          <w:color w:val="auto"/>
          <w:sz w:val="32"/>
          <w:szCs w:val="32"/>
        </w:rPr>
        <w:t>指事业单位在专业业务活动及其辅助活动之外开展非独立核算经营活动发生的支出。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（十二）“三公”经费：</w:t>
      </w:r>
      <w:r>
        <w:rPr>
          <w:rFonts w:hint="default" w:ascii="Times New Roman" w:hAnsi="Times New Roman" w:eastAsia="方正仿宋_GBK" w:cs="Times New Roman"/>
          <w:color w:val="auto"/>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eastAsia" w:ascii="方正楷体_GBK" w:hAnsi="方正楷体_GBK" w:eastAsia="方正楷体_GBK" w:cs="方正楷体_GBK"/>
          <w:color w:val="auto"/>
          <w:sz w:val="32"/>
          <w:szCs w:val="32"/>
        </w:rPr>
        <w:t>（十三）</w:t>
      </w:r>
      <w:r>
        <w:rPr>
          <w:rFonts w:hint="default" w:ascii="Times New Roman" w:hAnsi="Times New Roman" w:eastAsia="方正楷体_GBK" w:cs="Times New Roman"/>
          <w:color w:val="auto"/>
          <w:sz w:val="32"/>
          <w:szCs w:val="32"/>
        </w:rPr>
        <w:t>机关运行经费</w:t>
      </w:r>
      <w:r>
        <w:rPr>
          <w:rFonts w:hint="default" w:ascii="Times New Roman" w:hAnsi="Times New Roman" w:eastAsia="方正仿宋_GBK" w:cs="Times New Roman"/>
          <w:color w:val="auto"/>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（十四）工资福利支出（支出经济分类科目类级）</w:t>
      </w:r>
      <w:r>
        <w:rPr>
          <w:rFonts w:hint="default" w:ascii="Times New Roman" w:hAnsi="Times New Roman" w:eastAsia="方正仿宋_GBK" w:cs="Times New Roman"/>
          <w:color w:val="auto"/>
          <w:sz w:val="32"/>
          <w:szCs w:val="32"/>
        </w:rPr>
        <w:t>：反映单位开支的在职职工和编制外长期聘用人员的各类劳动报酬，以及为上述人员缴纳的各项社会保险费等。</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（十五）商品和服务支出（支出经济分类科目类级）</w:t>
      </w:r>
      <w:r>
        <w:rPr>
          <w:rFonts w:hint="default" w:ascii="Times New Roman" w:hAnsi="Times New Roman" w:eastAsia="方正仿宋_GBK" w:cs="Times New Roman"/>
          <w:color w:val="auto"/>
          <w:sz w:val="32"/>
          <w:szCs w:val="32"/>
        </w:rPr>
        <w:t>：反映单位购买商品和服务的支出（不包括用于购置固定资产的支出、战略性和应急储备支出）。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（十六）对个人和家庭的补助（支出经济分类科目类级）</w:t>
      </w:r>
      <w:r>
        <w:rPr>
          <w:rFonts w:hint="default" w:ascii="Times New Roman" w:hAnsi="Times New Roman" w:eastAsia="方正仿宋_GBK" w:cs="Times New Roman"/>
          <w:color w:val="auto"/>
          <w:sz w:val="32"/>
          <w:szCs w:val="32"/>
        </w:rPr>
        <w:t>：反映用于对个人和家庭的补助支出。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（十七）其他资本性支出（支出经济分类科目类级）</w:t>
      </w:r>
      <w:r>
        <w:rPr>
          <w:rFonts w:hint="default" w:ascii="Times New Roman" w:hAnsi="Times New Roman" w:eastAsia="方正仿宋_GBK" w:cs="Times New Roman"/>
          <w:color w:val="auto"/>
          <w:sz w:val="32"/>
          <w:szCs w:val="32"/>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七、决算公开联系方式</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Style w:val="6"/>
          <w:rFonts w:hint="default" w:ascii="Times New Roman" w:hAnsi="Times New Roman" w:eastAsia="方正仿宋_GBK" w:cs="Times New Roman"/>
          <w:color w:val="auto"/>
          <w:sz w:val="32"/>
          <w:szCs w:val="32"/>
        </w:rPr>
        <w:t>单位决算公开联系人：宋方</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color w:val="auto"/>
          <w:sz w:val="32"/>
          <w:szCs w:val="32"/>
        </w:rPr>
      </w:pPr>
      <w:r>
        <w:rPr>
          <w:rStyle w:val="6"/>
          <w:rFonts w:hint="default" w:ascii="Times New Roman" w:hAnsi="Times New Roman" w:eastAsia="方正仿宋_GBK" w:cs="Times New Roman"/>
          <w:color w:val="auto"/>
          <w:sz w:val="32"/>
          <w:szCs w:val="32"/>
        </w:rPr>
        <w:t>联系方式：</w:t>
      </w:r>
      <w:r>
        <w:rPr>
          <w:rStyle w:val="6"/>
          <w:rFonts w:hint="default" w:ascii="Times New Roman" w:hAnsi="Times New Roman" w:cs="Times New Roman"/>
          <w:color w:val="auto"/>
          <w:sz w:val="32"/>
          <w:szCs w:val="32"/>
        </w:rPr>
        <w:t>023-5581011</w:t>
      </w:r>
    </w:p>
    <w:p>
      <w:pPr>
        <w:pStyle w:val="3"/>
        <w:keepNext w:val="0"/>
        <w:keepLines w:val="0"/>
        <w:widowControl/>
        <w:suppressLineNumbers w:val="0"/>
        <w:spacing w:before="0" w:beforeAutospacing="0" w:after="0" w:afterAutospacing="0" w:line="315" w:lineRule="atLeast"/>
        <w:ind w:left="0" w:right="0"/>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0000000000000000000"/>
    <w:charset w:val="00"/>
    <w:family w:val="auto"/>
    <w:pitch w:val="default"/>
    <w:sig w:usb0="00000000" w:usb1="00000000" w:usb2="00000000" w:usb3="00000000" w:csb0="0000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w:t>
    </w:r>
    <w:r>
      <w:t xml:space="preserve"> 8 -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DQ2ODM1YmQwMzE2NmY3YWQ0NTUyM2M1NjNhMzIifQ=="/>
  </w:docVars>
  <w:rsids>
    <w:rsidRoot w:val="00000000"/>
    <w:rsid w:val="00BB0BBC"/>
    <w:rsid w:val="099C5CB1"/>
    <w:rsid w:val="09B1750D"/>
    <w:rsid w:val="1D2C661D"/>
    <w:rsid w:val="23C70568"/>
    <w:rsid w:val="3E126AAD"/>
    <w:rsid w:val="3ECB1645"/>
    <w:rsid w:val="4B7A33F4"/>
    <w:rsid w:val="583F4939"/>
    <w:rsid w:val="59734C1C"/>
    <w:rsid w:val="5E0246A0"/>
    <w:rsid w:val="714A026E"/>
    <w:rsid w:val="7A725F9F"/>
    <w:rsid w:val="E72AD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2023-10-24T00:45:00Z</dcterms:created>
  <dc:creator>Lenovo</dc:creator>
  <cp:lastModifiedBy>user</cp:lastModifiedBy>
  <cp:lastPrinted>2023-10-24T03:14:00Z</cp:lastPrinted>
  <dcterms:modified xsi:type="dcterms:W3CDTF">2023-11-08T16:35:10Z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AB90DD51D3E14EF2BD4CF5F9862D1241_12</vt:lpwstr>
  </property>
</Properties>
</file>