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kern w:val="0"/>
          <w:sz w:val="32"/>
          <w:szCs w:val="32"/>
        </w:rPr>
      </w:pPr>
    </w:p>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镇文化服务中心</w:t>
      </w:r>
    </w:p>
    <w:p>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tabs>
          <w:tab w:val="center" w:pos="4153"/>
          <w:tab w:val="left" w:pos="7275"/>
        </w:tabs>
        <w:spacing w:line="600" w:lineRule="exact"/>
        <w:ind w:firstLine="640"/>
        <w:rPr>
          <w:rFonts w:ascii="方正黑体_GBK" w:eastAsia="方正黑体_GBK"/>
          <w:b/>
          <w:bCs/>
          <w:sz w:val="32"/>
          <w:szCs w:val="32"/>
        </w:rPr>
      </w:pPr>
      <w:r>
        <w:rPr>
          <w:rFonts w:hint="eastAsia" w:ascii="方正黑体_GBK" w:eastAsia="方正黑体_GBK"/>
          <w:b/>
          <w:bCs/>
          <w:sz w:val="32"/>
          <w:szCs w:val="32"/>
        </w:rPr>
        <w:t>一、单位基本情况</w:t>
      </w:r>
    </w:p>
    <w:p>
      <w:pPr>
        <w:spacing w:line="578" w:lineRule="exact"/>
        <w:ind w:firstLine="640" w:firstLineChars="200"/>
        <w:rPr>
          <w:rFonts w:eastAsia="方正仿宋_GBK"/>
          <w:sz w:val="32"/>
        </w:rPr>
      </w:pPr>
      <w:r>
        <w:rPr>
          <w:rFonts w:hint="eastAsia" w:ascii="方正楷体_GBK" w:hAnsi="方正楷体_GBK" w:eastAsia="方正楷体_GBK" w:cs="方正楷体_GBK"/>
          <w:sz w:val="32"/>
        </w:rPr>
        <w:t>（一）职能职责</w:t>
      </w:r>
      <w:r>
        <w:rPr>
          <w:rFonts w:hint="eastAsia" w:eastAsia="方正仿宋_GBK"/>
          <w:sz w:val="32"/>
        </w:rPr>
        <w:t>。</w:t>
      </w:r>
    </w:p>
    <w:p>
      <w:pPr>
        <w:spacing w:line="594"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CN"/>
        </w:rPr>
        <w:t>负责文化、宣传、广播电视、体育、科技培训等方面服务工作。</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2.宣传贯彻党和国家有关</w:t>
      </w:r>
      <w:r>
        <w:rPr>
          <w:rFonts w:hint="eastAsia" w:ascii="方正仿宋_GBK" w:hAnsi="方正仿宋_GBK" w:eastAsia="方正仿宋_GBK" w:cs="方正仿宋_GBK"/>
          <w:sz w:val="32"/>
          <w:szCs w:val="32"/>
          <w:lang w:val="zh-CN"/>
        </w:rPr>
        <w:t>文化、宣传、广播电视、体育、科技</w:t>
      </w:r>
      <w:r>
        <w:rPr>
          <w:rFonts w:hint="eastAsia" w:ascii="方正仿宋_GBK" w:hAnsi="方正仿宋_GBK" w:eastAsia="方正仿宋_GBK" w:cs="方正仿宋_GBK"/>
          <w:sz w:val="32"/>
          <w:szCs w:val="32"/>
        </w:rPr>
        <w:t>等方针政策和法律法规，做好宣传文化体育阵地建设。</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3.组织开展文化娱乐和体育健身活动，繁荣群众文化事业，开展文化宣传、文艺创作、文艺培训、体育运动，指导村（社区）文化室开展各种业务活动，培训村（居、社区）文艺骨干。</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4.管理辖区内文艺社团，开展文化艺术、体育运动交流，保护并传承健康高尚的传统文化。</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5.负责民族民间非物质文化遗产搜集整理，做好对文化遗产及文物的宣传和保护工作。</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6.负责辖区的旅游资源普查、规划、整合、开发和相关保护工作。</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7.负责辖区内广播电视、电台节目的有关服务工作，协助上级部门管理好本地区的文化市场。</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（二）机构设置</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本单位为云阳县大阳镇人民政府下属单位，无独立的机构设置。</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（三）单位构成</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本单位为云阳县大阳镇人民政府下属单位，无单位构成。</w:t>
      </w:r>
    </w:p>
    <w:p>
      <w:pPr>
        <w:spacing w:line="600" w:lineRule="exact"/>
        <w:ind w:firstLine="643" w:firstLineChars="200"/>
        <w:rPr>
          <w:rFonts w:ascii="方正仿宋_GBK" w:hAnsi="宋体" w:eastAsia="方正仿宋_GBK" w:cs="宋体"/>
          <w:b/>
          <w:bCs/>
          <w:kern w:val="0"/>
          <w:sz w:val="32"/>
          <w:szCs w:val="32"/>
        </w:rPr>
      </w:pPr>
      <w:r>
        <w:rPr>
          <w:rFonts w:hint="eastAsia" w:ascii="方正黑体_GBK" w:eastAsia="方正黑体_GBK"/>
          <w:b/>
          <w:bCs/>
          <w:sz w:val="32"/>
          <w:szCs w:val="32"/>
        </w:rPr>
        <w:t>二、部门决算情况说明</w:t>
      </w:r>
    </w:p>
    <w:p>
      <w:pPr>
        <w:spacing w:line="600" w:lineRule="exact"/>
        <w:ind w:firstLine="643" w:firstLineChars="200"/>
        <w:rPr>
          <w:rFonts w:hint="eastAsia" w:ascii="方正仿宋_GBK" w:hAnsi="宋体" w:eastAsia="方正仿宋_GBK" w:cs="宋体"/>
          <w:kern w:val="0"/>
          <w:sz w:val="32"/>
          <w:szCs w:val="32"/>
        </w:rPr>
      </w:pPr>
      <w:r>
        <w:rPr>
          <w:rFonts w:ascii="方正仿宋_GBK" w:hAnsi="宋体" w:eastAsia="方正仿宋_GBK" w:cs="宋体"/>
          <w:b/>
          <w:kern w:val="0"/>
          <w:sz w:val="32"/>
          <w:szCs w:val="32"/>
        </w:rPr>
        <w:t>（一）收入支出决算总体情况说明</w:t>
      </w:r>
    </w:p>
    <w:p>
      <w:pPr>
        <w:spacing w:line="600" w:lineRule="exact"/>
        <w:ind w:firstLine="643" w:firstLineChars="200"/>
        <w:rPr>
          <w:rFonts w:hint="eastAsia" w:ascii="方正仿宋_GBK" w:hAnsi="宋体" w:eastAsia="方正仿宋_GBK" w:cs="宋体"/>
          <w:kern w:val="0"/>
          <w:sz w:val="32"/>
          <w:szCs w:val="32"/>
        </w:rPr>
      </w:pPr>
      <w:r>
        <w:rPr>
          <w:rFonts w:ascii="方正仿宋_GBK" w:hAnsi="宋体" w:eastAsia="方正仿宋_GBK" w:cs="宋体"/>
          <w:b/>
          <w:kern w:val="0"/>
          <w:sz w:val="32"/>
          <w:szCs w:val="32"/>
        </w:rPr>
        <w:t>1.总体情况。</w:t>
      </w:r>
      <w:r>
        <w:rPr>
          <w:rFonts w:ascii="方正仿宋_GBK" w:hAnsi="宋体" w:eastAsia="方正仿宋_GBK" w:cs="宋体"/>
          <w:kern w:val="0"/>
          <w:sz w:val="32"/>
          <w:szCs w:val="32"/>
        </w:rPr>
        <w:t>2022年度收入总计</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万元，支出总计</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万元。收支较上年决算数增加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p>
    <w:p>
      <w:pPr>
        <w:spacing w:line="600" w:lineRule="exact"/>
        <w:ind w:firstLine="643" w:firstLineChars="200"/>
        <w:rPr>
          <w:rFonts w:hint="eastAsia" w:ascii="方正仿宋_GBK" w:hAnsi="宋体" w:eastAsia="方正仿宋_GBK" w:cs="宋体"/>
          <w:b/>
          <w:kern w:val="0"/>
          <w:sz w:val="32"/>
          <w:szCs w:val="32"/>
        </w:rPr>
      </w:pPr>
      <w:r>
        <w:rPr>
          <w:rFonts w:ascii="方正仿宋_GBK" w:hAnsi="宋体" w:eastAsia="方正仿宋_GBK" w:cs="宋体"/>
          <w:b/>
          <w:kern w:val="0"/>
          <w:sz w:val="32"/>
          <w:szCs w:val="32"/>
        </w:rPr>
        <w:t>2.收入情况。</w:t>
      </w:r>
      <w:r>
        <w:rPr>
          <w:rFonts w:ascii="方正仿宋_GBK" w:hAnsi="宋体" w:eastAsia="方正仿宋_GBK" w:cs="宋体"/>
          <w:kern w:val="0"/>
          <w:sz w:val="32"/>
          <w:szCs w:val="32"/>
        </w:rPr>
        <w:t>2022年度收入合计</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万元，较上年决算数增加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。其中：财政拨款收入</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万元，占100%。</w:t>
      </w:r>
    </w:p>
    <w:p>
      <w:pPr>
        <w:spacing w:line="600" w:lineRule="exact"/>
        <w:ind w:firstLine="643" w:firstLineChars="200"/>
        <w:rPr>
          <w:rFonts w:hint="eastAsia" w:ascii="方正仿宋_GBK" w:hAnsi="宋体" w:eastAsia="方正仿宋_GBK" w:cs="宋体"/>
          <w:kern w:val="0"/>
          <w:sz w:val="32"/>
          <w:szCs w:val="32"/>
          <w:lang w:eastAsia="zh-CN"/>
        </w:rPr>
      </w:pPr>
      <w:r>
        <w:rPr>
          <w:rFonts w:ascii="方正仿宋_GBK" w:hAnsi="宋体" w:eastAsia="方正仿宋_GBK" w:cs="宋体"/>
          <w:b/>
          <w:kern w:val="0"/>
          <w:sz w:val="32"/>
          <w:szCs w:val="32"/>
        </w:rPr>
        <w:t>3.支出情况。</w:t>
      </w:r>
      <w:r>
        <w:rPr>
          <w:rFonts w:ascii="方正仿宋_GBK" w:hAnsi="宋体" w:eastAsia="方正仿宋_GBK" w:cs="宋体"/>
          <w:kern w:val="0"/>
          <w:sz w:val="32"/>
          <w:szCs w:val="32"/>
        </w:rPr>
        <w:t>2022年度支出合计</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万元，较上年决算增加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。其中：基本支出</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万元，占100%</w:t>
      </w:r>
      <w:r>
        <w:rPr>
          <w:rFonts w:hint="eastAsia" w:ascii="方正仿宋_GBK" w:hAnsi="宋体" w:eastAsia="方正仿宋_GBK" w:cs="宋体"/>
          <w:kern w:val="0"/>
          <w:sz w:val="32"/>
          <w:szCs w:val="32"/>
          <w:lang w:eastAsia="zh-CN"/>
        </w:rPr>
        <w:t>。</w:t>
      </w:r>
    </w:p>
    <w:p>
      <w:pPr>
        <w:spacing w:line="600" w:lineRule="exact"/>
        <w:ind w:firstLine="643" w:firstLineChars="200"/>
        <w:rPr>
          <w:rFonts w:hint="eastAsia" w:ascii="方正仿宋_GBK" w:hAnsi="宋体" w:eastAsia="方正仿宋_GBK" w:cs="宋体"/>
          <w:kern w:val="0"/>
          <w:sz w:val="32"/>
          <w:szCs w:val="32"/>
        </w:rPr>
      </w:pPr>
      <w:r>
        <w:rPr>
          <w:rFonts w:ascii="方正仿宋_GBK" w:hAnsi="宋体" w:eastAsia="方正仿宋_GBK" w:cs="宋体"/>
          <w:b/>
          <w:kern w:val="0"/>
          <w:sz w:val="32"/>
          <w:szCs w:val="32"/>
        </w:rPr>
        <w:t>4.结转结余情况。</w:t>
      </w:r>
      <w:r>
        <w:rPr>
          <w:rFonts w:ascii="方正仿宋_GBK" w:hAnsi="宋体" w:eastAsia="方正仿宋_GBK" w:cs="宋体"/>
          <w:kern w:val="0"/>
          <w:sz w:val="32"/>
          <w:szCs w:val="32"/>
        </w:rPr>
        <w:t>2022年度年末结转和结余0.00万元，较上年决算数增加0.00万元，增长</w:t>
      </w:r>
      <w:r>
        <w:rPr>
          <w:rFonts w:hint="eastAsia" w:ascii="方正仿宋_GBK" w:hAnsi="宋体" w:eastAsia="方正仿宋_GBK" w:cs="宋体"/>
          <w:kern w:val="0"/>
          <w:sz w:val="32"/>
          <w:szCs w:val="32"/>
        </w:rPr>
        <w:t>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本单位不涉及结转结余。</w:t>
      </w:r>
    </w:p>
    <w:p>
      <w:pPr>
        <w:spacing w:line="600" w:lineRule="exact"/>
        <w:ind w:firstLine="643" w:firstLineChars="200"/>
        <w:rPr>
          <w:rFonts w:ascii="方正仿宋_GBK" w:hAnsi="宋体" w:eastAsia="方正仿宋_GBK" w:cs="宋体"/>
          <w:kern w:val="0"/>
          <w:sz w:val="32"/>
          <w:szCs w:val="32"/>
        </w:rPr>
      </w:pPr>
      <w:r>
        <w:rPr>
          <w:rFonts w:ascii="方正仿宋_GBK" w:hAnsi="宋体" w:eastAsia="方正仿宋_GBK" w:cs="宋体"/>
          <w:b/>
          <w:kern w:val="0"/>
          <w:sz w:val="32"/>
          <w:szCs w:val="32"/>
        </w:rPr>
        <w:t>（二）财政拨款收入支出决算总体情况说明</w:t>
      </w:r>
    </w:p>
    <w:p>
      <w:pPr>
        <w:spacing w:line="600" w:lineRule="exact"/>
        <w:ind w:firstLine="640" w:firstLineChars="200"/>
        <w:rPr>
          <w:rFonts w:hint="eastAsia" w:ascii="方正仿宋_GBK" w:hAnsi="宋体" w:eastAsia="方正仿宋_GBK" w:cs="宋体"/>
          <w:kern w:val="0"/>
          <w:sz w:val="32"/>
          <w:szCs w:val="32"/>
        </w:rPr>
      </w:pPr>
      <w:r>
        <w:rPr>
          <w:rFonts w:ascii="方正仿宋_GBK" w:hAnsi="宋体" w:eastAsia="方正仿宋_GBK" w:cs="宋体"/>
          <w:kern w:val="0"/>
          <w:sz w:val="32"/>
          <w:szCs w:val="32"/>
        </w:rPr>
        <w:t>2022年度财政拨款收、支总计</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万元。与2021年相比，财政拨款收、支总计各增加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w:t>
      </w:r>
    </w:p>
    <w:p>
      <w:pPr>
        <w:spacing w:line="600" w:lineRule="exact"/>
        <w:ind w:firstLine="643" w:firstLineChars="200"/>
        <w:rPr>
          <w:rFonts w:ascii="方正仿宋_GBK" w:hAnsi="宋体" w:eastAsia="方正仿宋_GBK" w:cs="宋体"/>
          <w:b/>
          <w:kern w:val="0"/>
          <w:sz w:val="32"/>
          <w:szCs w:val="32"/>
        </w:rPr>
      </w:pPr>
      <w:r>
        <w:rPr>
          <w:rFonts w:ascii="方正仿宋_GBK" w:hAnsi="宋体" w:eastAsia="方正仿宋_GBK" w:cs="宋体"/>
          <w:b/>
          <w:kern w:val="0"/>
          <w:sz w:val="32"/>
          <w:szCs w:val="32"/>
        </w:rPr>
        <w:t>（三）一般公共预算财政拨款收入支出决算情况说明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1.收入情况。2022年度一般公共预算财政拨款收入</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万元，较上年决算数增加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。较年初预算数增加</w:t>
      </w:r>
      <w:r>
        <w:rPr>
          <w:rFonts w:hint="eastAsia" w:ascii="方正仿宋_GBK" w:hAnsi="宋体" w:eastAsia="方正仿宋_GBK" w:cs="宋体"/>
          <w:kern w:val="0"/>
          <w:sz w:val="32"/>
          <w:szCs w:val="32"/>
          <w:lang w:val="en-US" w:eastAsia="zh-CN"/>
        </w:rPr>
        <w:t>8.83</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lang w:val="en-US" w:eastAsia="zh-CN"/>
        </w:rPr>
        <w:t>30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我单位人员晋级等</w:t>
      </w:r>
      <w:r>
        <w:rPr>
          <w:rFonts w:ascii="方正仿宋_GBK" w:hAnsi="宋体" w:eastAsia="方正仿宋_GBK" w:cs="宋体"/>
          <w:kern w:val="0"/>
          <w:sz w:val="32"/>
          <w:szCs w:val="32"/>
        </w:rPr>
        <w:t>。此外，年初财政拨款结转和结余0.00万元。</w:t>
      </w:r>
    </w:p>
    <w:p>
      <w:pPr>
        <w:spacing w:line="600" w:lineRule="exact"/>
        <w:ind w:firstLine="640" w:firstLineChars="20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2.支出情况。2022年度一般公共预算财政拨款支出</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万元，较上年决算数增加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%。主要原因是主要原因是主要原因是</w:t>
      </w:r>
      <w:r>
        <w:rPr>
          <w:rFonts w:hint="eastAsia" w:ascii="方正仿宋_GBK" w:hAnsi="宋体" w:eastAsia="方正仿宋_GBK" w:cs="宋体"/>
          <w:kern w:val="0"/>
          <w:sz w:val="32"/>
          <w:szCs w:val="32"/>
        </w:rPr>
        <w:t>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。较年初预算数增加</w:t>
      </w:r>
      <w:r>
        <w:rPr>
          <w:rFonts w:hint="eastAsia" w:ascii="方正仿宋_GBK" w:hAnsi="宋体" w:eastAsia="方正仿宋_GBK" w:cs="宋体"/>
          <w:kern w:val="0"/>
          <w:sz w:val="32"/>
          <w:szCs w:val="32"/>
          <w:lang w:val="en-US" w:eastAsia="zh-CN"/>
        </w:rPr>
        <w:t>8.83</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lang w:val="en-US" w:eastAsia="zh-CN"/>
        </w:rPr>
        <w:t>30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我单位人员晋级等</w:t>
      </w:r>
      <w:r>
        <w:rPr>
          <w:rFonts w:hint="eastAsia" w:ascii="方正仿宋_GBK" w:hAnsi="宋体" w:eastAsia="方正仿宋_GBK" w:cs="宋体"/>
          <w:kern w:val="0"/>
          <w:sz w:val="32"/>
          <w:szCs w:val="32"/>
          <w:lang w:eastAsia="zh-CN"/>
        </w:rPr>
        <w:t>。</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3.结转结余情况。2022年度年末一般公共预算财政拨款结转和结余0.00万元，较上年决算数增加0.00万元，增长</w:t>
      </w:r>
      <w:r>
        <w:rPr>
          <w:rFonts w:hint="eastAsia" w:ascii="方正仿宋_GBK" w:hAnsi="宋体" w:eastAsia="方正仿宋_GBK" w:cs="宋体"/>
          <w:kern w:val="0"/>
          <w:sz w:val="32"/>
          <w:szCs w:val="32"/>
        </w:rPr>
        <w:t>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本单位不涉及结转结余</w:t>
      </w:r>
      <w:r>
        <w:rPr>
          <w:rFonts w:ascii="方正仿宋_GBK" w:hAnsi="宋体" w:eastAsia="方正仿宋_GBK" w:cs="宋体"/>
          <w:kern w:val="0"/>
          <w:sz w:val="32"/>
          <w:szCs w:val="32"/>
        </w:rPr>
        <w:t>。</w:t>
      </w:r>
    </w:p>
    <w:p>
      <w:pPr>
        <w:spacing w:line="600" w:lineRule="exact"/>
        <w:ind w:firstLine="640" w:firstLineChars="200"/>
        <w:rPr>
          <w:rFonts w:hint="eastAsia" w:ascii="方正仿宋_GBK" w:hAnsi="宋体" w:eastAsia="方正仿宋_GBK" w:cs="宋体"/>
          <w:kern w:val="0"/>
          <w:sz w:val="32"/>
          <w:szCs w:val="32"/>
        </w:rPr>
      </w:pPr>
      <w:r>
        <w:rPr>
          <w:rFonts w:ascii="方正仿宋_GBK" w:hAnsi="宋体" w:eastAsia="方正仿宋_GBK" w:cs="宋体"/>
          <w:kern w:val="0"/>
          <w:sz w:val="32"/>
          <w:szCs w:val="32"/>
        </w:rPr>
        <w:t>4.比较情况。本部门2022年度一般公共预算财政拨款支出主要用于以下几个方面：</w:t>
      </w:r>
      <w:r>
        <w:rPr>
          <w:rFonts w:hint="eastAsia" w:ascii="方正仿宋_GBK" w:hAnsi="宋体" w:eastAsia="方正仿宋_GBK" w:cs="宋体"/>
          <w:kern w:val="0"/>
          <w:sz w:val="32"/>
          <w:szCs w:val="32"/>
        </w:rPr>
        <w:t xml:space="preserve"> </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）文化旅游体育与传媒支出</w:t>
      </w:r>
      <w:r>
        <w:rPr>
          <w:rFonts w:hint="eastAsia" w:ascii="方正仿宋_GBK" w:hAnsi="宋体" w:eastAsia="方正仿宋_GBK" w:cs="宋体"/>
          <w:kern w:val="0"/>
          <w:sz w:val="32"/>
          <w:szCs w:val="32"/>
          <w:lang w:val="en-US" w:eastAsia="zh-CN"/>
        </w:rPr>
        <w:t>32.6</w:t>
      </w:r>
      <w:r>
        <w:rPr>
          <w:rFonts w:ascii="方正仿宋_GBK" w:hAnsi="宋体" w:eastAsia="方正仿宋_GBK" w:cs="宋体"/>
          <w:kern w:val="0"/>
          <w:sz w:val="32"/>
          <w:szCs w:val="32"/>
        </w:rPr>
        <w:t>万元，占</w:t>
      </w:r>
      <w:r>
        <w:rPr>
          <w:rFonts w:hint="eastAsia" w:ascii="方正仿宋_GBK" w:hAnsi="宋体" w:eastAsia="方正仿宋_GBK" w:cs="宋体"/>
          <w:kern w:val="0"/>
          <w:sz w:val="32"/>
          <w:szCs w:val="32"/>
          <w:lang w:val="en-US" w:eastAsia="zh-CN"/>
        </w:rPr>
        <w:t>85.16</w:t>
      </w:r>
      <w:r>
        <w:rPr>
          <w:rFonts w:ascii="方正仿宋_GBK" w:hAnsi="宋体" w:eastAsia="方正仿宋_GBK" w:cs="宋体"/>
          <w:kern w:val="0"/>
          <w:sz w:val="32"/>
          <w:szCs w:val="32"/>
        </w:rPr>
        <w:t>%，较年初预算数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9.23</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39.5</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我单位人员晋级</w:t>
      </w:r>
      <w:r>
        <w:rPr>
          <w:rFonts w:ascii="方正仿宋_GBK" w:hAnsi="宋体" w:eastAsia="方正仿宋_GBK" w:cs="宋体"/>
          <w:kern w:val="0"/>
          <w:sz w:val="32"/>
          <w:szCs w:val="32"/>
        </w:rPr>
        <w:t>。</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）社会保障与就业支出</w:t>
      </w:r>
      <w:r>
        <w:rPr>
          <w:rFonts w:hint="eastAsia" w:ascii="方正仿宋_GBK" w:hAnsi="宋体" w:eastAsia="方正仿宋_GBK" w:cs="宋体"/>
          <w:kern w:val="0"/>
          <w:sz w:val="32"/>
          <w:szCs w:val="32"/>
          <w:lang w:val="en-US" w:eastAsia="zh-CN"/>
        </w:rPr>
        <w:t>3.22</w:t>
      </w:r>
      <w:r>
        <w:rPr>
          <w:rFonts w:ascii="方正仿宋_GBK" w:hAnsi="宋体" w:eastAsia="方正仿宋_GBK" w:cs="宋体"/>
          <w:kern w:val="0"/>
          <w:sz w:val="32"/>
          <w:szCs w:val="32"/>
        </w:rPr>
        <w:t>万元，占</w:t>
      </w:r>
      <w:r>
        <w:rPr>
          <w:rFonts w:hint="eastAsia" w:ascii="方正仿宋_GBK" w:hAnsi="宋体" w:eastAsia="方正仿宋_GBK" w:cs="宋体"/>
          <w:kern w:val="0"/>
          <w:sz w:val="32"/>
          <w:szCs w:val="32"/>
          <w:lang w:val="en-US" w:eastAsia="zh-CN"/>
        </w:rPr>
        <w:t>8.41</w:t>
      </w:r>
      <w:r>
        <w:rPr>
          <w:rFonts w:ascii="方正仿宋_GBK" w:hAnsi="宋体" w:eastAsia="方正仿宋_GBK" w:cs="宋体"/>
          <w:kern w:val="0"/>
          <w:sz w:val="32"/>
          <w:szCs w:val="32"/>
        </w:rPr>
        <w:t>%，较年初预算数增加</w:t>
      </w:r>
      <w:r>
        <w:rPr>
          <w:rFonts w:hint="eastAsia" w:ascii="方正仿宋_GBK" w:hAnsi="宋体" w:eastAsia="方正仿宋_GBK" w:cs="宋体"/>
          <w:kern w:val="0"/>
          <w:sz w:val="32"/>
          <w:szCs w:val="32"/>
          <w:lang w:val="en-US" w:eastAsia="zh-CN"/>
        </w:rPr>
        <w:t>0.22</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lang w:val="en-US" w:eastAsia="zh-CN"/>
        </w:rPr>
        <w:t>7.3</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我单位人员晋升，社保调标</w:t>
      </w:r>
      <w:r>
        <w:rPr>
          <w:rFonts w:ascii="方正仿宋_GBK" w:hAnsi="宋体" w:eastAsia="方正仿宋_GBK" w:cs="宋体"/>
          <w:kern w:val="0"/>
          <w:sz w:val="32"/>
          <w:szCs w:val="32"/>
        </w:rPr>
        <w:t>。</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）卫生健康支出</w:t>
      </w:r>
      <w:r>
        <w:rPr>
          <w:rFonts w:hint="eastAsia" w:ascii="方正仿宋_GBK" w:hAnsi="宋体" w:eastAsia="方正仿宋_GBK" w:cs="宋体"/>
          <w:kern w:val="0"/>
          <w:sz w:val="32"/>
          <w:szCs w:val="32"/>
          <w:lang w:val="en-US" w:eastAsia="zh-CN"/>
        </w:rPr>
        <w:t>0.32</w:t>
      </w:r>
      <w:r>
        <w:rPr>
          <w:rFonts w:ascii="方正仿宋_GBK" w:hAnsi="宋体" w:eastAsia="方正仿宋_GBK" w:cs="宋体"/>
          <w:kern w:val="0"/>
          <w:sz w:val="32"/>
          <w:szCs w:val="32"/>
        </w:rPr>
        <w:t>万元，占3.9%，较年初预算数减少</w:t>
      </w:r>
      <w:r>
        <w:rPr>
          <w:rFonts w:hint="eastAsia" w:ascii="方正仿宋_GBK" w:hAnsi="宋体" w:eastAsia="方正仿宋_GBK" w:cs="宋体"/>
          <w:kern w:val="0"/>
          <w:sz w:val="32"/>
          <w:szCs w:val="32"/>
          <w:lang w:val="en-US" w:eastAsia="zh-CN"/>
        </w:rPr>
        <w:t>1.25</w:t>
      </w:r>
      <w:r>
        <w:rPr>
          <w:rFonts w:ascii="方正仿宋_GBK" w:hAnsi="宋体" w:eastAsia="方正仿宋_GBK" w:cs="宋体"/>
          <w:kern w:val="0"/>
          <w:sz w:val="32"/>
          <w:szCs w:val="32"/>
        </w:rPr>
        <w:t>万元，下降</w:t>
      </w:r>
      <w:r>
        <w:rPr>
          <w:rFonts w:hint="eastAsia" w:ascii="方正仿宋_GBK" w:hAnsi="宋体" w:eastAsia="方正仿宋_GBK" w:cs="宋体"/>
          <w:kern w:val="0"/>
          <w:sz w:val="32"/>
          <w:szCs w:val="32"/>
          <w:lang w:val="en-US" w:eastAsia="zh-CN"/>
        </w:rPr>
        <w:t>79.62</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我单位人员晋升，社保调标。</w:t>
      </w:r>
    </w:p>
    <w:p>
      <w:pPr>
        <w:spacing w:line="600" w:lineRule="exact"/>
        <w:ind w:firstLine="640" w:firstLineChars="200"/>
        <w:rPr>
          <w:rFonts w:hint="eastAsia" w:eastAsia="方正仿宋_GBK"/>
          <w:lang w:eastAsia="zh-CN"/>
        </w:rPr>
      </w:pP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）住房保障支出</w:t>
      </w:r>
      <w:r>
        <w:rPr>
          <w:rFonts w:hint="eastAsia" w:ascii="方正仿宋_GBK" w:hAnsi="宋体" w:eastAsia="方正仿宋_GBK" w:cs="宋体"/>
          <w:kern w:val="0"/>
          <w:sz w:val="32"/>
          <w:szCs w:val="32"/>
          <w:lang w:val="en-US" w:eastAsia="zh-CN"/>
        </w:rPr>
        <w:t>2.14</w:t>
      </w:r>
      <w:r>
        <w:rPr>
          <w:rFonts w:ascii="方正仿宋_GBK" w:hAnsi="宋体" w:eastAsia="方正仿宋_GBK" w:cs="宋体"/>
          <w:kern w:val="0"/>
          <w:sz w:val="32"/>
          <w:szCs w:val="32"/>
        </w:rPr>
        <w:t>万元，占4.8%，较年初预算数增加</w:t>
      </w:r>
      <w:r>
        <w:rPr>
          <w:rFonts w:hint="eastAsia" w:ascii="方正仿宋_GBK" w:hAnsi="宋体" w:eastAsia="方正仿宋_GBK" w:cs="宋体"/>
          <w:kern w:val="0"/>
          <w:sz w:val="32"/>
          <w:szCs w:val="32"/>
          <w:lang w:val="en-US" w:eastAsia="zh-CN"/>
        </w:rPr>
        <w:t>0.64</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lang w:val="en-US" w:eastAsia="zh-CN"/>
        </w:rPr>
        <w:t>42.67</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w:t>
      </w:r>
    </w:p>
    <w:p>
      <w:pPr>
        <w:spacing w:line="600" w:lineRule="exact"/>
        <w:ind w:firstLine="643" w:firstLineChars="200"/>
        <w:rPr>
          <w:rFonts w:ascii="方正仿宋_GBK" w:hAnsi="宋体" w:eastAsia="方正仿宋_GBK" w:cs="宋体"/>
          <w:b/>
          <w:kern w:val="0"/>
          <w:sz w:val="32"/>
          <w:szCs w:val="32"/>
        </w:rPr>
      </w:pPr>
      <w:r>
        <w:rPr>
          <w:rFonts w:ascii="方正仿宋_GBK" w:hAnsi="宋体" w:eastAsia="方正仿宋_GBK" w:cs="宋体"/>
          <w:b/>
          <w:kern w:val="0"/>
          <w:sz w:val="32"/>
          <w:szCs w:val="32"/>
        </w:rPr>
        <w:t>（四）一般公共预算财政拨款基本支出决算情况说明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2022年度一般公共预算财政拨款基本支出</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万元。其中：人员经费</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万元，较上年决算数增加</w:t>
      </w:r>
      <w:r>
        <w:rPr>
          <w:rFonts w:hint="eastAsia" w:ascii="方正仿宋_GBK" w:hAnsi="宋体" w:eastAsia="方正仿宋_GBK" w:cs="宋体"/>
          <w:kern w:val="0"/>
          <w:sz w:val="32"/>
          <w:szCs w:val="32"/>
          <w:lang w:val="en-US" w:eastAsia="zh-CN"/>
        </w:rPr>
        <w:t>38.28</w:t>
      </w:r>
      <w:r>
        <w:rPr>
          <w:rFonts w:ascii="方正仿宋_GBK" w:hAnsi="宋体" w:eastAsia="方正仿宋_GBK" w:cs="宋体"/>
          <w:kern w:val="0"/>
          <w:sz w:val="32"/>
          <w:szCs w:val="32"/>
        </w:rPr>
        <w:t>万元，增长</w:t>
      </w:r>
      <w:r>
        <w:rPr>
          <w:rFonts w:hint="eastAsia" w:ascii="方正仿宋_GBK" w:hAnsi="宋体" w:eastAsia="方正仿宋_GBK" w:cs="宋体"/>
          <w:kern w:val="0"/>
          <w:sz w:val="32"/>
          <w:szCs w:val="32"/>
        </w:rPr>
        <w:t>100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 xml:space="preserve"> 2021年本单位纳入云阳县</w:t>
      </w:r>
      <w:r>
        <w:rPr>
          <w:rFonts w:hint="eastAsia" w:ascii="方正仿宋_GBK" w:hAnsi="宋体" w:eastAsia="方正仿宋_GBK" w:cs="宋体"/>
          <w:kern w:val="0"/>
          <w:sz w:val="32"/>
          <w:szCs w:val="32"/>
          <w:lang w:eastAsia="zh-CN"/>
        </w:rPr>
        <w:t>大阳</w:t>
      </w:r>
      <w:r>
        <w:rPr>
          <w:rFonts w:hint="eastAsia" w:ascii="方正仿宋_GBK" w:hAnsi="宋体" w:eastAsia="方正仿宋_GBK" w:cs="宋体"/>
          <w:kern w:val="0"/>
          <w:sz w:val="32"/>
          <w:szCs w:val="32"/>
        </w:rPr>
        <w:t>镇人民政府集中决算，未单独列决算，2022年新增为决算单位，上年决算数为0.00万元</w:t>
      </w:r>
      <w:r>
        <w:rPr>
          <w:rFonts w:ascii="方正仿宋_GBK" w:hAnsi="宋体" w:eastAsia="方正仿宋_GBK" w:cs="宋体"/>
          <w:kern w:val="0"/>
          <w:sz w:val="32"/>
          <w:szCs w:val="32"/>
        </w:rPr>
        <w:t>。公用经费</w:t>
      </w:r>
      <w:r>
        <w:rPr>
          <w:rFonts w:hint="eastAsia" w:ascii="方正仿宋_GBK" w:hAnsi="宋体" w:eastAsia="方正仿宋_GBK" w:cs="宋体"/>
          <w:kern w:val="0"/>
          <w:sz w:val="32"/>
          <w:szCs w:val="32"/>
          <w:lang w:val="en-US" w:eastAsia="zh-CN"/>
        </w:rPr>
        <w:t>0.00</w:t>
      </w:r>
      <w:r>
        <w:rPr>
          <w:rFonts w:ascii="方正仿宋_GBK" w:hAnsi="宋体" w:eastAsia="方正仿宋_GBK" w:cs="宋体"/>
          <w:kern w:val="0"/>
          <w:sz w:val="32"/>
          <w:szCs w:val="32"/>
        </w:rPr>
        <w:t>万元，较上年决算数增加0.</w:t>
      </w:r>
      <w:r>
        <w:rPr>
          <w:rFonts w:hint="eastAsia" w:ascii="方正仿宋_GBK" w:hAnsi="宋体" w:eastAsia="方正仿宋_GBK" w:cs="宋体"/>
          <w:kern w:val="0"/>
          <w:sz w:val="32"/>
          <w:szCs w:val="32"/>
          <w:lang w:val="en-US" w:eastAsia="zh-CN"/>
        </w:rPr>
        <w:t>0</w:t>
      </w:r>
      <w:r>
        <w:rPr>
          <w:rFonts w:ascii="方正仿宋_GBK" w:hAnsi="宋体" w:eastAsia="方正仿宋_GBK" w:cs="宋体"/>
          <w:kern w:val="0"/>
          <w:sz w:val="32"/>
          <w:szCs w:val="32"/>
        </w:rPr>
        <w:t>0万元，增长</w:t>
      </w:r>
      <w:r>
        <w:rPr>
          <w:rFonts w:hint="eastAsia" w:ascii="方正仿宋_GBK" w:hAnsi="宋体" w:eastAsia="方正仿宋_GBK" w:cs="宋体"/>
          <w:kern w:val="0"/>
          <w:sz w:val="32"/>
          <w:szCs w:val="32"/>
          <w:lang w:val="en-US" w:eastAsia="zh-CN"/>
        </w:rPr>
        <w:t>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未使用相关经费</w:t>
      </w:r>
      <w:r>
        <w:rPr>
          <w:rFonts w:ascii="方正仿宋_GBK" w:hAnsi="宋体" w:eastAsia="方正仿宋_GBK" w:cs="宋体"/>
          <w:kern w:val="0"/>
          <w:sz w:val="32"/>
          <w:szCs w:val="32"/>
        </w:rPr>
        <w:t>。公用经费用途主要包括</w:t>
      </w:r>
      <w:r>
        <w:rPr>
          <w:rFonts w:hint="eastAsia" w:ascii="方正仿宋_GBK" w:hAnsi="宋体" w:eastAsia="方正仿宋_GBK" w:cs="宋体"/>
          <w:kern w:val="0"/>
          <w:sz w:val="32"/>
          <w:szCs w:val="32"/>
        </w:rPr>
        <w:t>福利费、工会经费等</w:t>
      </w:r>
      <w:r>
        <w:rPr>
          <w:rFonts w:ascii="方正仿宋_GBK" w:hAnsi="宋体" w:eastAsia="方正仿宋_GBK" w:cs="宋体"/>
          <w:kern w:val="0"/>
          <w:sz w:val="32"/>
          <w:szCs w:val="32"/>
        </w:rPr>
        <w:t>。</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（五）政府性基金预算收支决算情况说明。</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本部门2022年度无政府性基金预算财政拨款收支</w:t>
      </w:r>
      <w:r>
        <w:rPr>
          <w:rFonts w:ascii="方正仿宋_GBK" w:hAnsi="宋体" w:eastAsia="方正仿宋_GBK" w:cs="宋体"/>
          <w:b/>
          <w:kern w:val="0"/>
          <w:sz w:val="32"/>
          <w:szCs w:val="32"/>
        </w:rPr>
        <w:t>。</w:t>
      </w:r>
    </w:p>
    <w:p>
      <w:pPr>
        <w:spacing w:line="600" w:lineRule="exact"/>
        <w:ind w:firstLine="640" w:firstLineChars="200"/>
        <w:rPr>
          <w:rFonts w:ascii="方正仿宋_GBK" w:hAnsi="宋体" w:eastAsia="方正仿宋_GBK" w:cs="宋体"/>
          <w:b w:val="0"/>
          <w:bCs/>
          <w:kern w:val="0"/>
          <w:sz w:val="32"/>
          <w:szCs w:val="32"/>
        </w:rPr>
      </w:pPr>
      <w:r>
        <w:rPr>
          <w:rFonts w:ascii="方正仿宋_GBK" w:hAnsi="宋体" w:eastAsia="方正仿宋_GBK" w:cs="宋体"/>
          <w:b w:val="0"/>
          <w:bCs/>
          <w:kern w:val="0"/>
          <w:sz w:val="32"/>
          <w:szCs w:val="32"/>
        </w:rPr>
        <w:t>（六）国有资本经营预算财政拨款支出决算情况说明。</w:t>
      </w:r>
    </w:p>
    <w:p>
      <w:pPr>
        <w:spacing w:line="600" w:lineRule="exact"/>
        <w:ind w:firstLine="640" w:firstLineChars="200"/>
        <w:rPr>
          <w:rFonts w:hint="eastAsia" w:ascii="方正仿宋_GBK" w:hAnsi="宋体" w:eastAsia="方正仿宋_GBK" w:cs="宋体"/>
          <w:kern w:val="0"/>
          <w:sz w:val="32"/>
          <w:szCs w:val="32"/>
        </w:rPr>
      </w:pPr>
      <w:r>
        <w:rPr>
          <w:rFonts w:ascii="方正仿宋_GBK" w:hAnsi="宋体" w:eastAsia="方正仿宋_GBK" w:cs="宋体"/>
          <w:kern w:val="0"/>
          <w:sz w:val="32"/>
          <w:szCs w:val="32"/>
        </w:rPr>
        <w:t>本部门2022年度无国有资本经营预算财政拨款支出。</w:t>
      </w:r>
    </w:p>
    <w:p>
      <w:pPr>
        <w:spacing w:line="600" w:lineRule="exact"/>
        <w:ind w:firstLine="640" w:firstLineChars="200"/>
        <w:rPr>
          <w:rFonts w:eastAsia="方正仿宋_GBK"/>
          <w:sz w:val="32"/>
          <w:szCs w:val="32"/>
        </w:rPr>
      </w:pPr>
    </w:p>
    <w:p>
      <w:pPr>
        <w:spacing w:line="600" w:lineRule="exact"/>
        <w:ind w:firstLine="643" w:firstLineChars="200"/>
        <w:rPr>
          <w:rFonts w:ascii="宋体" w:hAnsi="宋体"/>
          <w:sz w:val="30"/>
          <w:szCs w:val="30"/>
        </w:rPr>
      </w:pPr>
      <w:r>
        <w:rPr>
          <w:rFonts w:hint="eastAsia" w:ascii="方正黑体_GBK" w:eastAsia="方正黑体_GBK"/>
          <w:b/>
          <w:bCs/>
          <w:sz w:val="32"/>
          <w:szCs w:val="32"/>
        </w:rPr>
        <w:t>三、“三公”经费情况说明</w:t>
      </w:r>
      <w:r>
        <w:rPr>
          <w:rFonts w:hint="eastAsia" w:ascii="方正黑体_GBK" w:eastAsia="方正黑体_GBK"/>
          <w:sz w:val="32"/>
          <w:szCs w:val="32"/>
        </w:rPr>
        <w:t xml:space="preserve"> </w:t>
      </w:r>
    </w:p>
    <w:p>
      <w:pPr>
        <w:spacing w:line="620" w:lineRule="exact"/>
        <w:ind w:firstLine="640" w:firstLineChars="200"/>
        <w:rPr>
          <w:rFonts w:ascii="方正仿宋_GBK" w:eastAsia="方正仿宋_GBK" w:cs="宋体"/>
          <w:kern w:val="0"/>
          <w:sz w:val="32"/>
          <w:szCs w:val="32"/>
        </w:rPr>
      </w:pPr>
      <w:r>
        <w:rPr>
          <w:rFonts w:hint="eastAsia" w:ascii="方正楷体_GBK" w:hAnsi="宋体" w:eastAsia="方正楷体_GBK" w:cs="宋体"/>
          <w:kern w:val="0"/>
          <w:sz w:val="32"/>
          <w:szCs w:val="32"/>
        </w:rPr>
        <w:t>（一）“三公”经费支出总体情况说明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按照决算列报口径，本单位2022年新增为决算单位，“三公”经费由政府机关本级进行核算，本单位不核算“三公”经费。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3" w:firstLineChars="200"/>
        <w:rPr>
          <w:rFonts w:ascii="方正黑体_GBK" w:eastAsia="方正黑体_GBK"/>
          <w:b/>
          <w:bCs/>
          <w:sz w:val="32"/>
          <w:szCs w:val="32"/>
        </w:rPr>
      </w:pPr>
      <w:r>
        <w:rPr>
          <w:rFonts w:hint="eastAsia" w:ascii="方正黑体_GBK" w:eastAsia="方正黑体_GBK"/>
          <w:b/>
          <w:bCs/>
          <w:sz w:val="32"/>
          <w:szCs w:val="32"/>
        </w:rPr>
        <w:t>四、其他需要说明的事项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（一）财政拨款会议费和培训费情况说明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本单位2022年无会议费和培训费支出。</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（二）机关运行经费支出情况说明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按照部门决算列报口径，我单位不在机关运行经费统计范围之内。</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（三）国有资产占用情况说明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截至2022年12月31日，本部门共有车辆0辆。单价100万元（含）以上设备（不含车辆）0台。</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（四）政府采购支出情况说明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2022年度我单位未发生政府采购事项，无相关经费支出。</w:t>
      </w:r>
    </w:p>
    <w:p>
      <w:pPr>
        <w:spacing w:line="620" w:lineRule="exact"/>
        <w:ind w:firstLine="643" w:firstLineChars="200"/>
        <w:rPr>
          <w:rFonts w:ascii="方正仿宋_GBK" w:hAnsi="宋体" w:eastAsia="方正仿宋_GBK" w:cs="宋体"/>
          <w:b/>
          <w:bCs/>
          <w:kern w:val="0"/>
          <w:sz w:val="32"/>
          <w:szCs w:val="32"/>
        </w:rPr>
      </w:pPr>
      <w:r>
        <w:rPr>
          <w:rFonts w:hint="eastAsia" w:ascii="方正黑体_GBK" w:hAnsi="宋体" w:eastAsia="方正黑体_GBK" w:cs="宋体"/>
          <w:b/>
          <w:bCs/>
          <w:kern w:val="0"/>
          <w:sz w:val="32"/>
          <w:szCs w:val="32"/>
        </w:rPr>
        <w:t>五、预算绩效管理情况说明</w:t>
      </w:r>
    </w:p>
    <w:p>
      <w:pPr>
        <w:pStyle w:val="16"/>
        <w:spacing w:line="62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（一）预算绩效管理工作开展情况</w:t>
      </w:r>
    </w:p>
    <w:p>
      <w:pPr>
        <w:pStyle w:val="16"/>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根据预算绩效管理要求，本单位项目支出基本属于人员经费支出，不进行项目预算绩效管理。</w:t>
      </w:r>
    </w:p>
    <w:p>
      <w:pPr>
        <w:pStyle w:val="16"/>
        <w:spacing w:line="620" w:lineRule="exact"/>
        <w:ind w:firstLine="640"/>
        <w:rPr>
          <w:rFonts w:eastAsia="方正楷体_GBK"/>
          <w:color w:val="333333"/>
          <w:sz w:val="32"/>
          <w:szCs w:val="32"/>
        </w:rPr>
      </w:pPr>
      <w:r>
        <w:rPr>
          <w:rFonts w:hint="eastAsia" w:ascii="方正楷体_GBK" w:eastAsia="方正楷体_GBK"/>
          <w:color w:val="333333"/>
          <w:sz w:val="32"/>
          <w:szCs w:val="32"/>
        </w:rPr>
        <w:t>（二）绩效自评结果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1.绩效目标自评表 </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2.绩效自评报告或案例</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（三）重点绩效评价结果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kern w:val="0"/>
          <w:sz w:val="32"/>
          <w:szCs w:val="32"/>
        </w:rPr>
      </w:pPr>
      <w:r>
        <w:rPr>
          <w:rFonts w:hint="eastAsia" w:ascii="方正黑体_GBK" w:eastAsia="方正黑体_GBK"/>
          <w:sz w:val="32"/>
          <w:szCs w:val="32"/>
        </w:rPr>
        <w:t>六、专业名词解释</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（一）财政拨款收入：指本年度从本级财政部门取得的财政拨款，包括一般公共预算财政拨款和政府性基金预算财政拨款。</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（二）事业收入：指事业单位开展专业业务活动及其辅助活动取得的现金流入；事业单位收到的财政专户实际核拨的教育收费等资金在此反映。</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（三）经营收入：指事业单位在专业业务活动及其辅助活动之外开展非独立核算经营活动取得的现金流入。</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（六）年初结转和结余：指单位上年结转本年使用的基本支出结转、项目支出结转和结余、经营结余。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（七）结余分配：指单位按照国家有关规定，缴纳所得税、提取专用基金、转入非财政拨款结余等当年结余的分配情况。</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（八）年末结转和结余：指单位结转下年的基本支出结转、项目支出结转和结余、经营结余。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（十）项目支出：指在基本支出之外为完成特定行政任务和事业发展目标所发生的支出。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（十一）经营支出：指事业单位在专业业务活动及其辅助活动之外开展非独立核算经营活动发生的支出。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（十四）工资福利支出（支出经济分类科目类级）：反映单位开支的在职职工和编制外长期聘用人员的各类劳动报酬，以及为上述人员缴纳的各项社会保险费等。</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（十五）商品和服务支出（支出经济分类科目类级）：反映单位购买商品和服务的支出（不包括用于购置固定资产的支出、战略性和应急储备支出）。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（十六）对个人和家庭的补助（支出经济分类科目类级）：反映用于对个人和家庭的补助支出。</w:t>
      </w:r>
    </w:p>
    <w:p>
      <w:pPr>
        <w:spacing w:line="600" w:lineRule="exact"/>
        <w:ind w:firstLine="640" w:firstLineChars="200"/>
        <w:rPr>
          <w:rFonts w:eastAsia="方正楷体_GBK"/>
          <w:color w:val="333333"/>
          <w:sz w:val="32"/>
          <w:szCs w:val="32"/>
        </w:rPr>
      </w:pPr>
      <w:r>
        <w:rPr>
          <w:rFonts w:hint="eastAsia" w:ascii="方正仿宋_GBK" w:hAnsi="宋体" w:eastAsia="方正仿宋_GBK" w:cs="宋体"/>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bookmarkStart w:id="0" w:name="_GoBack"/>
      <w:bookmarkEnd w:id="0"/>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七、决算公开联系方式</w:t>
      </w:r>
    </w:p>
    <w:p>
      <w:pPr>
        <w:pStyle w:val="16"/>
        <w:tabs>
          <w:tab w:val="center" w:pos="4153"/>
          <w:tab w:val="left" w:pos="7275"/>
        </w:tabs>
        <w:spacing w:line="600" w:lineRule="exact"/>
        <w:ind w:firstLine="640"/>
        <w:rPr>
          <w:rFonts w:ascii="方正仿宋_GBK" w:eastAsia="方正仿宋_GBK"/>
          <w:sz w:val="32"/>
          <w:szCs w:val="32"/>
        </w:rPr>
      </w:pPr>
      <w:r>
        <w:rPr>
          <w:rFonts w:hint="eastAsia" w:ascii="方正仿宋_GBK" w:eastAsia="方正仿宋_GBK"/>
          <w:sz w:val="32"/>
          <w:szCs w:val="32"/>
        </w:rPr>
        <w:t>单位应提供能有效沟通的联系方式或渠道，便于公众咨询和反馈信息。</w:t>
      </w:r>
    </w:p>
    <w:p>
      <w:pPr>
        <w:ind w:firstLine="643" w:firstLineChars="200"/>
        <w:rPr>
          <w:rFonts w:eastAsia="方正仿宋_GBK" w:cs="仿宋_GB2312"/>
          <w:b/>
          <w:sz w:val="32"/>
        </w:rPr>
      </w:pPr>
      <w:r>
        <w:rPr>
          <w:rFonts w:hint="eastAsia" w:eastAsia="方正仿宋_GBK" w:cs="仿宋_GB2312"/>
          <w:b/>
          <w:sz w:val="32"/>
        </w:rPr>
        <w:t>单位预算公开联系人：</w:t>
      </w:r>
      <w:r>
        <w:rPr>
          <w:rFonts w:hint="eastAsia" w:eastAsia="方正仿宋_GBK" w:cs="仿宋_GB2312"/>
          <w:b/>
          <w:sz w:val="32"/>
          <w:lang w:eastAsia="zh-CN"/>
        </w:rPr>
        <w:t>陈思竹</w:t>
      </w:r>
      <w:r>
        <w:rPr>
          <w:rFonts w:hint="eastAsia" w:eastAsia="方正仿宋_GBK" w:cs="仿宋_GB2312"/>
          <w:b/>
          <w:sz w:val="32"/>
        </w:rPr>
        <w:t xml:space="preserve">  </w:t>
      </w:r>
    </w:p>
    <w:p>
      <w:pPr>
        <w:spacing w:line="578" w:lineRule="exact"/>
        <w:ind w:firstLine="643" w:firstLineChars="200"/>
        <w:rPr>
          <w:rFonts w:hint="default" w:ascii="方正仿宋_GBK" w:eastAsia="方正仿宋_GBK"/>
          <w:sz w:val="32"/>
          <w:szCs w:val="32"/>
          <w:lang w:val="en-US" w:eastAsia="zh-CN"/>
        </w:rPr>
      </w:pPr>
      <w:r>
        <w:rPr>
          <w:rFonts w:hint="eastAsia" w:eastAsia="方正仿宋_GBK" w:cs="仿宋_GB2312"/>
          <w:b/>
          <w:sz w:val="32"/>
        </w:rPr>
        <w:t>联系方式：023-</w:t>
      </w:r>
      <w:r>
        <w:rPr>
          <w:rFonts w:hint="eastAsia" w:eastAsia="方正仿宋_GBK" w:cs="仿宋_GB2312"/>
          <w:b/>
          <w:sz w:val="32"/>
          <w:lang w:val="en-US" w:eastAsia="zh-CN"/>
        </w:rPr>
        <w:t>55759001</w:t>
      </w: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9 -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8 -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lOTIxODFjZTc5MjU4MTNjNDQ4ZmZhOGE2MTQ0OWQifQ=="/>
  </w:docVars>
  <w:rsids>
    <w:rsidRoot w:val="00607E12"/>
    <w:rsid w:val="00001D33"/>
    <w:rsid w:val="000028C9"/>
    <w:rsid w:val="000155FC"/>
    <w:rsid w:val="0001708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1A6A"/>
    <w:rsid w:val="00073F65"/>
    <w:rsid w:val="000842FF"/>
    <w:rsid w:val="0009096F"/>
    <w:rsid w:val="000A2CFA"/>
    <w:rsid w:val="000B27F1"/>
    <w:rsid w:val="000B3E51"/>
    <w:rsid w:val="000C15A3"/>
    <w:rsid w:val="000C7FE9"/>
    <w:rsid w:val="000D5121"/>
    <w:rsid w:val="000D70FA"/>
    <w:rsid w:val="000E0C9E"/>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0DD"/>
    <w:rsid w:val="00191922"/>
    <w:rsid w:val="00195A41"/>
    <w:rsid w:val="00196B3B"/>
    <w:rsid w:val="001A167F"/>
    <w:rsid w:val="001B4EBF"/>
    <w:rsid w:val="001C5B49"/>
    <w:rsid w:val="001D1F56"/>
    <w:rsid w:val="001D2188"/>
    <w:rsid w:val="001D2D97"/>
    <w:rsid w:val="001D39FC"/>
    <w:rsid w:val="001D469D"/>
    <w:rsid w:val="001D53A5"/>
    <w:rsid w:val="001E4338"/>
    <w:rsid w:val="001E5901"/>
    <w:rsid w:val="001E7EE7"/>
    <w:rsid w:val="001F35D7"/>
    <w:rsid w:val="001F6342"/>
    <w:rsid w:val="001F69D5"/>
    <w:rsid w:val="00203926"/>
    <w:rsid w:val="00206DF8"/>
    <w:rsid w:val="002074F7"/>
    <w:rsid w:val="002101FA"/>
    <w:rsid w:val="00213778"/>
    <w:rsid w:val="002148AC"/>
    <w:rsid w:val="00222B01"/>
    <w:rsid w:val="002247FE"/>
    <w:rsid w:val="00224B1E"/>
    <w:rsid w:val="0023226D"/>
    <w:rsid w:val="002326A4"/>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B8D"/>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1856"/>
    <w:rsid w:val="003961FF"/>
    <w:rsid w:val="00397B03"/>
    <w:rsid w:val="003B21E3"/>
    <w:rsid w:val="003B27FF"/>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1558"/>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2796"/>
    <w:rsid w:val="00565117"/>
    <w:rsid w:val="0056679B"/>
    <w:rsid w:val="00573EC4"/>
    <w:rsid w:val="00583859"/>
    <w:rsid w:val="005901AA"/>
    <w:rsid w:val="005911E1"/>
    <w:rsid w:val="005A3116"/>
    <w:rsid w:val="005A5CCA"/>
    <w:rsid w:val="005A5FCF"/>
    <w:rsid w:val="005B100F"/>
    <w:rsid w:val="005B2D5D"/>
    <w:rsid w:val="005C38B2"/>
    <w:rsid w:val="005D1C46"/>
    <w:rsid w:val="005D2489"/>
    <w:rsid w:val="005D4003"/>
    <w:rsid w:val="005D4080"/>
    <w:rsid w:val="005D470C"/>
    <w:rsid w:val="005E1109"/>
    <w:rsid w:val="005E6EE3"/>
    <w:rsid w:val="005F0FF8"/>
    <w:rsid w:val="005F757D"/>
    <w:rsid w:val="00600C8F"/>
    <w:rsid w:val="00601553"/>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2EA0"/>
    <w:rsid w:val="007254E0"/>
    <w:rsid w:val="007278AE"/>
    <w:rsid w:val="00730852"/>
    <w:rsid w:val="007308D1"/>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66840"/>
    <w:rsid w:val="00872593"/>
    <w:rsid w:val="008846E9"/>
    <w:rsid w:val="00890399"/>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504"/>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4E56"/>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0CB5"/>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A7917"/>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15AB0"/>
    <w:rsid w:val="00D20046"/>
    <w:rsid w:val="00D21A4A"/>
    <w:rsid w:val="00D22F1C"/>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4836"/>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5DF7"/>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C7A21"/>
    <w:rsid w:val="00FD5C48"/>
    <w:rsid w:val="00FD6A34"/>
    <w:rsid w:val="00FE24BC"/>
    <w:rsid w:val="00FE3A24"/>
    <w:rsid w:val="00FF02D5"/>
    <w:rsid w:val="05C1448E"/>
    <w:rsid w:val="07A34544"/>
    <w:rsid w:val="09823D8A"/>
    <w:rsid w:val="0A212893"/>
    <w:rsid w:val="0C994F52"/>
    <w:rsid w:val="0F5D6174"/>
    <w:rsid w:val="1016071E"/>
    <w:rsid w:val="10680E79"/>
    <w:rsid w:val="12EA2F1A"/>
    <w:rsid w:val="1A7919B9"/>
    <w:rsid w:val="1C515D85"/>
    <w:rsid w:val="1CCA6151"/>
    <w:rsid w:val="1D437979"/>
    <w:rsid w:val="1D4708B1"/>
    <w:rsid w:val="1EF96BEA"/>
    <w:rsid w:val="20C07FC8"/>
    <w:rsid w:val="24BD2ED0"/>
    <w:rsid w:val="25930AA6"/>
    <w:rsid w:val="25FF1317"/>
    <w:rsid w:val="26176BD2"/>
    <w:rsid w:val="26487E8F"/>
    <w:rsid w:val="2BC73FBA"/>
    <w:rsid w:val="2C715093"/>
    <w:rsid w:val="2C9D0F61"/>
    <w:rsid w:val="31D038C6"/>
    <w:rsid w:val="34CB7AA2"/>
    <w:rsid w:val="35521A2B"/>
    <w:rsid w:val="355E472E"/>
    <w:rsid w:val="35EA737B"/>
    <w:rsid w:val="37075120"/>
    <w:rsid w:val="38BD3900"/>
    <w:rsid w:val="3B0A6EB4"/>
    <w:rsid w:val="3B307A72"/>
    <w:rsid w:val="3C1860E9"/>
    <w:rsid w:val="3C265FAB"/>
    <w:rsid w:val="3E7869D9"/>
    <w:rsid w:val="42E8144C"/>
    <w:rsid w:val="48C3403D"/>
    <w:rsid w:val="498D6EB3"/>
    <w:rsid w:val="4E4C4964"/>
    <w:rsid w:val="4E9D44D9"/>
    <w:rsid w:val="4EA937E1"/>
    <w:rsid w:val="52E5462F"/>
    <w:rsid w:val="53BD0CC2"/>
    <w:rsid w:val="55CD6DBF"/>
    <w:rsid w:val="5611565E"/>
    <w:rsid w:val="565A5E3A"/>
    <w:rsid w:val="584366A5"/>
    <w:rsid w:val="5BEA616D"/>
    <w:rsid w:val="5CB40679"/>
    <w:rsid w:val="61D16983"/>
    <w:rsid w:val="6AB167E6"/>
    <w:rsid w:val="6E904287"/>
    <w:rsid w:val="70C87CAA"/>
    <w:rsid w:val="72C81D24"/>
    <w:rsid w:val="733B0745"/>
    <w:rsid w:val="73772C48"/>
    <w:rsid w:val="740F2AC3"/>
    <w:rsid w:val="742A559B"/>
    <w:rsid w:val="745909D3"/>
    <w:rsid w:val="764519E3"/>
    <w:rsid w:val="77513E87"/>
    <w:rsid w:val="7A640644"/>
    <w:rsid w:val="7AC53F39"/>
    <w:rsid w:val="7AD1285B"/>
    <w:rsid w:val="7F7D4793"/>
    <w:rsid w:val="7FDA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3723</Words>
  <Characters>4061</Characters>
  <Lines>29</Lines>
  <Paragraphs>8</Paragraphs>
  <TotalTime>0</TotalTime>
  <ScaleCrop>false</ScaleCrop>
  <LinksUpToDate>false</LinksUpToDate>
  <CharactersWithSpaces>4077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Administrator</cp:lastModifiedBy>
  <cp:lastPrinted>2021-09-17T07:39:00Z</cp:lastPrinted>
  <dcterms:modified xsi:type="dcterms:W3CDTF">2023-12-01T01:49:58Z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332330D6CB5C4C378C902E1071CF4FDD_12</vt:lpwstr>
  </property>
</Properties>
</file>