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ascii="方正小标宋_GBK" w:eastAsia="方正小标宋_GBK"/>
          <w:sz w:val="44"/>
          <w:szCs w:val="44"/>
        </w:rPr>
      </w:pPr>
      <w:r>
        <w:rPr>
          <w:rFonts w:hint="eastAsia" w:ascii="方正小标宋_GBK" w:eastAsia="方正小标宋_GBK"/>
          <w:sz w:val="44"/>
          <w:szCs w:val="44"/>
        </w:rPr>
        <w:t xml:space="preserve">      云阳县</w:t>
      </w:r>
      <w:r>
        <w:rPr>
          <w:rFonts w:hint="eastAsia" w:ascii="方正小标宋_GBK" w:eastAsia="方正小标宋_GBK"/>
          <w:sz w:val="44"/>
          <w:szCs w:val="44"/>
          <w:lang w:eastAsia="zh-CN"/>
        </w:rPr>
        <w:t>大阳</w:t>
      </w:r>
      <w:r>
        <w:rPr>
          <w:rFonts w:hint="eastAsia" w:ascii="方正小标宋_GBK" w:eastAsia="方正小标宋_GBK"/>
          <w:sz w:val="44"/>
          <w:szCs w:val="44"/>
        </w:rPr>
        <w:t>镇综合行政执法大队</w:t>
      </w:r>
    </w:p>
    <w:p>
      <w:pPr>
        <w:spacing w:line="720" w:lineRule="exact"/>
        <w:ind w:firstLine="1100" w:firstLineChars="250"/>
        <w:rPr>
          <w:rFonts w:ascii="方正小标宋_GBK" w:eastAsia="方正小标宋_GBK"/>
          <w:sz w:val="44"/>
          <w:szCs w:val="44"/>
        </w:rPr>
      </w:pPr>
      <w:r>
        <w:rPr>
          <w:rFonts w:hint="eastAsia" w:eastAsia="方正小标宋_GBK"/>
          <w:sz w:val="44"/>
          <w:szCs w:val="44"/>
        </w:rPr>
        <w:t xml:space="preserve"> </w:t>
      </w:r>
      <w:r>
        <w:rPr>
          <w:rFonts w:eastAsia="方正小标宋_GBK"/>
          <w:sz w:val="44"/>
          <w:szCs w:val="44"/>
        </w:rPr>
        <w:t>2022</w:t>
      </w:r>
      <w:r>
        <w:rPr>
          <w:rFonts w:hint="eastAsia" w:ascii="方正小标宋_GBK" w:eastAsia="方正小标宋_GBK"/>
          <w:sz w:val="44"/>
          <w:szCs w:val="44"/>
        </w:rPr>
        <w:t>年度县级部门决算公开说明</w:t>
      </w:r>
    </w:p>
    <w:p>
      <w:pPr>
        <w:spacing w:line="600" w:lineRule="exact"/>
        <w:ind w:firstLine="880" w:firstLineChars="200"/>
        <w:rPr>
          <w:rFonts w:ascii="方正仿宋简体" w:hAnsi="华文中宋" w:eastAsia="方正仿宋简体"/>
          <w:b/>
          <w:sz w:val="44"/>
          <w:szCs w:val="44"/>
        </w:rPr>
      </w:pPr>
    </w:p>
    <w:p>
      <w:pPr>
        <w:pStyle w:val="16"/>
        <w:keepNext w:val="0"/>
        <w:keepLines w:val="0"/>
        <w:pageBreakBefore w:val="0"/>
        <w:tabs>
          <w:tab w:val="center" w:pos="4153"/>
          <w:tab w:val="left" w:pos="7275"/>
        </w:tabs>
        <w:kinsoku/>
        <w:wordWrap/>
        <w:overflowPunct/>
        <w:topLinePunct w:val="0"/>
        <w:autoSpaceDE/>
        <w:autoSpaceDN/>
        <w:bidi w:val="0"/>
        <w:adjustRightInd/>
        <w:snapToGrid/>
        <w:spacing w:afterAutospacing="0" w:line="578" w:lineRule="exact"/>
        <w:ind w:firstLine="640"/>
        <w:textAlignment w:val="auto"/>
        <w:rPr>
          <w:rFonts w:ascii="方正黑体_GBK" w:eastAsia="方正黑体_GBK"/>
          <w:b/>
          <w:bCs/>
          <w:sz w:val="32"/>
          <w:szCs w:val="32"/>
        </w:rPr>
      </w:pPr>
      <w:r>
        <w:rPr>
          <w:rFonts w:hint="eastAsia" w:ascii="方正黑体_GBK" w:eastAsia="方正黑体_GBK"/>
          <w:b/>
          <w:bCs/>
          <w:sz w:val="32"/>
          <w:szCs w:val="32"/>
        </w:rPr>
        <w:t>一、单位基本情况</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eastAsia="方正仿宋_GBK"/>
          <w:sz w:val="32"/>
        </w:rPr>
      </w:pPr>
      <w:r>
        <w:rPr>
          <w:rFonts w:hint="eastAsia" w:ascii="方正楷体_GBK" w:hAnsi="方正楷体_GBK" w:eastAsia="方正楷体_GBK" w:cs="方正楷体_GBK"/>
          <w:sz w:val="32"/>
        </w:rPr>
        <w:t>（一）职能职责</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1.负责统一承担辖区范围内综合行政执法工作，依法接受委托集中行使农林水利、规划建设、环境保护、卫生计生、文化旅游、民政管理、道路交通等领域的执法权。</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2.负责加强与县级执法部门的联系，配合县级执法部门开展联合执法、专项执法等工作。</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3.负责推进行政执法信息化建设，加强综合行政执法队伍建设。</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（二）机构设置</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本单位为云阳县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镇人民政府下属单位，无独立的机构设置。</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（三）单位构成</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本单位为云阳县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镇人民政府下属单位，无单位构成。</w:t>
      </w:r>
    </w:p>
    <w:p>
      <w:pPr>
        <w:keepNext w:val="0"/>
        <w:keepLines w:val="0"/>
        <w:pageBreakBefore w:val="0"/>
        <w:kinsoku/>
        <w:wordWrap/>
        <w:overflowPunct/>
        <w:topLinePunct w:val="0"/>
        <w:autoSpaceDE/>
        <w:autoSpaceDN/>
        <w:bidi w:val="0"/>
        <w:adjustRightInd/>
        <w:snapToGrid/>
        <w:spacing w:afterAutospacing="0" w:line="578" w:lineRule="exact"/>
        <w:ind w:firstLine="643" w:firstLineChars="200"/>
        <w:textAlignment w:val="auto"/>
        <w:rPr>
          <w:rFonts w:ascii="方正仿宋_GBK" w:hAnsi="宋体" w:eastAsia="方正仿宋_GBK" w:cs="宋体"/>
          <w:b/>
          <w:bCs/>
          <w:kern w:val="0"/>
          <w:sz w:val="32"/>
          <w:szCs w:val="32"/>
        </w:rPr>
      </w:pPr>
      <w:r>
        <w:rPr>
          <w:rFonts w:hint="eastAsia" w:ascii="方正黑体_GBK" w:eastAsia="方正黑体_GBK"/>
          <w:b/>
          <w:bCs/>
          <w:sz w:val="32"/>
          <w:szCs w:val="32"/>
        </w:rPr>
        <w:t>二、部门决算情况说明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left"/>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（一）收入支出决算总体情况说明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left"/>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总体情况。2022年度收入总计61.97万元，支出总计61.97万元。收支较上年决算数增加61.97万元,增长100%，主要原因是2021年本单位纳入云阳县大阳镇人民政府集中决算，未单独列决算，2022年新增为决算单位，上年决算数为0.00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left"/>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收入情况。2022年度收入合计61.97万元，较上年决算数增加61.97万元，增长100%，主要原因是2021年本单位纳入云阳县大阳镇人民政府集中决算，未单独列决算，2022年新增为决算单位，上年决算数为0.00万元。其中：财政拨款收入61.97万元，占100%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left"/>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支出情况。2022年度支出合计61.97万元，较上年决算增加61.97万元，增长100%，主要原因是2021年本单位纳入云阳县大阳镇人民政府集中决算，未单独列决算，2022年新增为决算单位，上年决算数为0.00万元。其中：基本支出59.87万元，占100%；</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4.结转结余情况。2022年度年末结转和结余0.00万元，较上年决算数增加0.00万元，增长0%，主要原因是本单位不涉及结转结余。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jc w:val="left"/>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（二）财政拨款收入支出决算总体情况说明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财政拨款收、支总计61.97万元。与2021年相比，财政拨款收、支总计各增加61.97万元，增长100%。主要原因是2021年本单位纳入云阳县大阳镇人民政府集中决算，未单独列决算，2022年新增为决算单位，上年决算数为0.00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jc w:val="left"/>
        <w:textAlignment w:val="auto"/>
        <w:rPr>
          <w:rFonts w:hint="eastAsia" w:ascii="方正仿宋_GBK" w:hAnsi="宋体" w:eastAsia="方正仿宋_GBK" w:cs="宋体"/>
          <w:kern w:val="0"/>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jc w:val="left"/>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（三）一般公共预算财政拨款收入支出决算情况说明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收入情况。2022年度一般公共预算财政拨款收入61.97万元，较上年决算数增加61.97万元，增长100%。主要原因是2021年本单位纳入云阳县大阳镇人民政府集中决算，未单独列决算，2022年新增为决算单位，上年决算数为0.00万元。较年初预算数增加2.46万元，增长4.13%。主要原因是我单位人员晋级等。此外，年初财政拨款结转和结余0.00万元。</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支出情况。2022年度一般公共预算财政拨款支出61.97万元，较上年决算数增加61.97万元，增长100%。主要原因是2021年本单位纳入云阳县大阳镇人民政府集中决算，未单独列决算，2022年新增为决算单位，上年决算数为0.00万元。较年初预算数增加2.46万元，增长4.13%。主要原因是我单位人员晋级等。</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3.结转结余情况。2022年度年末一般公共预算财政拨款结转和结余0.00万元，较上年决算数增加0.00万元，增长0%，主要原因是本单位不涉及结转结余。</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4.比较情况。本部门2022年度一般公共预算财政拨款支出主要用于以下几个方面：</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（1）一般公共服务支出51.48万元，占83.07%，较年初预算数增加4.09万元，增长4.5%，主要原因是我单位人员晋升，社保调标。</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（2）社会保障与就业支出4.34万元，占9.7%，较年初预算数减少1.65万元，下降27.55%，主要原因是我单位人员晋升，社保调标。</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（3）卫生健康支出2.86万元，占4.62%，较年初预算数减少0.28万元，下降8.92%，主要原因是我单位人员晋升，社保调标。</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（4）住房保障支出3.3万元，占5.33%，较年初预算数增加0.3万元，增长9.1%。</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（四）一般公共预算财政拨款基本支出决算情况说明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一般公共预算财政拨款基本支出61.97万元。其中：人员经费61.75万元，较上年决算数增加61.75万元，增长100%，主要原因是2021年本单位纳入云阳县大阳镇人民政府集中决算，未单独列决算，2022年新增为决算单位，上年决算数为0.00万元。人员经费用途主要包括工资福利等。公用经费0.22万元，较上年决算数减少0.61万元，下降73.49%，主要原因是部分公用经费未及时报账。公用经费用途主要包括福利费、工会经费等。</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仿宋_GBK" w:hAnsi="宋体" w:eastAsia="方正仿宋_GBK" w:cs="宋体"/>
          <w:b/>
          <w:kern w:val="0"/>
          <w:sz w:val="32"/>
          <w:szCs w:val="32"/>
        </w:rPr>
      </w:pPr>
      <w:r>
        <w:rPr>
          <w:rFonts w:ascii="方正仿宋_GBK" w:hAnsi="宋体" w:eastAsia="方正仿宋_GBK" w:cs="宋体"/>
          <w:kern w:val="0"/>
          <w:sz w:val="32"/>
          <w:szCs w:val="32"/>
        </w:rPr>
        <w:t>（五）政府性基金预算收支决算情况说明。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仿宋_GBK" w:hAnsi="宋体" w:eastAsia="方正仿宋_GBK" w:cs="宋体"/>
          <w:b/>
          <w:kern w:val="0"/>
          <w:sz w:val="32"/>
          <w:szCs w:val="32"/>
        </w:rPr>
      </w:pPr>
      <w:r>
        <w:rPr>
          <w:rFonts w:ascii="方正仿宋_GBK" w:hAnsi="宋体" w:eastAsia="方正仿宋_GBK" w:cs="宋体"/>
          <w:kern w:val="0"/>
          <w:sz w:val="32"/>
          <w:szCs w:val="32"/>
        </w:rPr>
        <w:t>本部门2022年度无政府性基金预算财政拨款收支</w:t>
      </w:r>
      <w:r>
        <w:rPr>
          <w:rFonts w:ascii="方正仿宋_GBK" w:hAnsi="宋体" w:eastAsia="方正仿宋_GBK" w:cs="宋体"/>
          <w:b/>
          <w:kern w:val="0"/>
          <w:sz w:val="32"/>
          <w:szCs w:val="32"/>
        </w:rPr>
        <w:t>。</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仿宋_GBK" w:hAnsi="宋体" w:eastAsia="方正仿宋_GBK" w:cs="宋体"/>
          <w:b w:val="0"/>
          <w:bCs/>
          <w:kern w:val="0"/>
          <w:sz w:val="32"/>
          <w:szCs w:val="32"/>
        </w:rPr>
      </w:pPr>
      <w:r>
        <w:rPr>
          <w:rFonts w:ascii="方正仿宋_GBK" w:hAnsi="宋体" w:eastAsia="方正仿宋_GBK" w:cs="宋体"/>
          <w:b w:val="0"/>
          <w:bCs/>
          <w:kern w:val="0"/>
          <w:sz w:val="32"/>
          <w:szCs w:val="32"/>
        </w:rPr>
        <w:t>（六）国有资本经营预算财政拨款支出决算情况说明。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eastAsia="方正仿宋_GBK"/>
          <w:sz w:val="32"/>
          <w:szCs w:val="32"/>
        </w:rPr>
      </w:pPr>
      <w:r>
        <w:rPr>
          <w:rFonts w:ascii="方正仿宋_GBK" w:hAnsi="宋体" w:eastAsia="方正仿宋_GBK" w:cs="宋体"/>
          <w:kern w:val="0"/>
          <w:sz w:val="32"/>
          <w:szCs w:val="32"/>
        </w:rPr>
        <w:t>本部门2022年度无国有资本经营预算财政拨款支出。</w:t>
      </w:r>
    </w:p>
    <w:p>
      <w:pPr>
        <w:keepNext w:val="0"/>
        <w:keepLines w:val="0"/>
        <w:pageBreakBefore w:val="0"/>
        <w:kinsoku/>
        <w:wordWrap/>
        <w:overflowPunct/>
        <w:topLinePunct w:val="0"/>
        <w:autoSpaceDE/>
        <w:autoSpaceDN/>
        <w:bidi w:val="0"/>
        <w:adjustRightInd/>
        <w:snapToGrid/>
        <w:spacing w:afterAutospacing="0" w:line="578" w:lineRule="exact"/>
        <w:ind w:firstLine="643" w:firstLineChars="200"/>
        <w:textAlignment w:val="auto"/>
        <w:rPr>
          <w:rFonts w:ascii="宋体" w:hAnsi="宋体"/>
          <w:b/>
          <w:bCs/>
          <w:sz w:val="30"/>
          <w:szCs w:val="30"/>
        </w:rPr>
      </w:pPr>
      <w:r>
        <w:rPr>
          <w:rFonts w:hint="eastAsia" w:ascii="方正黑体_GBK" w:eastAsia="方正黑体_GBK"/>
          <w:b/>
          <w:bCs/>
          <w:sz w:val="32"/>
          <w:szCs w:val="32"/>
        </w:rPr>
        <w:t xml:space="preserve">三、“三公”经费情况说明 </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仿宋_GBK" w:eastAsia="方正仿宋_GBK" w:cs="宋体"/>
          <w:kern w:val="0"/>
          <w:sz w:val="32"/>
          <w:szCs w:val="32"/>
        </w:rPr>
      </w:pPr>
      <w:r>
        <w:rPr>
          <w:rFonts w:hint="eastAsia" w:ascii="方正楷体_GBK" w:hAnsi="宋体" w:eastAsia="方正楷体_GBK" w:cs="宋体"/>
          <w:kern w:val="0"/>
          <w:sz w:val="32"/>
          <w:szCs w:val="32"/>
        </w:rPr>
        <w:t>（一）“三公”经费支出总体情况说明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仿宋_GBK" w:eastAsia="方正仿宋_GBK" w:cs="宋体"/>
          <w:kern w:val="0"/>
          <w:sz w:val="32"/>
          <w:szCs w:val="32"/>
        </w:rPr>
      </w:pPr>
      <w:r>
        <w:rPr>
          <w:rFonts w:hint="eastAsia" w:ascii="方正仿宋_GBK" w:eastAsia="方正仿宋_GBK" w:cs="宋体"/>
          <w:kern w:val="0"/>
          <w:sz w:val="32"/>
          <w:szCs w:val="32"/>
        </w:rPr>
        <w:t>按照决算列报口径，本单位2022年新增为决算单位，“三公”经费由政府机关本级进行核算，本单位不核算“三公”经费。</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（二）“三公”经费分项支出情况。</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eastAsia="方正仿宋_GBK" w:cs="宋体"/>
          <w:kern w:val="0"/>
          <w:sz w:val="32"/>
          <w:szCs w:val="32"/>
        </w:rPr>
      </w:pP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w:t>
      </w:r>
      <w:r>
        <w:rPr>
          <w:rFonts w:hint="eastAsia" w:eastAsia="方正仿宋_GBK" w:cs="宋体"/>
          <w:kern w:val="0"/>
          <w:sz w:val="32"/>
          <w:szCs w:val="32"/>
        </w:rPr>
        <w:t>核算</w:t>
      </w:r>
      <w:r>
        <w:rPr>
          <w:rFonts w:eastAsia="方正仿宋_GBK" w:cs="宋体"/>
          <w:kern w:val="0"/>
          <w:sz w:val="32"/>
          <w:szCs w:val="32"/>
        </w:rPr>
        <w:t>统计范围之内</w:t>
      </w:r>
      <w:r>
        <w:rPr>
          <w:rFonts w:hint="eastAsia" w:eastAsia="方正仿宋_GBK" w:cs="宋体"/>
          <w:kern w:val="0"/>
          <w:sz w:val="32"/>
          <w:szCs w:val="32"/>
        </w:rPr>
        <w:t>。</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（三）“三公”经费实物量情况</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eastAsia="方正仿宋_GBK" w:cs="宋体"/>
          <w:kern w:val="0"/>
          <w:sz w:val="32"/>
          <w:szCs w:val="32"/>
        </w:rPr>
      </w:pP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w:t>
      </w:r>
      <w:r>
        <w:rPr>
          <w:rFonts w:hint="eastAsia" w:eastAsia="方正仿宋_GBK" w:cs="宋体"/>
          <w:kern w:val="0"/>
          <w:sz w:val="32"/>
          <w:szCs w:val="32"/>
        </w:rPr>
        <w:t>核算</w:t>
      </w:r>
      <w:r>
        <w:rPr>
          <w:rFonts w:eastAsia="方正仿宋_GBK" w:cs="宋体"/>
          <w:kern w:val="0"/>
          <w:sz w:val="32"/>
          <w:szCs w:val="32"/>
        </w:rPr>
        <w:t>统计范围之内</w:t>
      </w:r>
      <w:r>
        <w:rPr>
          <w:rFonts w:hint="eastAsia" w:eastAsia="方正仿宋_GBK" w:cs="宋体"/>
          <w:kern w:val="0"/>
          <w:sz w:val="32"/>
          <w:szCs w:val="32"/>
        </w:rPr>
        <w:t>。</w:t>
      </w:r>
    </w:p>
    <w:p>
      <w:pPr>
        <w:keepNext w:val="0"/>
        <w:keepLines w:val="0"/>
        <w:pageBreakBefore w:val="0"/>
        <w:kinsoku/>
        <w:wordWrap/>
        <w:overflowPunct/>
        <w:topLinePunct w:val="0"/>
        <w:autoSpaceDE/>
        <w:autoSpaceDN/>
        <w:bidi w:val="0"/>
        <w:adjustRightInd/>
        <w:snapToGrid/>
        <w:spacing w:afterAutospacing="0" w:line="578" w:lineRule="exact"/>
        <w:ind w:firstLine="643" w:firstLineChars="200"/>
        <w:textAlignment w:val="auto"/>
        <w:rPr>
          <w:rFonts w:ascii="方正黑体_GBK" w:eastAsia="方正黑体_GBK"/>
          <w:b/>
          <w:bCs/>
          <w:sz w:val="32"/>
          <w:szCs w:val="32"/>
        </w:rPr>
      </w:pPr>
      <w:r>
        <w:rPr>
          <w:rFonts w:hint="eastAsia" w:ascii="方正黑体_GBK" w:eastAsia="方正黑体_GBK"/>
          <w:b/>
          <w:bCs/>
          <w:sz w:val="32"/>
          <w:szCs w:val="32"/>
        </w:rPr>
        <w:t>四、其他需要说明的事项</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（一）财政拨款会议费和培训费情况说明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eastAsia="方正仿宋_GBK" w:cs="宋体"/>
          <w:kern w:val="0"/>
          <w:sz w:val="32"/>
          <w:szCs w:val="32"/>
        </w:rPr>
      </w:pPr>
      <w:r>
        <w:rPr>
          <w:rFonts w:hint="eastAsia" w:eastAsia="方正仿宋_GBK" w:cs="宋体"/>
          <w:kern w:val="0"/>
          <w:sz w:val="32"/>
          <w:szCs w:val="32"/>
        </w:rPr>
        <w:t>本单位2022年无会议费和培训费支出。</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（二）机关运行经费支出情况说明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eastAsia="方正仿宋_GBK" w:cs="宋体"/>
          <w:kern w:val="0"/>
          <w:sz w:val="32"/>
          <w:szCs w:val="32"/>
        </w:rPr>
      </w:pPr>
      <w:r>
        <w:rPr>
          <w:rFonts w:hint="eastAsia" w:eastAsia="方正仿宋_GBK" w:cs="宋体"/>
          <w:kern w:val="0"/>
          <w:sz w:val="32"/>
          <w:szCs w:val="32"/>
        </w:rPr>
        <w:t>按照部门决算列报口径，我单位不在机关运行经费统计范围之内。</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（三）国有资产占用情况说明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eastAsia="方正仿宋_GBK" w:cs="宋体"/>
          <w:kern w:val="0"/>
          <w:sz w:val="32"/>
          <w:szCs w:val="32"/>
        </w:rPr>
      </w:pPr>
      <w:r>
        <w:rPr>
          <w:rFonts w:hint="eastAsia" w:eastAsia="方正仿宋_GBK" w:cs="宋体"/>
          <w:kern w:val="0"/>
          <w:sz w:val="32"/>
          <w:szCs w:val="32"/>
        </w:rPr>
        <w:t>截至2022年12月31日，本部门共有车辆0辆。单价100万元（含）以上设备（不含车辆）0台。</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楷体_GBK" w:hAnsi="宋体" w:eastAsia="方正楷体_GBK" w:cs="宋体"/>
          <w:kern w:val="0"/>
          <w:sz w:val="32"/>
          <w:szCs w:val="32"/>
        </w:rPr>
      </w:pPr>
      <w:r>
        <w:rPr>
          <w:rFonts w:hint="eastAsia" w:ascii="方正楷体_GBK" w:hAnsi="宋体" w:eastAsia="方正楷体_GBK" w:cs="宋体"/>
          <w:kern w:val="0"/>
          <w:sz w:val="32"/>
          <w:szCs w:val="32"/>
        </w:rPr>
        <w:t>（四）政府采购支出情况说明</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仿宋_GBK" w:eastAsia="方正仿宋_GBK" w:cs="宋体"/>
          <w:kern w:val="0"/>
          <w:sz w:val="32"/>
          <w:szCs w:val="32"/>
        </w:rPr>
      </w:pPr>
      <w:r>
        <w:rPr>
          <w:rFonts w:hint="eastAsia" w:ascii="方正仿宋_GBK" w:eastAsia="方正仿宋_GBK" w:cs="宋体"/>
          <w:kern w:val="0"/>
          <w:sz w:val="32"/>
          <w:szCs w:val="32"/>
        </w:rPr>
        <w:t>2022年度我单位未发生政府采购事项，无相关经费支出。</w:t>
      </w:r>
    </w:p>
    <w:p>
      <w:pPr>
        <w:keepNext w:val="0"/>
        <w:keepLines w:val="0"/>
        <w:pageBreakBefore w:val="0"/>
        <w:kinsoku/>
        <w:wordWrap/>
        <w:overflowPunct/>
        <w:topLinePunct w:val="0"/>
        <w:autoSpaceDE/>
        <w:autoSpaceDN/>
        <w:bidi w:val="0"/>
        <w:adjustRightInd/>
        <w:snapToGrid/>
        <w:spacing w:afterAutospacing="0" w:line="578" w:lineRule="exact"/>
        <w:ind w:firstLine="643" w:firstLineChars="200"/>
        <w:textAlignment w:val="auto"/>
        <w:rPr>
          <w:rFonts w:ascii="方正仿宋_GBK" w:hAnsi="宋体" w:eastAsia="方正仿宋_GBK" w:cs="宋体"/>
          <w:b/>
          <w:bCs/>
          <w:kern w:val="0"/>
          <w:sz w:val="32"/>
          <w:szCs w:val="32"/>
        </w:rPr>
      </w:pPr>
      <w:r>
        <w:rPr>
          <w:rFonts w:hint="eastAsia" w:ascii="方正黑体_GBK" w:hAnsi="宋体" w:eastAsia="方正黑体_GBK" w:cs="宋体"/>
          <w:b/>
          <w:bCs/>
          <w:kern w:val="0"/>
          <w:sz w:val="32"/>
          <w:szCs w:val="32"/>
        </w:rPr>
        <w:t>五、预算绩效管理情况说明</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ascii="方正楷体_GBK" w:eastAsia="方正楷体_GBK"/>
          <w:color w:val="333333"/>
          <w:sz w:val="32"/>
          <w:szCs w:val="32"/>
        </w:rPr>
      </w:pPr>
      <w:r>
        <w:rPr>
          <w:rFonts w:hint="eastAsia" w:ascii="方正楷体_GBK" w:eastAsia="方正楷体_GBK"/>
          <w:color w:val="333333"/>
          <w:sz w:val="32"/>
          <w:szCs w:val="32"/>
        </w:rPr>
        <w:t>（一）预算绩效管理工作开展情况</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根据预算绩效管理要求，本单位项目支出基本属于人员经费支出，不进行项目预算绩效管理。</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eastAsia="方正楷体_GBK"/>
          <w:color w:val="333333"/>
          <w:sz w:val="32"/>
          <w:szCs w:val="32"/>
        </w:rPr>
      </w:pPr>
      <w:r>
        <w:rPr>
          <w:rFonts w:hint="eastAsia" w:ascii="方正楷体_GBK" w:eastAsia="方正楷体_GBK"/>
          <w:color w:val="333333"/>
          <w:sz w:val="32"/>
          <w:szCs w:val="32"/>
        </w:rPr>
        <w:t>（二）绩效自评结果</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1.绩效目标自评表 </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2.绩效自评报告或案例</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ascii="方正楷体_GBK" w:eastAsia="方正楷体_GBK"/>
          <w:color w:val="333333"/>
          <w:sz w:val="32"/>
          <w:szCs w:val="32"/>
        </w:rPr>
      </w:pPr>
      <w:r>
        <w:rPr>
          <w:rFonts w:hint="eastAsia" w:ascii="方正楷体_GBK" w:eastAsia="方正楷体_GBK"/>
          <w:color w:val="333333"/>
          <w:sz w:val="32"/>
          <w:szCs w:val="32"/>
        </w:rPr>
        <w:t>（三）重点绩效评价结果</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keepNext w:val="0"/>
        <w:keepLines w:val="0"/>
        <w:pageBreakBefore w:val="0"/>
        <w:kinsoku/>
        <w:wordWrap/>
        <w:overflowPunct/>
        <w:topLinePunct w:val="0"/>
        <w:autoSpaceDE/>
        <w:autoSpaceDN/>
        <w:bidi w:val="0"/>
        <w:adjustRightInd/>
        <w:snapToGrid/>
        <w:spacing w:afterAutospacing="0" w:line="578" w:lineRule="exact"/>
        <w:ind w:firstLine="640"/>
        <w:textAlignment w:val="auto"/>
        <w:rPr>
          <w:rFonts w:ascii="方正仿宋_GBK" w:hAnsi="宋体" w:eastAsia="方正仿宋_GBK" w:cs="宋体"/>
          <w:b/>
          <w:bCs/>
          <w:kern w:val="0"/>
          <w:sz w:val="32"/>
          <w:szCs w:val="32"/>
        </w:rPr>
      </w:pPr>
      <w:r>
        <w:rPr>
          <w:rFonts w:hint="eastAsia" w:ascii="方正黑体_GBK" w:eastAsia="方正黑体_GBK"/>
          <w:b/>
          <w:bCs/>
          <w:sz w:val="32"/>
          <w:szCs w:val="32"/>
        </w:rPr>
        <w:t>六、专业名词解释</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（一）财政拨款收入：指本年度从本级财政部门取得的财政拨款，包括一般公共预算财政拨款和政府性基金预算财政拨款。</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（三）经营收入：指事业单位在专业业务活动及其辅助活动之外开展非独立核算经营活动取得的现金流入。</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（六）年初结转和结余：指单位上年结转本年使用的基本支出结转、项目支出结转和结余、经营结余。</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（七）结余分配：指单位按照国家有关规定，缴纳所得税、提取专用基金、转入非财政拨款结余等当年结余的分配情况。</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（八）年末结转和结余：指单位结转下年的基本支出结转、项目支出结转和结余、经营结余。</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（十）项目支出：指在基本支出之外为完成特定行政任务和事业发展目标所发生的支出。</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（十一）经营支出：指事业单位在专业业务活动及其辅助活动之外开展非独立核算经营活动发生的支出。</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shd w:val="clear" w:color="auto" w:fill="FFFFFF"/>
        <w:kinsoku/>
        <w:wordWrap/>
        <w:overflowPunct/>
        <w:topLinePunct w:val="0"/>
        <w:autoSpaceDE/>
        <w:autoSpaceDN/>
        <w:bidi w:val="0"/>
        <w:adjustRightInd/>
        <w:snapToGrid/>
        <w:spacing w:afterAutospacing="0" w:line="578" w:lineRule="exact"/>
        <w:ind w:firstLine="635"/>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eastAsia="方正楷体_GBK"/>
          <w:color w:val="333333"/>
          <w:sz w:val="32"/>
          <w:szCs w:val="32"/>
        </w:rPr>
      </w:pPr>
      <w:r>
        <w:rPr>
          <w:rFonts w:hint="eastAsia" w:ascii="方正仿宋_GBK" w:hAnsi="宋体" w:eastAsia="方正仿宋_GBK" w:cs="宋体"/>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6"/>
        <w:keepNext w:val="0"/>
        <w:keepLines w:val="0"/>
        <w:pageBreakBefore w:val="0"/>
        <w:tabs>
          <w:tab w:val="center" w:pos="4153"/>
          <w:tab w:val="left" w:pos="7275"/>
        </w:tabs>
        <w:kinsoku/>
        <w:wordWrap/>
        <w:overflowPunct/>
        <w:topLinePunct w:val="0"/>
        <w:autoSpaceDE/>
        <w:autoSpaceDN/>
        <w:bidi w:val="0"/>
        <w:adjustRightInd/>
        <w:snapToGrid/>
        <w:spacing w:afterAutospacing="0" w:line="578" w:lineRule="exact"/>
        <w:ind w:firstLine="640"/>
        <w:textAlignment w:val="auto"/>
        <w:rPr>
          <w:rFonts w:eastAsia="方正楷体_GBK"/>
          <w:color w:val="333333"/>
          <w:sz w:val="32"/>
          <w:szCs w:val="32"/>
        </w:rPr>
      </w:pPr>
    </w:p>
    <w:p>
      <w:pPr>
        <w:pStyle w:val="16"/>
        <w:keepNext w:val="0"/>
        <w:keepLines w:val="0"/>
        <w:pageBreakBefore w:val="0"/>
        <w:tabs>
          <w:tab w:val="center" w:pos="4153"/>
          <w:tab w:val="left" w:pos="7275"/>
        </w:tabs>
        <w:kinsoku/>
        <w:wordWrap/>
        <w:overflowPunct/>
        <w:topLinePunct w:val="0"/>
        <w:autoSpaceDE/>
        <w:autoSpaceDN/>
        <w:bidi w:val="0"/>
        <w:adjustRightInd/>
        <w:snapToGrid/>
        <w:spacing w:afterAutospacing="0" w:line="578" w:lineRule="exact"/>
        <w:ind w:firstLine="640"/>
        <w:textAlignment w:val="auto"/>
        <w:rPr>
          <w:rFonts w:ascii="方正黑体_GBK" w:eastAsia="方正黑体_GBK"/>
          <w:b/>
          <w:bCs/>
          <w:sz w:val="32"/>
          <w:szCs w:val="32"/>
        </w:rPr>
      </w:pPr>
      <w:r>
        <w:rPr>
          <w:rFonts w:hint="eastAsia" w:ascii="方正黑体_GBK" w:eastAsia="方正黑体_GBK"/>
          <w:b/>
          <w:bCs/>
          <w:sz w:val="32"/>
          <w:szCs w:val="32"/>
        </w:rPr>
        <w:t>七、决算公开联系方式</w:t>
      </w:r>
      <w:bookmarkStart w:id="0" w:name="_GoBack"/>
      <w:bookmarkEnd w:id="0"/>
    </w:p>
    <w:p>
      <w:pPr>
        <w:pStyle w:val="16"/>
        <w:keepNext w:val="0"/>
        <w:keepLines w:val="0"/>
        <w:pageBreakBefore w:val="0"/>
        <w:tabs>
          <w:tab w:val="center" w:pos="4153"/>
          <w:tab w:val="left" w:pos="7275"/>
        </w:tabs>
        <w:kinsoku/>
        <w:wordWrap/>
        <w:overflowPunct/>
        <w:topLinePunct w:val="0"/>
        <w:autoSpaceDE/>
        <w:autoSpaceDN/>
        <w:bidi w:val="0"/>
        <w:adjustRightInd/>
        <w:snapToGrid/>
        <w:spacing w:afterAutospacing="0" w:line="578" w:lineRule="exact"/>
        <w:ind w:firstLine="640"/>
        <w:textAlignment w:val="auto"/>
        <w:rPr>
          <w:rFonts w:ascii="方正仿宋_GBK" w:eastAsia="方正仿宋_GBK"/>
          <w:sz w:val="32"/>
          <w:szCs w:val="32"/>
        </w:rPr>
      </w:pPr>
      <w:r>
        <w:rPr>
          <w:rFonts w:hint="eastAsia" w:ascii="方正仿宋_GBK" w:eastAsia="方正仿宋_GBK"/>
          <w:sz w:val="32"/>
          <w:szCs w:val="32"/>
        </w:rPr>
        <w:t>单位应提供能有效沟通的联系方式或渠道，便于公众咨询和反馈信息。</w:t>
      </w:r>
    </w:p>
    <w:p>
      <w:pPr>
        <w:keepNext w:val="0"/>
        <w:keepLines w:val="0"/>
        <w:pageBreakBefore w:val="0"/>
        <w:kinsoku/>
        <w:wordWrap/>
        <w:overflowPunct/>
        <w:topLinePunct w:val="0"/>
        <w:autoSpaceDE/>
        <w:autoSpaceDN/>
        <w:bidi w:val="0"/>
        <w:adjustRightInd/>
        <w:snapToGrid/>
        <w:spacing w:afterAutospacing="0" w:line="578" w:lineRule="exact"/>
        <w:ind w:firstLine="643" w:firstLineChars="200"/>
        <w:textAlignment w:val="auto"/>
        <w:rPr>
          <w:rFonts w:eastAsia="方正仿宋_GBK" w:cs="仿宋_GB2312"/>
          <w:b/>
          <w:sz w:val="32"/>
        </w:rPr>
      </w:pPr>
      <w:r>
        <w:rPr>
          <w:rFonts w:hint="eastAsia" w:eastAsia="方正仿宋_GBK" w:cs="仿宋_GB2312"/>
          <w:b/>
          <w:sz w:val="32"/>
        </w:rPr>
        <w:t>单位预算公开联系人：</w:t>
      </w:r>
      <w:r>
        <w:rPr>
          <w:rFonts w:hint="eastAsia" w:eastAsia="方正仿宋_GBK" w:cs="仿宋_GB2312"/>
          <w:b/>
          <w:sz w:val="32"/>
          <w:lang w:eastAsia="zh-CN"/>
        </w:rPr>
        <w:t>陈思竹</w:t>
      </w:r>
      <w:r>
        <w:rPr>
          <w:rFonts w:hint="eastAsia" w:eastAsia="方正仿宋_GBK" w:cs="仿宋_GB2312"/>
          <w:b/>
          <w:sz w:val="32"/>
        </w:rPr>
        <w:t xml:space="preserve">  </w:t>
      </w:r>
    </w:p>
    <w:p>
      <w:pPr>
        <w:keepNext w:val="0"/>
        <w:keepLines w:val="0"/>
        <w:pageBreakBefore w:val="0"/>
        <w:kinsoku/>
        <w:wordWrap/>
        <w:overflowPunct/>
        <w:topLinePunct w:val="0"/>
        <w:autoSpaceDE/>
        <w:autoSpaceDN/>
        <w:bidi w:val="0"/>
        <w:adjustRightInd/>
        <w:snapToGrid/>
        <w:spacing w:afterAutospacing="0" w:line="578" w:lineRule="exact"/>
        <w:ind w:firstLine="643" w:firstLineChars="200"/>
        <w:textAlignment w:val="auto"/>
        <w:rPr>
          <w:rFonts w:hint="default" w:ascii="方正仿宋_GBK" w:eastAsia="方正仿宋_GBK"/>
          <w:sz w:val="32"/>
          <w:szCs w:val="32"/>
          <w:lang w:val="en-US" w:eastAsia="zh-CN"/>
        </w:rPr>
      </w:pPr>
      <w:r>
        <w:rPr>
          <w:rFonts w:hint="eastAsia" w:eastAsia="方正仿宋_GBK" w:cs="仿宋_GB2312"/>
          <w:b/>
          <w:sz w:val="32"/>
        </w:rPr>
        <w:t>联系方式：023-557</w:t>
      </w:r>
      <w:r>
        <w:rPr>
          <w:rFonts w:hint="eastAsia" w:eastAsia="方正仿宋_GBK" w:cs="仿宋_GB2312"/>
          <w:b/>
          <w:sz w:val="32"/>
          <w:lang w:val="en-US" w:eastAsia="zh-CN"/>
        </w:rPr>
        <w:t>59001</w:t>
      </w:r>
    </w:p>
    <w:p>
      <w:pPr>
        <w:keepNext w:val="0"/>
        <w:keepLines w:val="0"/>
        <w:pageBreakBefore w:val="0"/>
        <w:kinsoku/>
        <w:wordWrap/>
        <w:overflowPunct/>
        <w:topLinePunct w:val="0"/>
        <w:autoSpaceDE/>
        <w:autoSpaceDN/>
        <w:bidi w:val="0"/>
        <w:adjustRightInd/>
        <w:snapToGrid/>
        <w:spacing w:afterAutospacing="0" w:line="578" w:lineRule="exact"/>
        <w:ind w:firstLine="640" w:firstLineChars="200"/>
        <w:textAlignment w:val="auto"/>
        <w:rPr>
          <w:rFonts w:ascii="方正仿宋_GBK" w:eastAsia="方正仿宋_GBK"/>
          <w:sz w:val="32"/>
          <w:szCs w:val="32"/>
        </w:rPr>
      </w:pP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3 -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4 -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lOTIxODFjZTc5MjU4MTNjNDQ4ZmZhOGE2MTQ0OWQ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1A6A"/>
    <w:rsid w:val="00073F65"/>
    <w:rsid w:val="000842FF"/>
    <w:rsid w:val="0009096F"/>
    <w:rsid w:val="00096454"/>
    <w:rsid w:val="000A2CFA"/>
    <w:rsid w:val="000B27F1"/>
    <w:rsid w:val="000B3E51"/>
    <w:rsid w:val="000C15A3"/>
    <w:rsid w:val="000C7FE9"/>
    <w:rsid w:val="000D5121"/>
    <w:rsid w:val="000D70FA"/>
    <w:rsid w:val="000E0C9E"/>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0DD"/>
    <w:rsid w:val="00191922"/>
    <w:rsid w:val="00196B3B"/>
    <w:rsid w:val="001B4EBF"/>
    <w:rsid w:val="001C5B49"/>
    <w:rsid w:val="001D1F56"/>
    <w:rsid w:val="001D2188"/>
    <w:rsid w:val="001D2D97"/>
    <w:rsid w:val="001D39FC"/>
    <w:rsid w:val="001D469D"/>
    <w:rsid w:val="001D53A5"/>
    <w:rsid w:val="001E4338"/>
    <w:rsid w:val="001E5901"/>
    <w:rsid w:val="001E7EE7"/>
    <w:rsid w:val="001F35D7"/>
    <w:rsid w:val="001F6342"/>
    <w:rsid w:val="001F69D5"/>
    <w:rsid w:val="00203926"/>
    <w:rsid w:val="00206DF8"/>
    <w:rsid w:val="002074F7"/>
    <w:rsid w:val="002101FA"/>
    <w:rsid w:val="00213778"/>
    <w:rsid w:val="002148AC"/>
    <w:rsid w:val="00222B01"/>
    <w:rsid w:val="002247FE"/>
    <w:rsid w:val="00224B1E"/>
    <w:rsid w:val="0023226D"/>
    <w:rsid w:val="002326A4"/>
    <w:rsid w:val="00235D7F"/>
    <w:rsid w:val="00242193"/>
    <w:rsid w:val="00251D58"/>
    <w:rsid w:val="00252306"/>
    <w:rsid w:val="00262C07"/>
    <w:rsid w:val="00271994"/>
    <w:rsid w:val="002726B1"/>
    <w:rsid w:val="0027559D"/>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B8D"/>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735D1"/>
    <w:rsid w:val="003748E1"/>
    <w:rsid w:val="0038006A"/>
    <w:rsid w:val="00391856"/>
    <w:rsid w:val="003961FF"/>
    <w:rsid w:val="00397B03"/>
    <w:rsid w:val="003B21E3"/>
    <w:rsid w:val="003B27FF"/>
    <w:rsid w:val="003B6C43"/>
    <w:rsid w:val="003B742A"/>
    <w:rsid w:val="003C12FB"/>
    <w:rsid w:val="003C40D4"/>
    <w:rsid w:val="003D081C"/>
    <w:rsid w:val="003D0BFF"/>
    <w:rsid w:val="003D6A6B"/>
    <w:rsid w:val="003F481B"/>
    <w:rsid w:val="003F4826"/>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1558"/>
    <w:rsid w:val="004D20FC"/>
    <w:rsid w:val="004E451B"/>
    <w:rsid w:val="004E758F"/>
    <w:rsid w:val="004F0548"/>
    <w:rsid w:val="004F0AE7"/>
    <w:rsid w:val="004F4BAB"/>
    <w:rsid w:val="004F5255"/>
    <w:rsid w:val="00501E64"/>
    <w:rsid w:val="0050428A"/>
    <w:rsid w:val="0050454F"/>
    <w:rsid w:val="00505D0E"/>
    <w:rsid w:val="00526658"/>
    <w:rsid w:val="00533746"/>
    <w:rsid w:val="00536040"/>
    <w:rsid w:val="00546918"/>
    <w:rsid w:val="005507A2"/>
    <w:rsid w:val="00561338"/>
    <w:rsid w:val="00561975"/>
    <w:rsid w:val="00562796"/>
    <w:rsid w:val="00565117"/>
    <w:rsid w:val="0056679B"/>
    <w:rsid w:val="00573EC4"/>
    <w:rsid w:val="00583859"/>
    <w:rsid w:val="005901AA"/>
    <w:rsid w:val="005911E1"/>
    <w:rsid w:val="005A3116"/>
    <w:rsid w:val="005A5CCA"/>
    <w:rsid w:val="005A5FCF"/>
    <w:rsid w:val="005B100F"/>
    <w:rsid w:val="005B2D5D"/>
    <w:rsid w:val="005C38B2"/>
    <w:rsid w:val="005D1C46"/>
    <w:rsid w:val="005D2489"/>
    <w:rsid w:val="005D4003"/>
    <w:rsid w:val="005D4080"/>
    <w:rsid w:val="005D470C"/>
    <w:rsid w:val="005E1109"/>
    <w:rsid w:val="005E6EE3"/>
    <w:rsid w:val="005F0FF8"/>
    <w:rsid w:val="005F757D"/>
    <w:rsid w:val="00600C8F"/>
    <w:rsid w:val="00601553"/>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2EA0"/>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66840"/>
    <w:rsid w:val="00872593"/>
    <w:rsid w:val="008846E9"/>
    <w:rsid w:val="00890399"/>
    <w:rsid w:val="00895F15"/>
    <w:rsid w:val="008A0636"/>
    <w:rsid w:val="008A2A01"/>
    <w:rsid w:val="008A38D6"/>
    <w:rsid w:val="008A3D1E"/>
    <w:rsid w:val="008A43C6"/>
    <w:rsid w:val="008A49F0"/>
    <w:rsid w:val="008B7D00"/>
    <w:rsid w:val="008B7E78"/>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504"/>
    <w:rsid w:val="009C7673"/>
    <w:rsid w:val="009D21EA"/>
    <w:rsid w:val="009E153F"/>
    <w:rsid w:val="009E5778"/>
    <w:rsid w:val="009F0A76"/>
    <w:rsid w:val="009F1C2B"/>
    <w:rsid w:val="009F42A2"/>
    <w:rsid w:val="009F782A"/>
    <w:rsid w:val="009F7F6C"/>
    <w:rsid w:val="00A04BBF"/>
    <w:rsid w:val="00A05764"/>
    <w:rsid w:val="00A05FE8"/>
    <w:rsid w:val="00A075D0"/>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0718"/>
    <w:rsid w:val="00B12E00"/>
    <w:rsid w:val="00B14F8C"/>
    <w:rsid w:val="00B15181"/>
    <w:rsid w:val="00B211A3"/>
    <w:rsid w:val="00B23783"/>
    <w:rsid w:val="00B316BA"/>
    <w:rsid w:val="00B41BE8"/>
    <w:rsid w:val="00B42D0C"/>
    <w:rsid w:val="00B456EF"/>
    <w:rsid w:val="00B463CF"/>
    <w:rsid w:val="00B54FA4"/>
    <w:rsid w:val="00B60D03"/>
    <w:rsid w:val="00B61D77"/>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E6455"/>
    <w:rsid w:val="00CF3987"/>
    <w:rsid w:val="00CF487D"/>
    <w:rsid w:val="00D01565"/>
    <w:rsid w:val="00D02C02"/>
    <w:rsid w:val="00D03E3C"/>
    <w:rsid w:val="00D03EFD"/>
    <w:rsid w:val="00D04855"/>
    <w:rsid w:val="00D06AE0"/>
    <w:rsid w:val="00D06B5C"/>
    <w:rsid w:val="00D1341C"/>
    <w:rsid w:val="00D1398B"/>
    <w:rsid w:val="00D13DA7"/>
    <w:rsid w:val="00D15AB0"/>
    <w:rsid w:val="00D20046"/>
    <w:rsid w:val="00D21A4A"/>
    <w:rsid w:val="00D22F1C"/>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4ECC"/>
    <w:rsid w:val="00DD6BBC"/>
    <w:rsid w:val="00DE0EDD"/>
    <w:rsid w:val="00DE3005"/>
    <w:rsid w:val="00DE735E"/>
    <w:rsid w:val="00DF32B3"/>
    <w:rsid w:val="00DF3B9C"/>
    <w:rsid w:val="00DF5A8E"/>
    <w:rsid w:val="00E115ED"/>
    <w:rsid w:val="00E20FA3"/>
    <w:rsid w:val="00E24893"/>
    <w:rsid w:val="00E260F2"/>
    <w:rsid w:val="00E372E2"/>
    <w:rsid w:val="00E46647"/>
    <w:rsid w:val="00E4699A"/>
    <w:rsid w:val="00E5411A"/>
    <w:rsid w:val="00E54302"/>
    <w:rsid w:val="00E6183C"/>
    <w:rsid w:val="00E64255"/>
    <w:rsid w:val="00E6465D"/>
    <w:rsid w:val="00E6527B"/>
    <w:rsid w:val="00E671E7"/>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5DF7"/>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1073"/>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5C1448E"/>
    <w:rsid w:val="07A34544"/>
    <w:rsid w:val="09823D8A"/>
    <w:rsid w:val="0A212893"/>
    <w:rsid w:val="0BDF6813"/>
    <w:rsid w:val="0C994F52"/>
    <w:rsid w:val="0F5D6174"/>
    <w:rsid w:val="1016071E"/>
    <w:rsid w:val="104F3F68"/>
    <w:rsid w:val="10680E79"/>
    <w:rsid w:val="12EA2F1A"/>
    <w:rsid w:val="1A7919B9"/>
    <w:rsid w:val="1A864A2A"/>
    <w:rsid w:val="1C515D85"/>
    <w:rsid w:val="1CCA6151"/>
    <w:rsid w:val="1CE4429E"/>
    <w:rsid w:val="1D437979"/>
    <w:rsid w:val="1D4708B1"/>
    <w:rsid w:val="1E984B1F"/>
    <w:rsid w:val="1EF96BEA"/>
    <w:rsid w:val="20C07FC8"/>
    <w:rsid w:val="23B512C4"/>
    <w:rsid w:val="24BD2ED0"/>
    <w:rsid w:val="25FF1317"/>
    <w:rsid w:val="26487E8F"/>
    <w:rsid w:val="2BC73FBA"/>
    <w:rsid w:val="2C715093"/>
    <w:rsid w:val="2C9D0F61"/>
    <w:rsid w:val="31D038C6"/>
    <w:rsid w:val="33CD38B1"/>
    <w:rsid w:val="35521A2B"/>
    <w:rsid w:val="355E472E"/>
    <w:rsid w:val="35EA737B"/>
    <w:rsid w:val="38BD3900"/>
    <w:rsid w:val="3B0A6EB4"/>
    <w:rsid w:val="3B307A72"/>
    <w:rsid w:val="3C1860E9"/>
    <w:rsid w:val="3C265FAB"/>
    <w:rsid w:val="3E7869D9"/>
    <w:rsid w:val="40B7508E"/>
    <w:rsid w:val="42E8144C"/>
    <w:rsid w:val="436F1C50"/>
    <w:rsid w:val="48C3403D"/>
    <w:rsid w:val="498D6EB3"/>
    <w:rsid w:val="4CAD4393"/>
    <w:rsid w:val="4E4C4964"/>
    <w:rsid w:val="4E9D44D9"/>
    <w:rsid w:val="52E5462F"/>
    <w:rsid w:val="53BD0CC2"/>
    <w:rsid w:val="53DF072C"/>
    <w:rsid w:val="55CD6DBF"/>
    <w:rsid w:val="5611565E"/>
    <w:rsid w:val="565A5E3A"/>
    <w:rsid w:val="57DE2A03"/>
    <w:rsid w:val="584366A5"/>
    <w:rsid w:val="593606DF"/>
    <w:rsid w:val="5BEA616D"/>
    <w:rsid w:val="5CB40679"/>
    <w:rsid w:val="61D16983"/>
    <w:rsid w:val="63EF49BB"/>
    <w:rsid w:val="644677AA"/>
    <w:rsid w:val="646A49A3"/>
    <w:rsid w:val="6AB167E6"/>
    <w:rsid w:val="6B7D1100"/>
    <w:rsid w:val="6E447EB8"/>
    <w:rsid w:val="6E904287"/>
    <w:rsid w:val="70C87CAA"/>
    <w:rsid w:val="72C81D24"/>
    <w:rsid w:val="733B0745"/>
    <w:rsid w:val="73772C48"/>
    <w:rsid w:val="740F2AC3"/>
    <w:rsid w:val="745909D3"/>
    <w:rsid w:val="75882579"/>
    <w:rsid w:val="764519E3"/>
    <w:rsid w:val="77513E87"/>
    <w:rsid w:val="7A640644"/>
    <w:rsid w:val="7AC53F39"/>
    <w:rsid w:val="7AD1285B"/>
    <w:rsid w:val="7D0C3A90"/>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0">
    <w:name w:val="批注框文本 Char"/>
    <w:link w:val="2"/>
    <w:semiHidden/>
    <w:qFormat/>
    <w:uiPriority w:val="99"/>
    <w:rPr>
      <w:kern w:val="2"/>
      <w:sz w:val="18"/>
      <w:szCs w:val="18"/>
    </w:rPr>
  </w:style>
  <w:style w:type="character" w:customStyle="1" w:styleId="11">
    <w:name w:val="font41"/>
    <w:basedOn w:val="7"/>
    <w:qFormat/>
    <w:uiPriority w:val="0"/>
    <w:rPr>
      <w:rFonts w:hint="default" w:ascii="Times New Roman" w:hAnsi="Times New Roman" w:cs="Times New Roman"/>
      <w:color w:val="000000"/>
      <w:sz w:val="18"/>
      <w:szCs w:val="18"/>
      <w:u w:val="none"/>
    </w:rPr>
  </w:style>
  <w:style w:type="character" w:customStyle="1" w:styleId="12">
    <w:name w:val="页眉 Char"/>
    <w:link w:val="4"/>
    <w:qFormat/>
    <w:uiPriority w:val="99"/>
    <w:rPr>
      <w:sz w:val="18"/>
      <w:szCs w:val="18"/>
    </w:rPr>
  </w:style>
  <w:style w:type="character" w:customStyle="1" w:styleId="13">
    <w:name w:val="页脚 Char"/>
    <w:link w:val="3"/>
    <w:qFormat/>
    <w:uiPriority w:val="99"/>
    <w:rPr>
      <w:sz w:val="18"/>
      <w:szCs w:val="18"/>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21"/>
    <w:basedOn w:val="7"/>
    <w:qFormat/>
    <w:uiPriority w:val="0"/>
    <w:rPr>
      <w:rFonts w:hint="default" w:ascii="Times New Roman" w:hAnsi="Times New Roman" w:cs="Times New Roman"/>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3567</Words>
  <Characters>3907</Characters>
  <Lines>19</Lines>
  <Paragraphs>5</Paragraphs>
  <TotalTime>0</TotalTime>
  <ScaleCrop>false</ScaleCrop>
  <LinksUpToDate>false</LinksUpToDate>
  <CharactersWithSpaces>3918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2023-10-18T09:44:00Z</dcterms:created>
  <dc:creator>微软用户</dc:creator>
  <cp:lastModifiedBy>Administrator</cp:lastModifiedBy>
  <cp:lastPrinted>2023-10-24T04:06:00Z</cp:lastPrinted>
  <dcterms:modified xsi:type="dcterms:W3CDTF">2023-12-01T01:45:45Z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5176D7F4805241CDA2F9DDB83C938AD3_12</vt:lpwstr>
  </property>
</Properties>
</file>