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rPr>
          <w:rFonts w:ascii="方正小标宋_GBK" w:hAnsi="华文中宋" w:eastAsia="方正小标宋_GBK"/>
          <w:sz w:val="44"/>
          <w:szCs w:val="44"/>
        </w:rPr>
      </w:pPr>
      <w:r>
        <w:rPr>
          <w:rFonts w:hint="eastAsia" w:ascii="方正小标宋_GBK" w:hAnsi="华文中宋" w:eastAsia="方正小标宋_GBK"/>
          <w:sz w:val="44"/>
          <w:szCs w:val="44"/>
        </w:rPr>
        <w:t xml:space="preserve">   </w:t>
      </w:r>
    </w:p>
    <w:p>
      <w:pPr>
        <w:spacing w:line="720" w:lineRule="exact"/>
        <w:rPr>
          <w:rFonts w:ascii="方正小标宋_GBK" w:eastAsia="方正小标宋_GBK"/>
          <w:sz w:val="44"/>
          <w:szCs w:val="44"/>
        </w:rPr>
      </w:pPr>
      <w:r>
        <w:rPr>
          <w:rFonts w:hint="eastAsia" w:ascii="方正小标宋_GBK" w:eastAsia="方正小标宋_GBK"/>
          <w:sz w:val="44"/>
          <w:szCs w:val="44"/>
        </w:rPr>
        <w:t xml:space="preserve">      云阳县</w:t>
      </w:r>
      <w:r>
        <w:rPr>
          <w:rFonts w:hint="eastAsia" w:ascii="方正小标宋_GBK" w:eastAsia="方正小标宋_GBK"/>
          <w:sz w:val="44"/>
          <w:szCs w:val="44"/>
          <w:lang w:eastAsia="zh-CN"/>
        </w:rPr>
        <w:t>大阳</w:t>
      </w:r>
      <w:r>
        <w:rPr>
          <w:rFonts w:hint="eastAsia" w:ascii="方正小标宋_GBK" w:eastAsia="方正小标宋_GBK"/>
          <w:sz w:val="44"/>
          <w:szCs w:val="44"/>
        </w:rPr>
        <w:t>镇退役军人服务站</w:t>
      </w:r>
    </w:p>
    <w:p>
      <w:pPr>
        <w:spacing w:line="720" w:lineRule="exact"/>
        <w:ind w:firstLine="1100" w:firstLineChars="250"/>
        <w:rPr>
          <w:rFonts w:ascii="方正小标宋_GBK" w:eastAsia="方正小标宋_GBK"/>
          <w:sz w:val="44"/>
          <w:szCs w:val="44"/>
        </w:rPr>
      </w:pPr>
      <w:r>
        <w:rPr>
          <w:rFonts w:eastAsia="方正小标宋_GBK"/>
          <w:sz w:val="44"/>
          <w:szCs w:val="44"/>
        </w:rPr>
        <w:t>2022</w:t>
      </w:r>
      <w:r>
        <w:rPr>
          <w:rFonts w:hint="eastAsia" w:ascii="方正小标宋_GBK" w:eastAsia="方正小标宋_GBK"/>
          <w:sz w:val="44"/>
          <w:szCs w:val="44"/>
        </w:rPr>
        <w:t>年度县级部门决算公开说明</w:t>
      </w:r>
    </w:p>
    <w:p>
      <w:pPr>
        <w:spacing w:line="600" w:lineRule="exact"/>
        <w:ind w:firstLine="880" w:firstLineChars="200"/>
        <w:rPr>
          <w:rFonts w:ascii="方正仿宋简体" w:hAnsi="华文中宋" w:eastAsia="方正仿宋简体"/>
          <w:b/>
          <w:sz w:val="44"/>
          <w:szCs w:val="44"/>
        </w:rPr>
      </w:pP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一、单位基本情况</w:t>
      </w:r>
    </w:p>
    <w:p>
      <w:pPr>
        <w:spacing w:line="578" w:lineRule="exact"/>
        <w:ind w:firstLine="640" w:firstLineChars="200"/>
        <w:rPr>
          <w:rFonts w:eastAsia="方正仿宋_GBK"/>
          <w:sz w:val="32"/>
        </w:rPr>
      </w:pPr>
      <w:r>
        <w:rPr>
          <w:rFonts w:hint="eastAsia" w:ascii="方正楷体_GBK" w:hAnsi="方正楷体_GBK" w:eastAsia="方正楷体_GBK" w:cs="方正楷体_GBK"/>
          <w:sz w:val="32"/>
        </w:rPr>
        <w:t>（一）职能职责</w:t>
      </w:r>
      <w:r>
        <w:rPr>
          <w:rFonts w:hint="eastAsia" w:eastAsia="方正仿宋_GBK"/>
          <w:sz w:val="32"/>
        </w:rPr>
        <w:t>。</w:t>
      </w:r>
    </w:p>
    <w:p>
      <w:pPr>
        <w:spacing w:line="594"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1.宣传劳动就业和社会保障方面的法律法规和政策，做好政策的咨询解释、信访工作。</w:t>
      </w:r>
    </w:p>
    <w:p>
      <w:pPr>
        <w:spacing w:line="594"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负责辖区内下岗失业人员的登记、管理，核发相关证件，建立健全下岗失业人员增减变动电子台账，实行动态管理，对有劳动能力和就业愿望的劳动者的开展职业指导、职业介绍、就业培训、技能鉴定等就业服务工作。</w:t>
      </w:r>
    </w:p>
    <w:p>
      <w:pPr>
        <w:spacing w:line="594"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zh-CN"/>
        </w:rPr>
        <w:t>开发社区就业岗位，建立社区公益性劳动组织，宣传落实就业再就业相关扶持政策，转移富余劳动力，为就业困难对象提供就业服务。</w:t>
      </w:r>
    </w:p>
    <w:p>
      <w:pPr>
        <w:spacing w:line="594" w:lineRule="exact"/>
        <w:ind w:firstLine="640" w:firstLineChars="200"/>
        <w:jc w:val="lef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zh-CN"/>
        </w:rPr>
        <w:t>.负责辖区内社保补贴、岗位补贴、就业补贴等资料的收集、审查，接收并管理所在社区企业离退休人员档案，建立并实施企业离退休（退职）人员生存状况验证制度，负责企业离退休人员养老金社会化发放和管理服务工作，</w:t>
      </w:r>
      <w:r>
        <w:rPr>
          <w:rFonts w:hint="eastAsia" w:ascii="方正仿宋_GBK" w:hAnsi="方正仿宋_GBK" w:eastAsia="方正仿宋_GBK" w:cs="方正仿宋_GBK"/>
          <w:sz w:val="32"/>
          <w:szCs w:val="32"/>
        </w:rPr>
        <w:t>协助业务主管部门做好各项社会保险、工伤待遇人员的资格认证工作，督促参保已故对象亲属办理死亡核销手续，协助社会保险费征缴清欠催收工作</w:t>
      </w:r>
      <w:r>
        <w:rPr>
          <w:rFonts w:hint="eastAsia" w:ascii="方正仿宋_GBK" w:hAnsi="方正仿宋_GBK" w:eastAsia="方正仿宋_GBK" w:cs="方正仿宋_GBK"/>
          <w:sz w:val="32"/>
          <w:szCs w:val="32"/>
          <w:lang w:val="zh-CN"/>
        </w:rPr>
        <w:t>。</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5.负责城乡居民相关医疗费用报销凭据的复核和城乡居民县外住院费用的审核结算工作，负责辖区内城乡居民合作医疗资金额度的总量控制。</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zh-CN"/>
        </w:rPr>
        <w:t>负责失业保险、医疗保险相关服务。</w:t>
      </w:r>
      <w:r>
        <w:rPr>
          <w:rFonts w:hint="eastAsia" w:ascii="方正仿宋_GBK" w:hAnsi="方正仿宋_GBK" w:eastAsia="方正仿宋_GBK" w:cs="方正仿宋_GBK"/>
          <w:sz w:val="32"/>
          <w:szCs w:val="32"/>
        </w:rPr>
        <w:t xml:space="preserve"> </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7.协助县劳动保障监察机构在辖区内开展劳动保障监察工作，指导并督促用人单位完善劳动合同和人事聘用合同，协助开展劳动人事争议仲裁工作。</w:t>
      </w:r>
    </w:p>
    <w:p>
      <w:pPr>
        <w:spacing w:line="578"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zh-CN"/>
        </w:rPr>
        <w:t>负责优抚救济、社会互助工作，协助审核报批和发放城乡居民最低生活保障金。</w:t>
      </w:r>
    </w:p>
    <w:p>
      <w:pPr>
        <w:spacing w:line="578" w:lineRule="exact"/>
        <w:ind w:firstLine="640" w:firstLineChars="200"/>
        <w:rPr>
          <w:rFonts w:hint="eastAsia" w:eastAsia="方正仿宋_GBK"/>
          <w:sz w:val="32"/>
          <w:lang w:eastAsia="zh-CN"/>
        </w:rPr>
      </w:pPr>
      <w:r>
        <w:rPr>
          <w:rFonts w:hint="eastAsia" w:eastAsia="方正仿宋_GBK"/>
          <w:sz w:val="32"/>
          <w:lang w:eastAsia="zh-CN"/>
        </w:rPr>
        <w:t>（二）机构设置</w:t>
      </w:r>
    </w:p>
    <w:p>
      <w:pPr>
        <w:spacing w:line="578" w:lineRule="exact"/>
        <w:ind w:firstLine="640" w:firstLineChars="200"/>
        <w:rPr>
          <w:rFonts w:hint="eastAsia" w:eastAsia="方正仿宋_GBK"/>
          <w:sz w:val="32"/>
          <w:lang w:eastAsia="zh-CN"/>
        </w:rPr>
      </w:pPr>
      <w:r>
        <w:rPr>
          <w:rFonts w:hint="eastAsia" w:eastAsia="方正仿宋_GBK"/>
          <w:sz w:val="32"/>
          <w:lang w:eastAsia="zh-CN"/>
        </w:rPr>
        <w:t>本单位为云阳县大阳镇人民政府下属单位，无独立的机构设置。</w:t>
      </w:r>
    </w:p>
    <w:p>
      <w:pPr>
        <w:spacing w:line="578" w:lineRule="exact"/>
        <w:ind w:firstLine="640" w:firstLineChars="200"/>
        <w:rPr>
          <w:rFonts w:hint="eastAsia" w:eastAsia="方正仿宋_GBK"/>
          <w:sz w:val="32"/>
          <w:lang w:eastAsia="zh-CN"/>
        </w:rPr>
      </w:pPr>
      <w:r>
        <w:rPr>
          <w:rFonts w:hint="eastAsia" w:eastAsia="方正仿宋_GBK"/>
          <w:sz w:val="32"/>
          <w:lang w:eastAsia="zh-CN"/>
        </w:rPr>
        <w:t>（三）单位构成</w:t>
      </w:r>
    </w:p>
    <w:p>
      <w:pPr>
        <w:spacing w:line="578" w:lineRule="exact"/>
        <w:ind w:firstLine="640" w:firstLineChars="200"/>
        <w:rPr>
          <w:rFonts w:hint="eastAsia" w:ascii="方正仿宋_GBK" w:hAnsi="方正仿宋_GBK" w:eastAsia="方正仿宋_GBK" w:cs="方正仿宋_GBK"/>
          <w:sz w:val="32"/>
          <w:szCs w:val="32"/>
          <w:lang w:val="zh-CN"/>
        </w:rPr>
      </w:pPr>
      <w:r>
        <w:rPr>
          <w:rFonts w:hint="eastAsia" w:eastAsia="方正仿宋_GBK"/>
          <w:sz w:val="32"/>
          <w:lang w:eastAsia="zh-CN"/>
        </w:rPr>
        <w:t>本单位为云阳县大阳镇人民政府下属单位，无单位构成。</w:t>
      </w:r>
    </w:p>
    <w:p>
      <w:pPr>
        <w:spacing w:line="600" w:lineRule="exact"/>
        <w:ind w:firstLine="643" w:firstLineChars="200"/>
        <w:rPr>
          <w:rFonts w:ascii="方正黑体_GBK" w:eastAsia="方正黑体_GBK"/>
          <w:sz w:val="32"/>
          <w:szCs w:val="32"/>
        </w:rPr>
      </w:pPr>
      <w:r>
        <w:rPr>
          <w:rFonts w:ascii="方正黑体_GBK" w:eastAsia="方正黑体_GBK"/>
          <w:b/>
          <w:sz w:val="32"/>
          <w:szCs w:val="32"/>
        </w:rPr>
        <w:t>二、部门决算情况说明</w:t>
      </w:r>
    </w:p>
    <w:p>
      <w:pPr>
        <w:spacing w:line="600" w:lineRule="exact"/>
        <w:ind w:firstLine="640" w:firstLineChars="20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（一）收入支出决算总体情况说明</w:t>
      </w:r>
    </w:p>
    <w:p>
      <w:pPr>
        <w:spacing w:line="594" w:lineRule="exact"/>
        <w:ind w:firstLine="643"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1.总体情况。</w:t>
      </w:r>
      <w:r>
        <w:rPr>
          <w:rFonts w:ascii="方正仿宋_GBK" w:hAnsi="方正仿宋_GBK" w:eastAsia="方正仿宋_GBK" w:cs="方正仿宋_GBK"/>
          <w:sz w:val="32"/>
          <w:szCs w:val="32"/>
        </w:rPr>
        <w:t>2022年度收入总计</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万元，支出总计</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万元。收支较上年决算数增加</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w:t>
      </w:r>
    </w:p>
    <w:p>
      <w:pPr>
        <w:spacing w:line="594" w:lineRule="exact"/>
        <w:ind w:firstLine="643"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2.收入情况。</w:t>
      </w:r>
      <w:r>
        <w:rPr>
          <w:rFonts w:ascii="方正仿宋_GBK" w:hAnsi="方正仿宋_GBK" w:eastAsia="方正仿宋_GBK" w:cs="方正仿宋_GBK"/>
          <w:sz w:val="32"/>
          <w:szCs w:val="32"/>
        </w:rPr>
        <w:t>2022年度收入合计</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万元，较上年决算数增加</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w:t>
      </w:r>
      <w:r>
        <w:rPr>
          <w:rFonts w:ascii="方正仿宋_GBK" w:hAnsi="方正仿宋_GBK" w:eastAsia="方正仿宋_GBK" w:cs="方正仿宋_GBK"/>
          <w:sz w:val="32"/>
          <w:szCs w:val="32"/>
        </w:rPr>
        <w:t>。</w:t>
      </w:r>
    </w:p>
    <w:p>
      <w:pPr>
        <w:spacing w:line="594" w:lineRule="exact"/>
        <w:ind w:firstLine="643" w:firstLineChars="200"/>
        <w:jc w:val="left"/>
        <w:rPr>
          <w:rFonts w:ascii="方正仿宋_GBK" w:hAnsi="方正仿宋_GBK" w:eastAsia="方正仿宋_GBK" w:cs="方正仿宋_GBK"/>
          <w:b/>
          <w:sz w:val="32"/>
          <w:szCs w:val="32"/>
        </w:rPr>
      </w:pPr>
      <w:r>
        <w:rPr>
          <w:rFonts w:ascii="方正仿宋_GBK" w:hAnsi="方正仿宋_GBK" w:eastAsia="方正仿宋_GBK" w:cs="方正仿宋_GBK"/>
          <w:b/>
          <w:sz w:val="32"/>
          <w:szCs w:val="32"/>
        </w:rPr>
        <w:t>3.支出情况。</w:t>
      </w:r>
      <w:r>
        <w:rPr>
          <w:rFonts w:ascii="方正仿宋_GBK" w:hAnsi="方正仿宋_GBK" w:eastAsia="方正仿宋_GBK" w:cs="方正仿宋_GBK"/>
          <w:sz w:val="32"/>
          <w:szCs w:val="32"/>
        </w:rPr>
        <w:t>2022年度支出合计</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万元，较上年决算增加</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w:t>
      </w:r>
      <w:r>
        <w:rPr>
          <w:rFonts w:ascii="方正仿宋_GBK" w:hAnsi="方正仿宋_GBK" w:eastAsia="方正仿宋_GBK" w:cs="方正仿宋_GBK"/>
          <w:sz w:val="32"/>
          <w:szCs w:val="32"/>
        </w:rPr>
        <w:t>其中：基本支出</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万元，占100%；</w:t>
      </w:r>
    </w:p>
    <w:p>
      <w:pPr>
        <w:widowControl/>
        <w:shd w:val="clear" w:color="auto" w:fill="FFFFFF"/>
        <w:spacing w:line="576" w:lineRule="atLeast"/>
        <w:ind w:firstLine="640" w:firstLineChars="200"/>
        <w:rPr>
          <w:rFonts w:ascii="仿宋_GB2312" w:hAnsi="仿宋" w:eastAsia="仿宋_GB2312"/>
          <w:sz w:val="32"/>
          <w:szCs w:val="32"/>
        </w:rPr>
      </w:pPr>
      <w:r>
        <w:rPr>
          <w:rFonts w:ascii="方正仿宋_GBK" w:hAnsi="方正仿宋_GBK" w:eastAsia="方正仿宋_GBK" w:cs="方正仿宋_GBK"/>
          <w:sz w:val="32"/>
          <w:szCs w:val="32"/>
        </w:rPr>
        <w:t>4.结转结余情况。</w:t>
      </w:r>
      <w:r>
        <w:rPr>
          <w:rFonts w:hint="eastAsia" w:ascii="仿宋_GB2312" w:hAnsi="仿宋" w:eastAsia="仿宋_GB2312"/>
          <w:sz w:val="32"/>
          <w:szCs w:val="32"/>
        </w:rPr>
        <w:t>2022年度年末一般公共预算财政拨款结转和结余0.00万元。</w:t>
      </w:r>
    </w:p>
    <w:p>
      <w:pPr>
        <w:spacing w:line="600" w:lineRule="exact"/>
        <w:ind w:firstLine="640" w:firstLineChars="20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（二）财政拨款收入支出决算总体情况说明</w:t>
      </w:r>
    </w:p>
    <w:p>
      <w:pPr>
        <w:widowControl/>
        <w:shd w:val="clear" w:color="auto" w:fill="FFFFFF"/>
        <w:spacing w:line="576"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2022年度财政拨款收、支总计</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万元。与2021年相比，财政拨款收、支总计各增加</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镇人民政府集中决算，未单独列决算，2022年新增为决算单位，上年决算数为0.00万元</w:t>
      </w:r>
    </w:p>
    <w:p>
      <w:pPr>
        <w:spacing w:line="600" w:lineRule="exact"/>
        <w:ind w:firstLine="640" w:firstLineChars="20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（三）一般公共预算财政拨款收入支出决算情况说明</w:t>
      </w:r>
    </w:p>
    <w:p>
      <w:pPr>
        <w:widowControl/>
        <w:shd w:val="clear" w:color="auto" w:fill="FFFFFF"/>
        <w:spacing w:line="576" w:lineRule="atLeas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1.收入情况。</w:t>
      </w:r>
      <w:r>
        <w:rPr>
          <w:rFonts w:ascii="方正仿宋_GBK" w:hAnsi="方正仿宋_GBK" w:eastAsia="方正仿宋_GBK" w:cs="方正仿宋_GBK"/>
          <w:sz w:val="32"/>
          <w:szCs w:val="32"/>
        </w:rPr>
        <w:t>2022年度一般公共预算财政拨款收入</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万元，较上年决算数增加</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3.15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21.41</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人员晋升等</w:t>
      </w:r>
      <w:r>
        <w:rPr>
          <w:rFonts w:ascii="方正仿宋_GBK" w:hAnsi="方正仿宋_GBK" w:eastAsia="方正仿宋_GBK" w:cs="方正仿宋_GBK"/>
          <w:sz w:val="32"/>
          <w:szCs w:val="32"/>
        </w:rPr>
        <w:t>。此外，年初财政拨款结转和结余0.00万元。</w:t>
      </w:r>
    </w:p>
    <w:p>
      <w:pPr>
        <w:widowControl/>
        <w:shd w:val="clear" w:color="auto" w:fill="FFFFFF"/>
        <w:spacing w:line="576" w:lineRule="atLeas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2.支出情况。</w:t>
      </w:r>
      <w:r>
        <w:rPr>
          <w:rFonts w:ascii="方正仿宋_GBK" w:hAnsi="方正仿宋_GBK" w:eastAsia="方正仿宋_GBK" w:cs="方正仿宋_GBK"/>
          <w:sz w:val="32"/>
          <w:szCs w:val="32"/>
        </w:rPr>
        <w:t>2022年度一般公共预算财政拨款支出</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万元，较上年决算数增加</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3.15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21.41</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人员晋升等</w:t>
      </w:r>
      <w:r>
        <w:rPr>
          <w:rFonts w:ascii="方正仿宋_GBK" w:hAnsi="方正仿宋_GBK" w:eastAsia="方正仿宋_GBK" w:cs="方正仿宋_GBK"/>
          <w:sz w:val="32"/>
          <w:szCs w:val="32"/>
        </w:rPr>
        <w:t>。</w:t>
      </w:r>
    </w:p>
    <w:p>
      <w:pPr>
        <w:widowControl/>
        <w:shd w:val="clear" w:color="auto" w:fill="FFFFFF"/>
        <w:spacing w:line="576" w:lineRule="atLeas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3.结转结余情况。</w:t>
      </w:r>
      <w:r>
        <w:rPr>
          <w:rFonts w:ascii="方正仿宋_GBK" w:hAnsi="方正仿宋_GBK" w:eastAsia="方正仿宋_GBK" w:cs="方正仿宋_GBK"/>
          <w:sz w:val="32"/>
          <w:szCs w:val="32"/>
        </w:rPr>
        <w:t>2022年度年末一般公共预算财政拨款结转和结余0.00万元，较上年决算数增加0.00万元，增长</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rPr>
        <w:t>%，主要原因是</w:t>
      </w:r>
      <w:r>
        <w:rPr>
          <w:rFonts w:hint="eastAsia" w:ascii="方正仿宋_GBK" w:hAnsi="宋体" w:eastAsia="方正仿宋_GBK" w:cs="宋体"/>
          <w:kern w:val="0"/>
          <w:sz w:val="32"/>
          <w:szCs w:val="32"/>
        </w:rPr>
        <w:t>本单位不涉及结转结余</w:t>
      </w:r>
      <w:r>
        <w:rPr>
          <w:rFonts w:ascii="方正仿宋_GBK" w:hAnsi="方正仿宋_GBK" w:eastAsia="方正仿宋_GBK" w:cs="方正仿宋_GBK"/>
          <w:sz w:val="32"/>
          <w:szCs w:val="32"/>
        </w:rPr>
        <w:t>。</w:t>
      </w:r>
    </w:p>
    <w:p>
      <w:pPr>
        <w:widowControl/>
        <w:shd w:val="clear" w:color="auto" w:fill="FFFFFF"/>
        <w:spacing w:line="576" w:lineRule="atLeas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4.比较情况。</w:t>
      </w:r>
      <w:r>
        <w:rPr>
          <w:rFonts w:ascii="方正仿宋_GBK" w:hAnsi="方正仿宋_GBK" w:eastAsia="方正仿宋_GBK" w:cs="方正仿宋_GBK"/>
          <w:sz w:val="32"/>
          <w:szCs w:val="32"/>
        </w:rPr>
        <w:t xml:space="preserve">本部门2022年度一般公共预算财政拨款支出主要用于以下几个方面： </w:t>
      </w:r>
    </w:p>
    <w:p>
      <w:pPr>
        <w:widowControl/>
        <w:shd w:val="clear" w:color="auto" w:fill="FFFFFF"/>
        <w:spacing w:line="576"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）社会保障与就业支出</w:t>
      </w:r>
      <w:r>
        <w:rPr>
          <w:rFonts w:hint="eastAsia" w:ascii="方正仿宋_GBK" w:hAnsi="方正仿宋_GBK" w:eastAsia="方正仿宋_GBK" w:cs="方正仿宋_GBK"/>
          <w:sz w:val="32"/>
          <w:szCs w:val="32"/>
          <w:lang w:val="en-US" w:eastAsia="zh-CN"/>
        </w:rPr>
        <w:t>16.21</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90.76</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3.01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2.8</w:t>
      </w:r>
      <w:r>
        <w:rPr>
          <w:rFonts w:ascii="方正仿宋_GBK" w:hAnsi="方正仿宋_GBK" w:eastAsia="方正仿宋_GBK" w:cs="方正仿宋_GBK"/>
          <w:sz w:val="32"/>
          <w:szCs w:val="32"/>
        </w:rPr>
        <w:t>%，主要原因是</w:t>
      </w:r>
      <w:r>
        <w:rPr>
          <w:rFonts w:hint="eastAsia" w:ascii="方正仿宋_GBK" w:hAnsi="宋体" w:eastAsia="方正仿宋_GBK" w:cs="宋体"/>
          <w:kern w:val="0"/>
          <w:sz w:val="32"/>
          <w:szCs w:val="32"/>
        </w:rPr>
        <w:t>单位人员</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rPr>
        <w:t>，社保调标</w:t>
      </w:r>
      <w:r>
        <w:rPr>
          <w:rFonts w:ascii="方正仿宋_GBK" w:hAnsi="方正仿宋_GBK" w:eastAsia="方正仿宋_GBK" w:cs="方正仿宋_GBK"/>
          <w:sz w:val="32"/>
          <w:szCs w:val="32"/>
        </w:rPr>
        <w:t>。</w:t>
      </w:r>
    </w:p>
    <w:p>
      <w:pPr>
        <w:widowControl/>
        <w:shd w:val="clear" w:color="auto" w:fill="FFFFFF"/>
        <w:spacing w:line="576"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）卫生健康支出</w:t>
      </w:r>
      <w:r>
        <w:rPr>
          <w:rFonts w:hint="eastAsia" w:ascii="方正仿宋_GBK" w:hAnsi="方正仿宋_GBK" w:eastAsia="方正仿宋_GBK" w:cs="方正仿宋_GBK"/>
          <w:sz w:val="32"/>
          <w:szCs w:val="32"/>
          <w:lang w:val="en-US" w:eastAsia="zh-CN"/>
        </w:rPr>
        <w:t>0.7</w:t>
      </w:r>
      <w:r>
        <w:rPr>
          <w:rFonts w:ascii="方正仿宋_GBK" w:hAnsi="方正仿宋_GBK" w:eastAsia="方正仿宋_GBK" w:cs="方正仿宋_GBK"/>
          <w:sz w:val="32"/>
          <w:szCs w:val="32"/>
        </w:rPr>
        <w:t>万元，占5.4%，较年初预算数减少0.0</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万元，下降</w:t>
      </w:r>
      <w:r>
        <w:rPr>
          <w:rFonts w:hint="eastAsia" w:ascii="方正仿宋_GBK" w:hAnsi="方正仿宋_GBK" w:eastAsia="方正仿宋_GBK" w:cs="方正仿宋_GBK"/>
          <w:sz w:val="32"/>
          <w:szCs w:val="32"/>
          <w:lang w:val="en-US" w:eastAsia="zh-CN"/>
        </w:rPr>
        <w:t>9.1</w:t>
      </w:r>
      <w:r>
        <w:rPr>
          <w:rFonts w:ascii="方正仿宋_GBK" w:hAnsi="方正仿宋_GBK" w:eastAsia="方正仿宋_GBK" w:cs="方正仿宋_GBK"/>
          <w:sz w:val="32"/>
          <w:szCs w:val="32"/>
        </w:rPr>
        <w:t>%，主要原因是</w:t>
      </w:r>
      <w:r>
        <w:rPr>
          <w:rFonts w:hint="eastAsia" w:ascii="方正仿宋_GBK" w:hAnsi="宋体" w:eastAsia="方正仿宋_GBK" w:cs="宋体"/>
          <w:kern w:val="0"/>
          <w:sz w:val="32"/>
          <w:szCs w:val="32"/>
        </w:rPr>
        <w:t>人员晋升，社保调标。</w:t>
      </w:r>
    </w:p>
    <w:p>
      <w:pPr>
        <w:widowControl/>
        <w:shd w:val="clear" w:color="auto" w:fill="FFFFFF"/>
        <w:spacing w:line="576"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0.95</w:t>
      </w:r>
      <w:r>
        <w:rPr>
          <w:rFonts w:ascii="方正仿宋_GBK" w:hAnsi="方正仿宋_GBK" w:eastAsia="方正仿宋_GBK" w:cs="方正仿宋_GBK"/>
          <w:sz w:val="32"/>
          <w:szCs w:val="32"/>
        </w:rPr>
        <w:t>万元，占5.</w:t>
      </w:r>
      <w:r>
        <w:rPr>
          <w:rFonts w:hint="eastAsia" w:ascii="方正仿宋_GBK" w:hAnsi="方正仿宋_GBK" w:eastAsia="方正仿宋_GBK" w:cs="方正仿宋_GBK"/>
          <w:sz w:val="32"/>
          <w:szCs w:val="32"/>
          <w:lang w:val="en-US" w:eastAsia="zh-CN"/>
        </w:rPr>
        <w:t>32</w:t>
      </w:r>
      <w:r>
        <w:rPr>
          <w:rFonts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0.21</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28.38</w:t>
      </w:r>
      <w:r>
        <w:rPr>
          <w:rFonts w:ascii="方正仿宋_GBK" w:hAnsi="方正仿宋_GBK" w:eastAsia="方正仿宋_GBK" w:cs="方正仿宋_GBK"/>
          <w:sz w:val="32"/>
          <w:szCs w:val="32"/>
        </w:rPr>
        <w:t>%。</w:t>
      </w:r>
    </w:p>
    <w:p>
      <w:pPr>
        <w:spacing w:line="600" w:lineRule="exact"/>
        <w:ind w:firstLine="640" w:firstLineChars="20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（四）一般公共预算财政拨款基本支出决算情况说明</w:t>
      </w:r>
    </w:p>
    <w:p>
      <w:pPr>
        <w:widowControl/>
        <w:shd w:val="clear" w:color="auto" w:fill="FFFFFF"/>
        <w:spacing w:line="576" w:lineRule="atLeas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2022年度一般公共预算财政拨款基本支出</w:t>
      </w:r>
      <w:r>
        <w:rPr>
          <w:rFonts w:hint="eastAsia" w:ascii="方正仿宋_GBK" w:hAnsi="方正仿宋_GBK" w:eastAsia="方正仿宋_GBK" w:cs="方正仿宋_GBK"/>
          <w:sz w:val="32"/>
          <w:szCs w:val="32"/>
          <w:lang w:val="en-US" w:eastAsia="zh-CN"/>
        </w:rPr>
        <w:t>17.86</w:t>
      </w:r>
      <w:r>
        <w:rPr>
          <w:rFonts w:ascii="方正仿宋_GBK" w:hAnsi="方正仿宋_GBK" w:eastAsia="方正仿宋_GBK" w:cs="方正仿宋_GBK"/>
          <w:sz w:val="32"/>
          <w:szCs w:val="32"/>
        </w:rPr>
        <w:t>万元。其中：人员经费</w:t>
      </w:r>
      <w:r>
        <w:rPr>
          <w:rFonts w:hint="eastAsia" w:ascii="方正仿宋_GBK" w:hAnsi="方正仿宋_GBK" w:eastAsia="方正仿宋_GBK" w:cs="方正仿宋_GBK"/>
          <w:sz w:val="32"/>
          <w:szCs w:val="32"/>
          <w:lang w:val="en-US" w:eastAsia="zh-CN"/>
        </w:rPr>
        <w:t>17.8</w:t>
      </w:r>
      <w:r>
        <w:rPr>
          <w:rFonts w:ascii="方正仿宋_GBK" w:hAnsi="方正仿宋_GBK" w:eastAsia="方正仿宋_GBK" w:cs="方正仿宋_GBK"/>
          <w:sz w:val="32"/>
          <w:szCs w:val="32"/>
        </w:rPr>
        <w:t>万元，较上年决算数增加</w:t>
      </w:r>
      <w:r>
        <w:rPr>
          <w:rFonts w:hint="eastAsia" w:ascii="方正仿宋_GBK" w:hAnsi="方正仿宋_GBK" w:eastAsia="方正仿宋_GBK" w:cs="方正仿宋_GBK"/>
          <w:sz w:val="32"/>
          <w:szCs w:val="32"/>
          <w:lang w:val="en-US" w:eastAsia="zh-CN"/>
        </w:rPr>
        <w:t>17.8</w:t>
      </w:r>
      <w:r>
        <w:rPr>
          <w:rFonts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2021年本单位纳入云阳县</w:t>
      </w:r>
      <w:r>
        <w:rPr>
          <w:rFonts w:hint="eastAsia" w:ascii="方正仿宋_GBK" w:hAnsi="方正仿宋_GBK" w:eastAsia="方正仿宋_GBK" w:cs="方正仿宋_GBK"/>
          <w:sz w:val="32"/>
          <w:szCs w:val="32"/>
          <w:lang w:eastAsia="zh-CN"/>
        </w:rPr>
        <w:t>大阳</w:t>
      </w:r>
      <w:r>
        <w:rPr>
          <w:rFonts w:hint="eastAsia" w:ascii="方正仿宋_GBK" w:hAnsi="方正仿宋_GBK" w:eastAsia="方正仿宋_GBK" w:cs="方正仿宋_GBK"/>
          <w:sz w:val="32"/>
          <w:szCs w:val="32"/>
        </w:rPr>
        <w:t>镇人民政府集中决算，未单独列决算，2022年新增为决算单位</w:t>
      </w:r>
      <w:r>
        <w:rPr>
          <w:rFonts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sz w:val="32"/>
          <w:szCs w:val="32"/>
        </w:rPr>
        <w:t>工资福利等</w:t>
      </w:r>
      <w:r>
        <w:rPr>
          <w:rFonts w:ascii="方正仿宋_GBK" w:hAnsi="方正仿宋_GBK" w:eastAsia="方正仿宋_GBK" w:cs="方正仿宋_GBK"/>
          <w:sz w:val="32"/>
          <w:szCs w:val="32"/>
        </w:rPr>
        <w:t>。公用经费0.</w:t>
      </w:r>
      <w:r>
        <w:rPr>
          <w:rFonts w:hint="eastAsia" w:ascii="方正仿宋_GBK" w:hAnsi="方正仿宋_GBK" w:eastAsia="方正仿宋_GBK" w:cs="方正仿宋_GBK"/>
          <w:sz w:val="32"/>
          <w:szCs w:val="32"/>
          <w:lang w:val="en-US" w:eastAsia="zh-CN"/>
        </w:rPr>
        <w:t>06</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14</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70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福利费、工会经费使用</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rPr>
        <w:t>工会经费、福利费、教育经费</w:t>
      </w:r>
      <w:r>
        <w:rPr>
          <w:rFonts w:ascii="方正仿宋_GBK" w:hAnsi="方正仿宋_GBK" w:eastAsia="方正仿宋_GBK" w:cs="方正仿宋_GBK"/>
          <w:sz w:val="32"/>
          <w:szCs w:val="32"/>
        </w:rPr>
        <w:t>。</w:t>
      </w:r>
    </w:p>
    <w:p>
      <w:pPr>
        <w:spacing w:line="600" w:lineRule="exact"/>
        <w:ind w:firstLine="640" w:firstLineChars="200"/>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（五）政府性基金预算收支决算情况说明。</w:t>
      </w:r>
    </w:p>
    <w:p>
      <w:pPr>
        <w:spacing w:line="600" w:lineRule="exact"/>
        <w:ind w:firstLine="640" w:firstLineChars="200"/>
        <w:rPr>
          <w:rFonts w:hint="eastAsia" w:ascii="方正仿宋_GBK" w:hAnsi="宋体" w:eastAsia="方正仿宋_GBK" w:cs="宋体"/>
          <w:b/>
          <w:kern w:val="0"/>
          <w:sz w:val="32"/>
          <w:szCs w:val="32"/>
        </w:rPr>
      </w:pPr>
      <w:r>
        <w:rPr>
          <w:rFonts w:ascii="方正仿宋_GBK" w:hAnsi="宋体" w:eastAsia="方正仿宋_GBK" w:cs="宋体"/>
          <w:kern w:val="0"/>
          <w:sz w:val="32"/>
          <w:szCs w:val="32"/>
        </w:rPr>
        <w:t>本部门2022年度无政府性基金预算财政拨款收支</w:t>
      </w:r>
      <w:r>
        <w:rPr>
          <w:rFonts w:ascii="方正仿宋_GBK" w:hAnsi="宋体" w:eastAsia="方正仿宋_GBK" w:cs="宋体"/>
          <w:b/>
          <w:kern w:val="0"/>
          <w:sz w:val="32"/>
          <w:szCs w:val="32"/>
        </w:rPr>
        <w:t>。</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（六）国有资本经营预算财政拨款支出决算情况说明。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本部门2022年度无国有资本经营预算财政拨款支出。</w:t>
      </w:r>
    </w:p>
    <w:p>
      <w:pPr>
        <w:spacing w:line="600" w:lineRule="exact"/>
        <w:ind w:firstLine="640" w:firstLineChars="200"/>
        <w:rPr>
          <w:rFonts w:ascii="宋体" w:hAnsi="宋体"/>
          <w:sz w:val="30"/>
          <w:szCs w:val="30"/>
        </w:rPr>
      </w:pPr>
      <w:r>
        <w:rPr>
          <w:rFonts w:hint="eastAsia" w:ascii="方正黑体_GBK" w:eastAsia="方正黑体_GBK"/>
          <w:sz w:val="32"/>
          <w:szCs w:val="32"/>
        </w:rPr>
        <w:t xml:space="preserve">三、“三公”经费情况说明 </w:t>
      </w:r>
    </w:p>
    <w:p>
      <w:pPr>
        <w:spacing w:line="620" w:lineRule="exact"/>
        <w:ind w:firstLine="640" w:firstLineChars="200"/>
        <w:rPr>
          <w:rFonts w:hint="eastAsia" w:ascii="方正楷体_GBK" w:hAnsi="方正楷体_GBK" w:eastAsia="方正楷体_GBK" w:cs="方正楷体_GBK"/>
          <w:b w:val="0"/>
          <w:bCs w:val="0"/>
          <w:sz w:val="32"/>
        </w:rPr>
      </w:pPr>
      <w:r>
        <w:rPr>
          <w:rFonts w:hint="eastAsia" w:ascii="方正楷体_GBK" w:hAnsi="宋体" w:eastAsia="方正楷体_GBK" w:cs="宋体"/>
          <w:kern w:val="0"/>
          <w:sz w:val="32"/>
          <w:szCs w:val="32"/>
        </w:rPr>
        <w:t>（</w:t>
      </w:r>
      <w:r>
        <w:rPr>
          <w:rFonts w:hint="eastAsia" w:ascii="方正楷体_GBK" w:hAnsi="方正楷体_GBK" w:eastAsia="方正楷体_GBK" w:cs="方正楷体_GBK"/>
          <w:b w:val="0"/>
          <w:bCs w:val="0"/>
          <w:sz w:val="32"/>
        </w:rPr>
        <w:t>一）“三公”经费支出总体情况说明</w:t>
      </w:r>
    </w:p>
    <w:p>
      <w:pPr>
        <w:spacing w:line="62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按照决算列报口径，本单位2022年新增为决算单位，“三公”经费由政府机关本级进行核算，本单位不核算“三公”经费。</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（二）“三公”经费分项支出情况。</w:t>
      </w:r>
    </w:p>
    <w:p>
      <w:pPr>
        <w:spacing w:line="620" w:lineRule="exact"/>
        <w:ind w:firstLine="640" w:firstLineChars="200"/>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（三）“三公”经费实物量情况</w:t>
      </w:r>
    </w:p>
    <w:p>
      <w:pPr>
        <w:spacing w:line="620" w:lineRule="exact"/>
        <w:ind w:firstLine="640" w:firstLineChars="200"/>
        <w:rPr>
          <w:rFonts w:eastAsia="方正仿宋_GBK" w:cs="宋体"/>
          <w:kern w:val="0"/>
          <w:sz w:val="32"/>
          <w:szCs w:val="32"/>
        </w:rPr>
      </w:pPr>
      <w:r>
        <w:rPr>
          <w:rFonts w:hint="eastAsia" w:eastAsia="方正仿宋_GBK"/>
          <w:sz w:val="32"/>
          <w:szCs w:val="32"/>
        </w:rPr>
        <w:t>对</w:t>
      </w:r>
      <w:r>
        <w:rPr>
          <w:rFonts w:eastAsia="方正仿宋_GBK" w:cs="宋体"/>
          <w:kern w:val="0"/>
          <w:sz w:val="32"/>
          <w:szCs w:val="32"/>
        </w:rPr>
        <w:t>按照部门决算</w:t>
      </w:r>
      <w:r>
        <w:rPr>
          <w:rFonts w:hint="eastAsia" w:eastAsia="方正仿宋_GBK" w:cs="宋体"/>
          <w:kern w:val="0"/>
          <w:sz w:val="32"/>
          <w:szCs w:val="32"/>
        </w:rPr>
        <w:t>列报</w:t>
      </w:r>
      <w:r>
        <w:rPr>
          <w:rFonts w:eastAsia="方正仿宋_GBK" w:cs="宋体"/>
          <w:kern w:val="0"/>
          <w:sz w:val="32"/>
          <w:szCs w:val="32"/>
        </w:rPr>
        <w:t>口径，我单位不在</w:t>
      </w:r>
      <w:r>
        <w:rPr>
          <w:rFonts w:hint="eastAsia" w:eastAsia="方正仿宋_GBK" w:cs="宋体"/>
          <w:kern w:val="0"/>
          <w:sz w:val="32"/>
          <w:szCs w:val="32"/>
        </w:rPr>
        <w:t>“三公”</w:t>
      </w:r>
      <w:r>
        <w:rPr>
          <w:rFonts w:eastAsia="方正仿宋_GBK" w:cs="宋体"/>
          <w:kern w:val="0"/>
          <w:sz w:val="32"/>
          <w:szCs w:val="32"/>
        </w:rPr>
        <w:t>经费</w:t>
      </w:r>
      <w:r>
        <w:rPr>
          <w:rFonts w:hint="eastAsia" w:eastAsia="方正仿宋_GBK" w:cs="宋体"/>
          <w:kern w:val="0"/>
          <w:sz w:val="32"/>
          <w:szCs w:val="32"/>
        </w:rPr>
        <w:t>核算</w:t>
      </w:r>
      <w:r>
        <w:rPr>
          <w:rFonts w:eastAsia="方正仿宋_GBK" w:cs="宋体"/>
          <w:kern w:val="0"/>
          <w:sz w:val="32"/>
          <w:szCs w:val="32"/>
        </w:rPr>
        <w:t>统计范围之内</w:t>
      </w:r>
      <w:r>
        <w:rPr>
          <w:rFonts w:hint="eastAsia" w:eastAsia="方正仿宋_GBK" w:cs="宋体"/>
          <w:kern w:val="0"/>
          <w:sz w:val="32"/>
          <w:szCs w:val="32"/>
        </w:rPr>
        <w:t>。</w:t>
      </w:r>
    </w:p>
    <w:p>
      <w:pPr>
        <w:spacing w:line="620" w:lineRule="exact"/>
        <w:ind w:firstLine="640" w:firstLineChars="200"/>
        <w:rPr>
          <w:rFonts w:ascii="方正黑体_GBK" w:eastAsia="方正黑体_GBK"/>
          <w:sz w:val="32"/>
          <w:szCs w:val="32"/>
        </w:rPr>
      </w:pPr>
      <w:r>
        <w:rPr>
          <w:rFonts w:hint="eastAsia" w:ascii="方正黑体_GBK" w:eastAsia="方正黑体_GBK"/>
          <w:sz w:val="32"/>
          <w:szCs w:val="32"/>
        </w:rPr>
        <w:t>四、其他需要说明的事项</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（一）财政拨款会议费和培训费情况说明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本单位2022年无会议费和培训费支出。</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（二）机关运行经费支出情况说明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按照部门决算列报口径，我单位不在机关运行经费统计范围之内。</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（三）国有资产占用情况说明</w:t>
      </w:r>
    </w:p>
    <w:p>
      <w:pPr>
        <w:spacing w:line="620" w:lineRule="exact"/>
        <w:ind w:firstLine="640" w:firstLineChars="200"/>
        <w:rPr>
          <w:rFonts w:eastAsia="方正仿宋_GBK" w:cs="宋体"/>
          <w:kern w:val="0"/>
          <w:sz w:val="32"/>
          <w:szCs w:val="32"/>
        </w:rPr>
      </w:pPr>
      <w:r>
        <w:rPr>
          <w:rFonts w:hint="eastAsia" w:eastAsia="方正仿宋_GBK" w:cs="宋体"/>
          <w:kern w:val="0"/>
          <w:sz w:val="32"/>
          <w:szCs w:val="32"/>
        </w:rPr>
        <w:t>截至2022年12月31日，本部门共有车辆0辆。单价100万元（含）以上设备（不含车辆）0台。</w:t>
      </w:r>
    </w:p>
    <w:p>
      <w:pPr>
        <w:spacing w:line="620"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（四）政府采购支出情况说明</w:t>
      </w:r>
    </w:p>
    <w:p>
      <w:pPr>
        <w:spacing w:line="620" w:lineRule="exact"/>
        <w:ind w:firstLine="640" w:firstLineChars="200"/>
        <w:rPr>
          <w:rFonts w:ascii="方正仿宋_GBK" w:eastAsia="方正仿宋_GBK" w:cs="宋体"/>
          <w:kern w:val="0"/>
          <w:sz w:val="32"/>
          <w:szCs w:val="32"/>
        </w:rPr>
      </w:pPr>
      <w:r>
        <w:rPr>
          <w:rFonts w:hint="eastAsia" w:ascii="方正仿宋_GBK" w:eastAsia="方正仿宋_GBK" w:cs="宋体"/>
          <w:kern w:val="0"/>
          <w:sz w:val="32"/>
          <w:szCs w:val="32"/>
        </w:rPr>
        <w:t>2022年度我单位未发生政府采购事项，无相关经费支出。</w:t>
      </w:r>
    </w:p>
    <w:p>
      <w:pPr>
        <w:spacing w:line="620" w:lineRule="exact"/>
        <w:ind w:firstLine="640" w:firstLineChars="200"/>
        <w:rPr>
          <w:rFonts w:ascii="方正仿宋_GBK" w:hAnsi="宋体" w:eastAsia="方正仿宋_GBK" w:cs="宋体"/>
          <w:b/>
          <w:kern w:val="0"/>
          <w:sz w:val="32"/>
          <w:szCs w:val="32"/>
        </w:rPr>
      </w:pPr>
      <w:r>
        <w:rPr>
          <w:rFonts w:hint="eastAsia" w:ascii="方正黑体_GBK" w:hAnsi="宋体" w:eastAsia="方正黑体_GBK" w:cs="宋体"/>
          <w:kern w:val="0"/>
          <w:sz w:val="32"/>
          <w:szCs w:val="32"/>
        </w:rPr>
        <w:t>五、预算绩效管理情况说明</w:t>
      </w:r>
    </w:p>
    <w:p>
      <w:pPr>
        <w:pStyle w:val="16"/>
        <w:spacing w:line="620" w:lineRule="exact"/>
        <w:ind w:firstLine="640"/>
        <w:rPr>
          <w:rFonts w:ascii="方正楷体_GBK" w:eastAsia="方正楷体_GBK"/>
          <w:color w:val="333333"/>
          <w:sz w:val="32"/>
          <w:szCs w:val="32"/>
        </w:rPr>
      </w:pPr>
      <w:r>
        <w:rPr>
          <w:rFonts w:hint="eastAsia" w:ascii="方正楷体_GBK" w:eastAsia="方正楷体_GBK"/>
          <w:color w:val="333333"/>
          <w:sz w:val="32"/>
          <w:szCs w:val="32"/>
        </w:rPr>
        <w:t>（一）预算绩效管理工作开展情况</w:t>
      </w:r>
    </w:p>
    <w:p>
      <w:pPr>
        <w:pStyle w:val="16"/>
        <w:spacing w:line="62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根据预算绩效管理要求，本单位项目支出基本属于人员经费支出，不进行项目预算绩效管理。</w:t>
      </w:r>
    </w:p>
    <w:p>
      <w:pPr>
        <w:pStyle w:val="16"/>
        <w:spacing w:line="620" w:lineRule="exact"/>
        <w:ind w:firstLine="640"/>
        <w:rPr>
          <w:rFonts w:eastAsia="方正楷体_GBK"/>
          <w:color w:val="333333"/>
          <w:sz w:val="32"/>
          <w:szCs w:val="32"/>
        </w:rPr>
      </w:pPr>
      <w:r>
        <w:rPr>
          <w:rFonts w:hint="eastAsia" w:ascii="方正楷体_GBK" w:eastAsia="方正楷体_GBK"/>
          <w:color w:val="333333"/>
          <w:sz w:val="32"/>
          <w:szCs w:val="32"/>
        </w:rPr>
        <w:t>（二）绩效自评结果</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1.绩效目标自评表 </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2.绩效自评报告或案例</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楷体_GBK" w:eastAsia="方正楷体_GBK"/>
          <w:color w:val="333333"/>
          <w:sz w:val="32"/>
          <w:szCs w:val="32"/>
        </w:rPr>
      </w:pPr>
      <w:r>
        <w:rPr>
          <w:rFonts w:hint="eastAsia" w:ascii="方正楷体_GBK" w:eastAsia="方正楷体_GBK"/>
          <w:color w:val="333333"/>
          <w:sz w:val="32"/>
          <w:szCs w:val="32"/>
        </w:rPr>
        <w:t>（三）重点绩效评价结果</w:t>
      </w:r>
    </w:p>
    <w:p>
      <w:pPr>
        <w:pStyle w:val="16"/>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spacing w:line="600" w:lineRule="exact"/>
        <w:ind w:firstLine="640"/>
        <w:rPr>
          <w:rFonts w:ascii="方正仿宋_GBK" w:hAnsi="宋体" w:eastAsia="方正仿宋_GBK" w:cs="宋体"/>
          <w:kern w:val="0"/>
          <w:sz w:val="32"/>
          <w:szCs w:val="32"/>
        </w:rPr>
      </w:pPr>
      <w:r>
        <w:rPr>
          <w:rFonts w:hint="eastAsia" w:ascii="方正黑体_GBK" w:eastAsia="方正黑体_GBK"/>
          <w:sz w:val="32"/>
          <w:szCs w:val="32"/>
        </w:rPr>
        <w:t>六、专业名词解释</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（一）财政拨款收入：指本年度从本级财政部门取得的财政拨款，包括一般公共预算财政拨款和政府性基金预算财政拨款。</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（二）事业收入：指事业单位开展专业业务活动及其辅助活动取得的现金流入；事业单位收到的财政专户实际核拨的教育收费等资金在此反映。</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（三）经营收入：指事业单位在专业业务活动及其辅助活动之外开展非独立核算经营活动取得的现金流入。</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（六）年初结转和结余：指单位上年结转本年使用的基本支出结转、项目支出结转和结余、经营结余。</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（七）结余分配：指单位按照国家有关规定，缴纳所得税、提取专用基金、转入非财政拨款结余等当年结余的分配情况。</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（八）年末结转和结余：指单位结转下年的基本支出结转、项目支出结转和结余、经营结余。</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（十）项目支出：指在基本支出之外为完成特定行政任务和事业发展目标所发生的支出。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（十一）经营支出：指事业单位在专业业务活动及其辅助活动之外开展非独立核算经营活动发生的支出。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（十四）工资福利支出（支出经济分类科目类级）：反映单位开支的在职职工和编制外长期聘用人员的各类劳动报酬，以及为上述人员缴纳的各项社会保险费等。</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（十五）商品和服务支出（支出经济分类科目类级）：反映单位购买商品和服务的支出（不包括用于购置固定资产的支出、战略性和应急储备支出）。</w:t>
      </w:r>
    </w:p>
    <w:p>
      <w:pPr>
        <w:widowControl/>
        <w:shd w:val="clear" w:color="auto" w:fill="FFFFFF"/>
        <w:spacing w:line="578" w:lineRule="atLeast"/>
        <w:ind w:firstLine="635"/>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（十六）对个人和家庭的补助（支出经济分类科目类级）：反映用于对个人和家庭的补助支出。</w:t>
      </w:r>
    </w:p>
    <w:p>
      <w:pPr>
        <w:spacing w:line="600" w:lineRule="exact"/>
        <w:ind w:firstLine="640" w:firstLineChars="200"/>
        <w:rPr>
          <w:rFonts w:eastAsia="方正楷体_GBK"/>
          <w:color w:val="333333"/>
          <w:sz w:val="32"/>
          <w:szCs w:val="32"/>
        </w:rPr>
      </w:pPr>
      <w:r>
        <w:rPr>
          <w:rFonts w:hint="eastAsia" w:ascii="方正仿宋_GBK" w:hAnsi="宋体" w:eastAsia="方正仿宋_GBK" w:cs="宋体"/>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6"/>
        <w:tabs>
          <w:tab w:val="center" w:pos="4153"/>
          <w:tab w:val="left" w:pos="7275"/>
        </w:tabs>
        <w:spacing w:line="600" w:lineRule="exact"/>
        <w:ind w:firstLine="640"/>
        <w:rPr>
          <w:rFonts w:eastAsia="方正楷体_GBK"/>
          <w:color w:val="333333"/>
          <w:sz w:val="32"/>
          <w:szCs w:val="32"/>
        </w:rPr>
      </w:pPr>
    </w:p>
    <w:p>
      <w:pPr>
        <w:pStyle w:val="16"/>
        <w:tabs>
          <w:tab w:val="center" w:pos="4153"/>
          <w:tab w:val="left" w:pos="7275"/>
        </w:tabs>
        <w:spacing w:line="600" w:lineRule="exact"/>
        <w:ind w:firstLine="640"/>
        <w:rPr>
          <w:rFonts w:hint="eastAsia" w:ascii="方正黑体_GBK" w:eastAsia="方正黑体_GBK"/>
          <w:b w:val="0"/>
          <w:bCs w:val="0"/>
          <w:sz w:val="32"/>
          <w:szCs w:val="32"/>
        </w:rPr>
      </w:pPr>
      <w:r>
        <w:rPr>
          <w:rFonts w:hint="eastAsia" w:ascii="方正黑体_GBK" w:eastAsia="方正黑体_GBK"/>
          <w:b w:val="0"/>
          <w:bCs w:val="0"/>
          <w:sz w:val="32"/>
          <w:szCs w:val="32"/>
        </w:rPr>
        <w:t>七、决算公开联系方式</w:t>
      </w:r>
      <w:bookmarkStart w:id="0" w:name="_GoBack"/>
      <w:bookmarkEnd w:id="0"/>
    </w:p>
    <w:p>
      <w:pPr>
        <w:pStyle w:val="16"/>
        <w:tabs>
          <w:tab w:val="center" w:pos="4153"/>
          <w:tab w:val="left" w:pos="7275"/>
        </w:tabs>
        <w:spacing w:line="600" w:lineRule="exact"/>
        <w:ind w:firstLine="640"/>
        <w:rPr>
          <w:rFonts w:ascii="方正仿宋_GBK" w:eastAsia="方正仿宋_GBK"/>
          <w:sz w:val="32"/>
          <w:szCs w:val="32"/>
        </w:rPr>
      </w:pPr>
      <w:r>
        <w:rPr>
          <w:rFonts w:hint="eastAsia" w:ascii="方正仿宋_GBK" w:eastAsia="方正仿宋_GBK"/>
          <w:sz w:val="32"/>
          <w:szCs w:val="32"/>
        </w:rPr>
        <w:t>单位应提供能有效沟通的联系方式或渠道，便于公众咨询和反馈信息。</w:t>
      </w:r>
    </w:p>
    <w:p>
      <w:pPr>
        <w:ind w:firstLine="640" w:firstLineChars="200"/>
        <w:rPr>
          <w:rFonts w:hint="eastAsia" w:eastAsia="方正仿宋_GBK" w:cs="仿宋_GB2312"/>
          <w:b w:val="0"/>
          <w:bCs w:val="0"/>
          <w:sz w:val="32"/>
        </w:rPr>
      </w:pPr>
      <w:r>
        <w:rPr>
          <w:rFonts w:hint="eastAsia" w:eastAsia="方正仿宋_GBK" w:cs="仿宋_GB2312"/>
          <w:b w:val="0"/>
          <w:bCs w:val="0"/>
          <w:sz w:val="32"/>
        </w:rPr>
        <w:t>单位预算公开联系人：</w:t>
      </w:r>
      <w:r>
        <w:rPr>
          <w:rFonts w:hint="eastAsia" w:eastAsia="方正仿宋_GBK" w:cs="仿宋_GB2312"/>
          <w:b w:val="0"/>
          <w:bCs w:val="0"/>
          <w:sz w:val="32"/>
          <w:lang w:eastAsia="zh-CN"/>
        </w:rPr>
        <w:t>陈思竹</w:t>
      </w:r>
      <w:r>
        <w:rPr>
          <w:rFonts w:hint="eastAsia" w:eastAsia="方正仿宋_GBK" w:cs="仿宋_GB2312"/>
          <w:b w:val="0"/>
          <w:bCs w:val="0"/>
          <w:sz w:val="32"/>
        </w:rPr>
        <w:t xml:space="preserve">  </w:t>
      </w:r>
    </w:p>
    <w:p>
      <w:pPr>
        <w:ind w:firstLine="640" w:firstLineChars="200"/>
        <w:rPr>
          <w:rFonts w:hint="default" w:eastAsia="方正仿宋_GBK" w:cs="仿宋_GB2312"/>
          <w:b w:val="0"/>
          <w:bCs w:val="0"/>
          <w:sz w:val="32"/>
          <w:lang w:val="en-US" w:eastAsia="zh-CN"/>
        </w:rPr>
      </w:pPr>
      <w:r>
        <w:rPr>
          <w:rFonts w:hint="eastAsia" w:eastAsia="方正仿宋_GBK" w:cs="仿宋_GB2312"/>
          <w:b w:val="0"/>
          <w:bCs w:val="0"/>
          <w:sz w:val="32"/>
        </w:rPr>
        <w:t>联系方式：023-557</w:t>
      </w:r>
      <w:r>
        <w:rPr>
          <w:rFonts w:hint="eastAsia" w:eastAsia="方正仿宋_GBK" w:cs="仿宋_GB2312"/>
          <w:b w:val="0"/>
          <w:bCs w:val="0"/>
          <w:sz w:val="32"/>
          <w:lang w:val="en-US" w:eastAsia="zh-CN"/>
        </w:rPr>
        <w:t>59001</w:t>
      </w:r>
    </w:p>
    <w:p>
      <w:pPr>
        <w:spacing w:line="600" w:lineRule="exact"/>
        <w:ind w:firstLine="640" w:firstLineChars="200"/>
        <w:rPr>
          <w:rFonts w:ascii="方正仿宋_GBK" w:eastAsia="方正仿宋_GBK"/>
          <w:sz w:val="32"/>
          <w:szCs w:val="32"/>
        </w:rPr>
      </w:pP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9 -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8 -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0YzRiZjZmOTkyZTQ0MTI5MmUxYzYxZWM5YjIzMjc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1A6A"/>
    <w:rsid w:val="00073F65"/>
    <w:rsid w:val="000842FF"/>
    <w:rsid w:val="0009096F"/>
    <w:rsid w:val="000A2CFA"/>
    <w:rsid w:val="000B27F1"/>
    <w:rsid w:val="000B3E51"/>
    <w:rsid w:val="000C15A3"/>
    <w:rsid w:val="000C7FE9"/>
    <w:rsid w:val="000D5121"/>
    <w:rsid w:val="000D70FA"/>
    <w:rsid w:val="000E0C9E"/>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0DD"/>
    <w:rsid w:val="00191922"/>
    <w:rsid w:val="00196B3B"/>
    <w:rsid w:val="001B4EBF"/>
    <w:rsid w:val="001C5B49"/>
    <w:rsid w:val="001D1F56"/>
    <w:rsid w:val="001D2188"/>
    <w:rsid w:val="001D2D97"/>
    <w:rsid w:val="001D39FC"/>
    <w:rsid w:val="001D469D"/>
    <w:rsid w:val="001D53A5"/>
    <w:rsid w:val="001E4338"/>
    <w:rsid w:val="001E5901"/>
    <w:rsid w:val="001E7EE7"/>
    <w:rsid w:val="001F35D7"/>
    <w:rsid w:val="001F6342"/>
    <w:rsid w:val="001F69D5"/>
    <w:rsid w:val="00203926"/>
    <w:rsid w:val="00206DF8"/>
    <w:rsid w:val="002074F7"/>
    <w:rsid w:val="002101FA"/>
    <w:rsid w:val="00213778"/>
    <w:rsid w:val="002148AC"/>
    <w:rsid w:val="00222B01"/>
    <w:rsid w:val="002247FE"/>
    <w:rsid w:val="00224B1E"/>
    <w:rsid w:val="0023226D"/>
    <w:rsid w:val="002326A4"/>
    <w:rsid w:val="00235D7F"/>
    <w:rsid w:val="00242193"/>
    <w:rsid w:val="00251D58"/>
    <w:rsid w:val="00252306"/>
    <w:rsid w:val="00262C07"/>
    <w:rsid w:val="00271994"/>
    <w:rsid w:val="002726B1"/>
    <w:rsid w:val="0027559D"/>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B8D"/>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735D1"/>
    <w:rsid w:val="0038006A"/>
    <w:rsid w:val="00391856"/>
    <w:rsid w:val="003961FF"/>
    <w:rsid w:val="00397B03"/>
    <w:rsid w:val="003B21E3"/>
    <w:rsid w:val="003B27FF"/>
    <w:rsid w:val="003B6C43"/>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1558"/>
    <w:rsid w:val="004D20FC"/>
    <w:rsid w:val="004E451B"/>
    <w:rsid w:val="004E758F"/>
    <w:rsid w:val="004F0548"/>
    <w:rsid w:val="004F0AE7"/>
    <w:rsid w:val="004F4BAB"/>
    <w:rsid w:val="004F5255"/>
    <w:rsid w:val="00501E64"/>
    <w:rsid w:val="0050428A"/>
    <w:rsid w:val="0050454F"/>
    <w:rsid w:val="00505D0E"/>
    <w:rsid w:val="00526658"/>
    <w:rsid w:val="00533746"/>
    <w:rsid w:val="00536040"/>
    <w:rsid w:val="00546918"/>
    <w:rsid w:val="005507A2"/>
    <w:rsid w:val="00561338"/>
    <w:rsid w:val="00561975"/>
    <w:rsid w:val="00562796"/>
    <w:rsid w:val="00565117"/>
    <w:rsid w:val="0056679B"/>
    <w:rsid w:val="00573EC4"/>
    <w:rsid w:val="00583859"/>
    <w:rsid w:val="005901AA"/>
    <w:rsid w:val="005911E1"/>
    <w:rsid w:val="005A3116"/>
    <w:rsid w:val="005A5CCA"/>
    <w:rsid w:val="005A5FCF"/>
    <w:rsid w:val="005B100F"/>
    <w:rsid w:val="005B2D5D"/>
    <w:rsid w:val="005C38B2"/>
    <w:rsid w:val="005D1C46"/>
    <w:rsid w:val="005D2489"/>
    <w:rsid w:val="005D4003"/>
    <w:rsid w:val="005D4080"/>
    <w:rsid w:val="005D470C"/>
    <w:rsid w:val="005E1109"/>
    <w:rsid w:val="005E6EE3"/>
    <w:rsid w:val="005F0FF8"/>
    <w:rsid w:val="005F757D"/>
    <w:rsid w:val="00600C8F"/>
    <w:rsid w:val="00601553"/>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2EA0"/>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66840"/>
    <w:rsid w:val="00872593"/>
    <w:rsid w:val="008846E9"/>
    <w:rsid w:val="00890399"/>
    <w:rsid w:val="00892B3A"/>
    <w:rsid w:val="00895F15"/>
    <w:rsid w:val="008A0636"/>
    <w:rsid w:val="008A2A01"/>
    <w:rsid w:val="008A38D6"/>
    <w:rsid w:val="008A3D1E"/>
    <w:rsid w:val="008A43C6"/>
    <w:rsid w:val="008A49F0"/>
    <w:rsid w:val="008B7D00"/>
    <w:rsid w:val="008B7E78"/>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661"/>
    <w:rsid w:val="00980C64"/>
    <w:rsid w:val="00984F70"/>
    <w:rsid w:val="00995B9A"/>
    <w:rsid w:val="00995F22"/>
    <w:rsid w:val="00996706"/>
    <w:rsid w:val="0099789A"/>
    <w:rsid w:val="009A0F73"/>
    <w:rsid w:val="009A38B0"/>
    <w:rsid w:val="009A7B10"/>
    <w:rsid w:val="009B186D"/>
    <w:rsid w:val="009B46C1"/>
    <w:rsid w:val="009C3DE5"/>
    <w:rsid w:val="009C6EBF"/>
    <w:rsid w:val="009C7504"/>
    <w:rsid w:val="009C7673"/>
    <w:rsid w:val="009D21EA"/>
    <w:rsid w:val="009E153F"/>
    <w:rsid w:val="009E5778"/>
    <w:rsid w:val="009F0A76"/>
    <w:rsid w:val="009F1C2B"/>
    <w:rsid w:val="009F42A2"/>
    <w:rsid w:val="009F782A"/>
    <w:rsid w:val="009F7F6C"/>
    <w:rsid w:val="00A04BBF"/>
    <w:rsid w:val="00A05764"/>
    <w:rsid w:val="00A05FE8"/>
    <w:rsid w:val="00A075D0"/>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2A52"/>
    <w:rsid w:val="00B0351F"/>
    <w:rsid w:val="00B057E0"/>
    <w:rsid w:val="00B07C2C"/>
    <w:rsid w:val="00B10718"/>
    <w:rsid w:val="00B12E00"/>
    <w:rsid w:val="00B14F8C"/>
    <w:rsid w:val="00B15181"/>
    <w:rsid w:val="00B211A3"/>
    <w:rsid w:val="00B23783"/>
    <w:rsid w:val="00B316BA"/>
    <w:rsid w:val="00B41BE8"/>
    <w:rsid w:val="00B42D0C"/>
    <w:rsid w:val="00B456EF"/>
    <w:rsid w:val="00B463CF"/>
    <w:rsid w:val="00B54FA4"/>
    <w:rsid w:val="00B60D03"/>
    <w:rsid w:val="00B61D77"/>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E6455"/>
    <w:rsid w:val="00CF3987"/>
    <w:rsid w:val="00CF487D"/>
    <w:rsid w:val="00D01565"/>
    <w:rsid w:val="00D02C02"/>
    <w:rsid w:val="00D03E3C"/>
    <w:rsid w:val="00D03EFD"/>
    <w:rsid w:val="00D04855"/>
    <w:rsid w:val="00D06AE0"/>
    <w:rsid w:val="00D06B5C"/>
    <w:rsid w:val="00D1341C"/>
    <w:rsid w:val="00D1398B"/>
    <w:rsid w:val="00D13DA7"/>
    <w:rsid w:val="00D15AB0"/>
    <w:rsid w:val="00D20046"/>
    <w:rsid w:val="00D21A4A"/>
    <w:rsid w:val="00D22F1C"/>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4ECC"/>
    <w:rsid w:val="00DD6BBC"/>
    <w:rsid w:val="00DE0EDD"/>
    <w:rsid w:val="00DE3005"/>
    <w:rsid w:val="00DE735E"/>
    <w:rsid w:val="00DF32B3"/>
    <w:rsid w:val="00DF3B9C"/>
    <w:rsid w:val="00DF5A8E"/>
    <w:rsid w:val="00E115ED"/>
    <w:rsid w:val="00E20FA3"/>
    <w:rsid w:val="00E24893"/>
    <w:rsid w:val="00E260F2"/>
    <w:rsid w:val="00E372E2"/>
    <w:rsid w:val="00E46647"/>
    <w:rsid w:val="00E4699A"/>
    <w:rsid w:val="00E5411A"/>
    <w:rsid w:val="00E54302"/>
    <w:rsid w:val="00E6183C"/>
    <w:rsid w:val="00E64255"/>
    <w:rsid w:val="00E6465D"/>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5DF7"/>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1073"/>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5C1448E"/>
    <w:rsid w:val="07A34544"/>
    <w:rsid w:val="09823D8A"/>
    <w:rsid w:val="09851CEF"/>
    <w:rsid w:val="0A212893"/>
    <w:rsid w:val="0C994F52"/>
    <w:rsid w:val="0F5D6174"/>
    <w:rsid w:val="1016071E"/>
    <w:rsid w:val="10680E79"/>
    <w:rsid w:val="12EA2F1A"/>
    <w:rsid w:val="1A7919B9"/>
    <w:rsid w:val="1C515D85"/>
    <w:rsid w:val="1CCA6151"/>
    <w:rsid w:val="1D437979"/>
    <w:rsid w:val="1D4708B1"/>
    <w:rsid w:val="1EF96BEA"/>
    <w:rsid w:val="20C07FC8"/>
    <w:rsid w:val="24BD2ED0"/>
    <w:rsid w:val="25FF1317"/>
    <w:rsid w:val="26487E8F"/>
    <w:rsid w:val="2BC73FBA"/>
    <w:rsid w:val="2C715093"/>
    <w:rsid w:val="2C9D0F61"/>
    <w:rsid w:val="31D038C6"/>
    <w:rsid w:val="33E26C06"/>
    <w:rsid w:val="35521A2B"/>
    <w:rsid w:val="355E472E"/>
    <w:rsid w:val="35EA737B"/>
    <w:rsid w:val="38BD3900"/>
    <w:rsid w:val="3B0A6EB4"/>
    <w:rsid w:val="3B307A72"/>
    <w:rsid w:val="3C1860E9"/>
    <w:rsid w:val="3C265FAB"/>
    <w:rsid w:val="3E7869D9"/>
    <w:rsid w:val="42E8144C"/>
    <w:rsid w:val="48C3403D"/>
    <w:rsid w:val="498D6EB3"/>
    <w:rsid w:val="4E4C4964"/>
    <w:rsid w:val="4E9D44D9"/>
    <w:rsid w:val="52E5462F"/>
    <w:rsid w:val="53BD0CC2"/>
    <w:rsid w:val="55CD6DBF"/>
    <w:rsid w:val="5611565E"/>
    <w:rsid w:val="565A5E3A"/>
    <w:rsid w:val="584366A5"/>
    <w:rsid w:val="5BEA616D"/>
    <w:rsid w:val="5CB40679"/>
    <w:rsid w:val="61D16983"/>
    <w:rsid w:val="65BA55E9"/>
    <w:rsid w:val="6A712F65"/>
    <w:rsid w:val="6AB167E6"/>
    <w:rsid w:val="6E904287"/>
    <w:rsid w:val="70C87CAA"/>
    <w:rsid w:val="72C81D24"/>
    <w:rsid w:val="733B0745"/>
    <w:rsid w:val="73772C48"/>
    <w:rsid w:val="740F2AC3"/>
    <w:rsid w:val="745909D3"/>
    <w:rsid w:val="764519E3"/>
    <w:rsid w:val="77513E87"/>
    <w:rsid w:val="7A640644"/>
    <w:rsid w:val="7AC53F39"/>
    <w:rsid w:val="7AD1285B"/>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customStyle="1" w:styleId="9">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0">
    <w:name w:val="批注框文本 Char"/>
    <w:link w:val="2"/>
    <w:semiHidden/>
    <w:qFormat/>
    <w:uiPriority w:val="99"/>
    <w:rPr>
      <w:kern w:val="2"/>
      <w:sz w:val="18"/>
      <w:szCs w:val="18"/>
    </w:rPr>
  </w:style>
  <w:style w:type="character" w:customStyle="1" w:styleId="11">
    <w:name w:val="font41"/>
    <w:basedOn w:val="7"/>
    <w:qFormat/>
    <w:uiPriority w:val="0"/>
    <w:rPr>
      <w:rFonts w:hint="default" w:ascii="Times New Roman" w:hAnsi="Times New Roman" w:cs="Times New Roman"/>
      <w:color w:val="000000"/>
      <w:sz w:val="18"/>
      <w:szCs w:val="18"/>
      <w:u w:val="none"/>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624</Words>
  <Characters>3562</Characters>
  <Lines>29</Lines>
  <Paragraphs>8</Paragraphs>
  <TotalTime>0</TotalTime>
  <ScaleCrop>false</ScaleCrop>
  <LinksUpToDate>false</LinksUpToDate>
  <CharactersWithSpaces>4178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2023-10-18T09:44:00Z</dcterms:created>
  <dc:creator>微软用户</dc:creator>
  <cp:lastModifiedBy>橘子和橙子</cp:lastModifiedBy>
  <cp:lastPrinted>2023-10-24T03:53:00Z</cp:lastPrinted>
  <dcterms:modified xsi:type="dcterms:W3CDTF">2023-11-20T10:19:19Z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3E3620148A124F9B9944B0016AF4A525_12</vt:lpwstr>
  </property>
</Properties>
</file>