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44"/>
          <w:szCs w:val="44"/>
          <w:highlight w:val="none"/>
          <w:lang w:val="en-US" w:eastAsia="zh-CN"/>
        </w:rPr>
      </w:pPr>
      <w:r>
        <w:rPr>
          <w:rFonts w:hint="eastAsia" w:ascii="方正小标宋_GBK" w:eastAsia="方正小标宋_GBK"/>
          <w:sz w:val="44"/>
          <w:szCs w:val="44"/>
          <w:highlight w:val="none"/>
          <w:lang w:val="en-US" w:eastAsia="zh-CN"/>
        </w:rPr>
        <w:t>云阳县蔈草镇农业服务中心</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sz w:val="44"/>
          <w:szCs w:val="44"/>
          <w:highlight w:val="none"/>
        </w:rPr>
      </w:pPr>
      <w:r>
        <w:rPr>
          <w:rFonts w:hint="default" w:ascii="Times New Roman" w:hAnsi="Times New Roman" w:eastAsia="方正小标宋_GBK" w:cs="Times New Roman"/>
          <w:sz w:val="44"/>
          <w:szCs w:val="44"/>
          <w:highlight w:val="none"/>
        </w:rPr>
        <w:t>202</w:t>
      </w:r>
      <w:r>
        <w:rPr>
          <w:rFonts w:hint="default" w:ascii="Times New Roman" w:hAnsi="Times New Roman" w:eastAsia="方正小标宋_GBK" w:cs="Times New Roman"/>
          <w:sz w:val="44"/>
          <w:szCs w:val="44"/>
          <w:highlight w:val="none"/>
          <w:lang w:val="en-US" w:eastAsia="zh-CN"/>
        </w:rPr>
        <w:t>2</w:t>
      </w:r>
      <w:r>
        <w:rPr>
          <w:rFonts w:hint="eastAsia" w:ascii="方正小标宋_GBK" w:eastAsia="方正小标宋_GBK"/>
          <w:sz w:val="44"/>
          <w:szCs w:val="44"/>
          <w:highlight w:val="none"/>
        </w:rPr>
        <w:t>年度</w:t>
      </w:r>
      <w:r>
        <w:rPr>
          <w:rFonts w:hint="eastAsia" w:ascii="方正小标宋_GBK" w:eastAsia="方正小标宋_GBK"/>
          <w:sz w:val="44"/>
          <w:szCs w:val="44"/>
          <w:highlight w:val="none"/>
          <w:lang w:eastAsia="zh-CN"/>
        </w:rPr>
        <w:t>部门</w:t>
      </w:r>
      <w:r>
        <w:rPr>
          <w:rFonts w:hint="eastAsia" w:ascii="方正小标宋_GBK" w:eastAsia="方正小标宋_GBK"/>
          <w:sz w:val="44"/>
          <w:szCs w:val="44"/>
          <w:highlight w:val="none"/>
        </w:rPr>
        <w:t>决算</w:t>
      </w:r>
      <w:r>
        <w:rPr>
          <w:rFonts w:hint="eastAsia" w:ascii="方正小标宋_GBK" w:eastAsia="方正小标宋_GBK"/>
          <w:sz w:val="44"/>
          <w:szCs w:val="44"/>
          <w:highlight w:val="none"/>
          <w:lang w:eastAsia="zh-CN"/>
        </w:rPr>
        <w:t>公开</w:t>
      </w:r>
      <w:r>
        <w:rPr>
          <w:rFonts w:hint="eastAsia" w:ascii="方正小标宋_GBK" w:eastAsia="方正小标宋_GBK"/>
          <w:sz w:val="44"/>
          <w:szCs w:val="44"/>
          <w:highlight w:val="none"/>
        </w:rPr>
        <w:t>说明</w:t>
      </w:r>
    </w:p>
    <w:p>
      <w:pPr>
        <w:spacing w:line="600" w:lineRule="exact"/>
        <w:ind w:firstLine="883" w:firstLineChars="200"/>
        <w:rPr>
          <w:rFonts w:hint="eastAsia" w:ascii="方正仿宋简体" w:hAnsi="华文中宋" w:eastAsia="方正仿宋简体"/>
          <w:b/>
          <w:sz w:val="44"/>
          <w:szCs w:val="44"/>
          <w:highlight w:val="none"/>
        </w:rPr>
      </w:pP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t>一、部门基本情况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rPr>
      </w:pPr>
      <w:r>
        <w:rPr>
          <w:rFonts w:hint="eastAsia" w:ascii="方正楷体_GBK" w:hAnsi="方正楷体_GBK" w:eastAsia="方正楷体_GBK" w:cs="方正楷体_GBK"/>
          <w:kern w:val="0"/>
          <w:sz w:val="32"/>
          <w:szCs w:val="32"/>
          <w:highlight w:val="none"/>
          <w:lang w:eastAsia="zh-CN"/>
        </w:rPr>
        <w:t>（</w:t>
      </w:r>
      <w:r>
        <w:rPr>
          <w:rFonts w:hint="eastAsia" w:ascii="方正楷体_GBK" w:hAnsi="方正楷体_GBK" w:eastAsia="方正楷体_GBK" w:cs="方正楷体_GBK"/>
          <w:kern w:val="0"/>
          <w:sz w:val="32"/>
          <w:szCs w:val="32"/>
          <w:highlight w:val="none"/>
          <w:lang w:val="en-US" w:eastAsia="zh-CN"/>
        </w:rPr>
        <w:t>一</w:t>
      </w:r>
      <w:r>
        <w:rPr>
          <w:rFonts w:hint="eastAsia" w:ascii="方正楷体_GBK" w:hAnsi="方正楷体_GBK" w:eastAsia="方正楷体_GBK" w:cs="方正楷体_GBK"/>
          <w:kern w:val="0"/>
          <w:sz w:val="32"/>
          <w:szCs w:val="32"/>
          <w:highlight w:val="none"/>
          <w:lang w:eastAsia="zh-CN"/>
        </w:rPr>
        <w:t>）</w:t>
      </w:r>
      <w:r>
        <w:rPr>
          <w:rFonts w:hint="eastAsia" w:ascii="方正楷体_GBK" w:hAnsi="方正楷体_GBK" w:eastAsia="方正楷体_GBK" w:cs="方正楷体_GBK"/>
          <w:bCs/>
          <w:sz w:val="32"/>
          <w:szCs w:val="32"/>
          <w:lang w:val="en-US" w:eastAsia="zh-CN"/>
        </w:rPr>
        <w:t>职能职责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sz w:val="32"/>
          <w:szCs w:val="32"/>
          <w:highlight w:val="none"/>
        </w:rPr>
        <w:t>负责农业技术、农业新产品引进、试验、推广，病虫害防治，农产品质量检验检测工作；负责林业技术培训与推广，协助开展林业发展规划</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森林防火、病虫害防治工作；协助开展植物检疫工作；</w:t>
      </w:r>
      <w:r>
        <w:rPr>
          <w:rFonts w:hint="eastAsia" w:ascii="方正仿宋_GBK" w:hAnsi="方正仿宋_GBK" w:eastAsia="方正仿宋_GBK" w:cs="方正仿宋_GBK"/>
          <w:sz w:val="32"/>
          <w:szCs w:val="32"/>
          <w:highlight w:val="none"/>
          <w:lang w:eastAsia="zh-CN"/>
        </w:rPr>
        <w:t>协助</w:t>
      </w:r>
      <w:r>
        <w:rPr>
          <w:rFonts w:hint="eastAsia" w:ascii="方正仿宋_GBK" w:hAnsi="方正仿宋_GBK" w:eastAsia="方正仿宋_GBK" w:cs="方正仿宋_GBK"/>
          <w:sz w:val="32"/>
          <w:szCs w:val="32"/>
          <w:highlight w:val="none"/>
        </w:rPr>
        <w:t>实施动物疫病的防疫、强制免疫</w:t>
      </w:r>
      <w:r>
        <w:rPr>
          <w:rFonts w:hint="eastAsia" w:ascii="方正仿宋_GBK" w:hAnsi="方正仿宋_GBK" w:eastAsia="方正仿宋_GBK" w:cs="方正仿宋_GBK"/>
          <w:sz w:val="32"/>
          <w:szCs w:val="32"/>
          <w:highlight w:val="none"/>
          <w:lang w:eastAsia="zh-CN"/>
        </w:rPr>
        <w:t>工作，</w:t>
      </w:r>
      <w:r>
        <w:rPr>
          <w:rFonts w:hint="eastAsia" w:ascii="方正仿宋_GBK" w:hAnsi="方正仿宋_GBK" w:eastAsia="方正仿宋_GBK" w:cs="方正仿宋_GBK"/>
          <w:sz w:val="32"/>
          <w:szCs w:val="32"/>
          <w:highlight w:val="none"/>
        </w:rPr>
        <w:t>承担动物、动物产品的检疫工作；</w:t>
      </w:r>
      <w:r>
        <w:rPr>
          <w:rFonts w:hint="eastAsia" w:ascii="方正仿宋_GBK" w:hAnsi="方正仿宋_GBK" w:eastAsia="方正仿宋_GBK" w:cs="方正仿宋_GBK"/>
          <w:sz w:val="32"/>
          <w:szCs w:val="32"/>
          <w:highlight w:val="none"/>
          <w:lang w:eastAsia="zh-CN"/>
        </w:rPr>
        <w:t>协助制定</w:t>
      </w:r>
      <w:r>
        <w:rPr>
          <w:rFonts w:hint="eastAsia" w:ascii="方正仿宋_GBK" w:hAnsi="方正仿宋_GBK" w:eastAsia="方正仿宋_GBK" w:cs="方正仿宋_GBK"/>
          <w:sz w:val="32"/>
          <w:szCs w:val="32"/>
          <w:highlight w:val="none"/>
        </w:rPr>
        <w:t>农机发展规划，</w:t>
      </w:r>
      <w:r>
        <w:rPr>
          <w:rFonts w:hint="eastAsia" w:ascii="方正仿宋_GBK" w:hAnsi="方正仿宋_GBK" w:eastAsia="方正仿宋_GBK" w:cs="方正仿宋_GBK"/>
          <w:sz w:val="32"/>
          <w:szCs w:val="32"/>
          <w:highlight w:val="none"/>
          <w:lang w:eastAsia="zh-CN"/>
        </w:rPr>
        <w:t>负责</w:t>
      </w:r>
      <w:r>
        <w:rPr>
          <w:rFonts w:hint="eastAsia" w:ascii="方正仿宋_GBK" w:hAnsi="方正仿宋_GBK" w:eastAsia="方正仿宋_GBK" w:cs="方正仿宋_GBK"/>
          <w:sz w:val="32"/>
          <w:szCs w:val="32"/>
          <w:highlight w:val="none"/>
        </w:rPr>
        <w:t>农业机械技术推广；负责水利基本建设服务，防汛抗旱、小（二）型水库及以下水利工程管理</w:t>
      </w:r>
      <w:r>
        <w:rPr>
          <w:rFonts w:hint="eastAsia" w:ascii="方正仿宋_GBK" w:hAnsi="方正仿宋_GBK" w:eastAsia="方正仿宋_GBK" w:cs="方正仿宋_GBK"/>
          <w:sz w:val="32"/>
          <w:szCs w:val="32"/>
          <w:highlight w:val="none"/>
          <w:lang w:eastAsia="zh-CN"/>
        </w:rPr>
        <w:t>的</w:t>
      </w:r>
      <w:r>
        <w:rPr>
          <w:rFonts w:hint="eastAsia" w:ascii="方正仿宋_GBK" w:hAnsi="方正仿宋_GBK" w:eastAsia="方正仿宋_GBK" w:cs="方正仿宋_GBK"/>
          <w:sz w:val="32"/>
          <w:szCs w:val="32"/>
          <w:highlight w:val="none"/>
        </w:rPr>
        <w:t>服务工作；负责气象灾害预警信息传输、发布；负责果品技术指导、培训与推广。</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rPr>
      </w:pPr>
      <w:r>
        <w:rPr>
          <w:rFonts w:hint="eastAsia" w:ascii="方正楷体_GBK" w:hAnsi="方正楷体_GBK" w:eastAsia="方正楷体_GBK" w:cs="方正楷体_GBK"/>
          <w:bCs/>
          <w:sz w:val="32"/>
          <w:szCs w:val="32"/>
          <w:lang w:val="en-US" w:eastAsia="zh-CN"/>
        </w:rPr>
        <w:t>机构设置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宋体" w:eastAsia="方正仿宋_GBK" w:cs="宋体"/>
          <w:color w:val="111111"/>
          <w:kern w:val="0"/>
          <w:sz w:val="32"/>
          <w:szCs w:val="32"/>
        </w:rPr>
      </w:pPr>
      <w:r>
        <w:rPr>
          <w:rFonts w:hint="eastAsia" w:ascii="Times New Roman" w:hAnsi="宋体" w:eastAsia="方正仿宋_GBK" w:cs="宋体"/>
          <w:color w:val="111111"/>
          <w:kern w:val="0"/>
          <w:sz w:val="32"/>
          <w:szCs w:val="32"/>
        </w:rPr>
        <w:t>本单位为云阳县</w:t>
      </w:r>
      <w:r>
        <w:rPr>
          <w:rFonts w:hint="eastAsia" w:hAnsi="宋体" w:eastAsia="方正仿宋_GBK" w:cs="宋体"/>
          <w:color w:val="111111"/>
          <w:kern w:val="0"/>
          <w:sz w:val="32"/>
          <w:szCs w:val="32"/>
          <w:lang w:val="en-US" w:eastAsia="zh-CN"/>
        </w:rPr>
        <w:t>蔈草镇人民政府</w:t>
      </w:r>
      <w:r>
        <w:rPr>
          <w:rFonts w:hint="eastAsia" w:ascii="Times New Roman" w:hAnsi="宋体" w:eastAsia="方正仿宋_GBK" w:cs="宋体"/>
          <w:color w:val="111111"/>
          <w:kern w:val="0"/>
          <w:sz w:val="32"/>
          <w:szCs w:val="32"/>
        </w:rPr>
        <w:t>下属单位，无独立的机构设置。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方正楷体_GBK" w:hAnsi="方正楷体_GBK" w:eastAsia="方正楷体_GBK" w:cs="方正楷体_GBK"/>
          <w:bCs/>
          <w:sz w:val="32"/>
          <w:szCs w:val="32"/>
          <w:lang w:val="en-US" w:eastAsia="zh-CN"/>
        </w:rPr>
      </w:pP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val="en-US" w:eastAsia="zh-CN"/>
        </w:rPr>
        <w:t>三</w:t>
      </w:r>
      <w:r>
        <w:rPr>
          <w:rFonts w:hint="eastAsia" w:ascii="方正楷体_GBK" w:hAnsi="方正楷体_GBK" w:eastAsia="方正楷体_GBK" w:cs="方正楷体_GBK"/>
          <w:bCs/>
          <w:sz w:val="32"/>
          <w:szCs w:val="32"/>
        </w:rPr>
        <w:t>）</w:t>
      </w:r>
      <w:r>
        <w:rPr>
          <w:rFonts w:hint="eastAsia" w:ascii="方正楷体_GBK" w:hAnsi="方正楷体_GBK" w:eastAsia="方正楷体_GBK" w:cs="方正楷体_GBK"/>
          <w:bCs/>
          <w:sz w:val="32"/>
          <w:szCs w:val="32"/>
          <w:lang w:val="en-US" w:eastAsia="zh-CN"/>
        </w:rPr>
        <w:t>单位构成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Times New Roman" w:hAnsi="宋体" w:eastAsia="方正仿宋_GBK" w:cs="宋体"/>
          <w:color w:val="111111"/>
          <w:kern w:val="0"/>
          <w:sz w:val="32"/>
          <w:szCs w:val="32"/>
        </w:rPr>
        <w:t>本单位为云阳县</w:t>
      </w:r>
      <w:r>
        <w:rPr>
          <w:rFonts w:hint="eastAsia" w:hAnsi="宋体" w:eastAsia="方正仿宋_GBK" w:cs="宋体"/>
          <w:color w:val="111111"/>
          <w:kern w:val="0"/>
          <w:sz w:val="32"/>
          <w:szCs w:val="32"/>
          <w:lang w:val="en-US" w:eastAsia="zh-CN"/>
        </w:rPr>
        <w:t>蔈草镇人民政府</w:t>
      </w:r>
      <w:r>
        <w:rPr>
          <w:rFonts w:hint="eastAsia" w:ascii="Times New Roman" w:hAnsi="宋体" w:eastAsia="方正仿宋_GBK" w:cs="宋体"/>
          <w:color w:val="111111"/>
          <w:kern w:val="0"/>
          <w:sz w:val="32"/>
          <w:szCs w:val="32"/>
        </w:rPr>
        <w:t>下属单位，无单位构成。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rPr>
      </w:pPr>
      <w:r>
        <w:rPr>
          <w:rFonts w:hint="eastAsia" w:ascii="方正黑体_GBK" w:hAnsi="方正黑体_GBK" w:eastAsia="方正黑体_GBK" w:cs="方正黑体_GBK"/>
          <w:sz w:val="32"/>
          <w:szCs w:val="32"/>
          <w:highlight w:val="none"/>
        </w:rPr>
        <w:t>二、部门决算情况说明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（一）收入支出决算总体情况说明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1.总体情况。</w:t>
      </w:r>
      <w:r>
        <w:rPr>
          <w:rFonts w:hint="eastAsia" w:ascii="方正仿宋_GBK" w:hAnsi="方正仿宋_GBK" w:eastAsia="方正仿宋_GBK" w:cs="方正仿宋_GBK"/>
          <w:sz w:val="32"/>
          <w:szCs w:val="32"/>
          <w:highlight w:val="none"/>
          <w:shd w:val="clear" w:color="auto" w:fill="auto"/>
          <w:lang w:val="en-US" w:eastAsia="zh-CN"/>
        </w:rPr>
        <w:t>2022年度收入总计293.39万元，支出总计293.39万元，年末结转和结余0万元。收支较上年决算数增加293.39万元，主要原因是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2.收入情况。</w:t>
      </w:r>
      <w:r>
        <w:rPr>
          <w:rFonts w:hint="eastAsia" w:ascii="方正仿宋_GBK" w:hAnsi="方正仿宋_GBK" w:eastAsia="方正仿宋_GBK" w:cs="方正仿宋_GBK"/>
          <w:sz w:val="32"/>
          <w:szCs w:val="32"/>
          <w:highlight w:val="none"/>
          <w:shd w:val="clear" w:color="auto" w:fill="auto"/>
          <w:lang w:val="en-US" w:eastAsia="zh-CN"/>
        </w:rPr>
        <w:t>2022年度收入合计293.39万元，其中财政拨款收入251.39万元，占85.7%；年初结转和结余42万元，占14.3%。较上年决算数增加293.39万元，主要原因是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楷体_GBK" w:hAnsi="方正楷体_GBK" w:eastAsia="方正楷体_GBK" w:cs="方正楷体_GBK"/>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3.支出情况。</w:t>
      </w:r>
      <w:r>
        <w:rPr>
          <w:rFonts w:hint="eastAsia" w:ascii="方正仿宋_GBK" w:hAnsi="方正仿宋_GBK" w:eastAsia="方正仿宋_GBK" w:cs="方正仿宋_GBK"/>
          <w:sz w:val="32"/>
          <w:szCs w:val="32"/>
          <w:highlight w:val="none"/>
          <w:shd w:val="clear" w:color="auto" w:fill="auto"/>
          <w:lang w:val="en-US" w:eastAsia="zh-CN"/>
        </w:rPr>
        <w:t>2022年度支出合计293.39万元，基本支出293.39万元，占100%，无项目支出。较上年决算数增加293.39万元，主要原因是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4.结转结余情况。</w:t>
      </w:r>
      <w:r>
        <w:rPr>
          <w:rFonts w:hint="eastAsia" w:ascii="方正仿宋_GBK" w:hAnsi="方正仿宋_GBK" w:eastAsia="方正仿宋_GBK" w:cs="方正仿宋_GBK"/>
          <w:sz w:val="32"/>
          <w:szCs w:val="32"/>
          <w:highlight w:val="none"/>
          <w:shd w:val="clear" w:color="auto" w:fill="auto"/>
          <w:lang w:val="en-US" w:eastAsia="zh-CN"/>
        </w:rPr>
        <w:t>2022年度年末结转和结余0万元，较上年决算数减少42万元，主要是因为2021年较多运行经费未及时支付，在2022年完成支付。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仿宋_GBK" w:hAnsi="方正仿宋_GBK" w:eastAsia="方正仿宋_GBK" w:cs="方正仿宋_GBK"/>
          <w:sz w:val="32"/>
          <w:szCs w:val="32"/>
          <w:highlight w:val="none"/>
          <w:shd w:val="clear" w:color="auto" w:fill="auto"/>
          <w:lang w:val="en-US" w:eastAsia="zh-CN"/>
        </w:rPr>
        <w:t>2022年度财政拨款收入总计251.39万元，支出总计251.39万元，年末结转和结余0万元。与2021年相比，财政拨款收支总计各增加251.39万元，主要原因是2021年本单位纳入云阳县蔈草镇人民政府集中决算，未单独列决算，2022年新增为决算单位，上年决算数为0.00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rPr>
      </w:pPr>
      <w:r>
        <w:rPr>
          <w:rFonts w:hint="eastAsia" w:ascii="方正仿宋_GBK" w:hAnsi="方正仿宋_GBK" w:eastAsia="方正仿宋_GBK" w:cs="方正仿宋_GBK"/>
          <w:b/>
          <w:bCs/>
          <w:sz w:val="32"/>
          <w:szCs w:val="32"/>
          <w:highlight w:val="none"/>
          <w:shd w:val="clear" w:color="auto" w:fill="auto"/>
        </w:rPr>
        <w:t>1. 收入情况</w:t>
      </w:r>
      <w:r>
        <w:rPr>
          <w:rFonts w:hint="eastAsia" w:ascii="方正仿宋_GBK" w:hAnsi="方正仿宋_GBK" w:eastAsia="方正仿宋_GBK" w:cs="方正仿宋_GBK"/>
          <w:b/>
          <w:bCs/>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lang w:val="en-US" w:eastAsia="zh-CN"/>
        </w:rPr>
        <w:t>2022年年终决算数293.39</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其中</w:t>
      </w:r>
      <w:r>
        <w:rPr>
          <w:rFonts w:hint="eastAsia" w:ascii="方正仿宋_GBK" w:hAnsi="方正仿宋_GBK" w:eastAsia="方正仿宋_GBK" w:cs="方正仿宋_GBK"/>
          <w:sz w:val="32"/>
          <w:szCs w:val="32"/>
          <w:highlight w:val="none"/>
          <w:shd w:val="clear" w:color="auto" w:fill="auto"/>
        </w:rPr>
        <w:t>一般公共预算</w:t>
      </w:r>
      <w:r>
        <w:rPr>
          <w:rFonts w:hint="eastAsia" w:ascii="方正仿宋_GBK" w:hAnsi="方正仿宋_GBK" w:eastAsia="方正仿宋_GBK" w:cs="方正仿宋_GBK"/>
          <w:sz w:val="32"/>
          <w:szCs w:val="32"/>
          <w:highlight w:val="none"/>
          <w:shd w:val="clear" w:color="auto" w:fill="auto"/>
          <w:lang w:val="en-US" w:eastAsia="zh-CN"/>
        </w:rPr>
        <w:t>财政拨款</w:t>
      </w:r>
      <w:r>
        <w:rPr>
          <w:rFonts w:hint="eastAsia" w:ascii="方正仿宋_GBK" w:hAnsi="方正仿宋_GBK" w:eastAsia="方正仿宋_GBK" w:cs="方正仿宋_GBK"/>
          <w:sz w:val="32"/>
          <w:szCs w:val="32"/>
          <w:highlight w:val="none"/>
          <w:shd w:val="clear" w:color="auto" w:fill="auto"/>
        </w:rPr>
        <w:t>收入</w:t>
      </w:r>
      <w:r>
        <w:rPr>
          <w:rFonts w:hint="eastAsia" w:ascii="方正仿宋_GBK" w:hAnsi="方正仿宋_GBK" w:eastAsia="方正仿宋_GBK" w:cs="方正仿宋_GBK"/>
          <w:sz w:val="32"/>
          <w:szCs w:val="32"/>
          <w:highlight w:val="none"/>
          <w:shd w:val="clear" w:color="auto" w:fill="auto"/>
          <w:lang w:val="en-US" w:eastAsia="zh-CN"/>
        </w:rPr>
        <w:t>251.39</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年初结转和结余42万元。较上年决算数增加293.39万元，主要原因是2021年本单位纳入云阳县蔈草镇人民政府集中决算，未单独列决算，2022年新增为决算单位，上年决算数为0.00万元。较年初预算数增加38.87万元，增长15.3%，主要原因是增加年初结转和结余资金42万元，年中有人员减少人员经费减少3.13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rPr>
      </w:pPr>
      <w:r>
        <w:rPr>
          <w:rFonts w:hint="eastAsia" w:ascii="方正仿宋_GBK" w:hAnsi="方正仿宋_GBK" w:eastAsia="方正仿宋_GBK" w:cs="方正仿宋_GBK"/>
          <w:b/>
          <w:bCs/>
          <w:sz w:val="32"/>
          <w:szCs w:val="32"/>
          <w:highlight w:val="none"/>
          <w:shd w:val="clear" w:color="auto" w:fill="auto"/>
        </w:rPr>
        <w:t>2.支出情况</w:t>
      </w:r>
      <w:r>
        <w:rPr>
          <w:rFonts w:hint="eastAsia" w:ascii="方正仿宋_GBK" w:hAnsi="方正仿宋_GBK" w:eastAsia="方正仿宋_GBK" w:cs="方正仿宋_GBK"/>
          <w:b/>
          <w:bCs/>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rPr>
        <w:t>2022年一般公共预算本级支出</w:t>
      </w:r>
      <w:r>
        <w:rPr>
          <w:rFonts w:hint="eastAsia" w:ascii="方正仿宋_GBK" w:hAnsi="方正仿宋_GBK" w:eastAsia="方正仿宋_GBK" w:cs="方正仿宋_GBK"/>
          <w:sz w:val="32"/>
          <w:szCs w:val="32"/>
          <w:highlight w:val="none"/>
          <w:shd w:val="clear" w:color="auto" w:fill="auto"/>
          <w:lang w:val="en-US" w:eastAsia="zh-CN"/>
        </w:rPr>
        <w:t>293.39</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eastAsia="zh-CN"/>
        </w:rPr>
        <w:t>，较上年决算数增加</w:t>
      </w:r>
      <w:r>
        <w:rPr>
          <w:rFonts w:hint="eastAsia" w:ascii="方正仿宋_GBK" w:hAnsi="方正仿宋_GBK" w:eastAsia="方正仿宋_GBK" w:cs="方正仿宋_GBK"/>
          <w:sz w:val="32"/>
          <w:szCs w:val="32"/>
          <w:highlight w:val="none"/>
          <w:shd w:val="clear" w:color="auto" w:fill="auto"/>
          <w:lang w:val="en-US" w:eastAsia="zh-CN"/>
        </w:rPr>
        <w:t>293.39</w:t>
      </w:r>
      <w:r>
        <w:rPr>
          <w:rFonts w:hint="eastAsia" w:ascii="方正仿宋_GBK" w:hAnsi="方正仿宋_GBK" w:eastAsia="方正仿宋_GBK" w:cs="方正仿宋_GBK"/>
          <w:sz w:val="32"/>
          <w:szCs w:val="32"/>
          <w:highlight w:val="none"/>
          <w:shd w:val="clear" w:color="auto" w:fill="auto"/>
          <w:lang w:eastAsia="zh-CN"/>
        </w:rPr>
        <w:t>万元，主要原因是2021年本单位纳入云阳县蔈草镇人民政府集中决算，未单独列决算，2022年新增为决算单位，上年决算数为0.00万元。较年初预算数增加</w:t>
      </w:r>
      <w:r>
        <w:rPr>
          <w:rFonts w:hint="eastAsia" w:ascii="方正仿宋_GBK" w:hAnsi="方正仿宋_GBK" w:eastAsia="方正仿宋_GBK" w:cs="方正仿宋_GBK"/>
          <w:sz w:val="32"/>
          <w:szCs w:val="32"/>
          <w:highlight w:val="none"/>
          <w:shd w:val="clear" w:color="auto" w:fill="auto"/>
          <w:lang w:val="en-US" w:eastAsia="zh-CN"/>
        </w:rPr>
        <w:t>38.87</w:t>
      </w:r>
      <w:r>
        <w:rPr>
          <w:rFonts w:hint="eastAsia" w:ascii="方正仿宋_GBK" w:hAnsi="方正仿宋_GBK" w:eastAsia="方正仿宋_GBK" w:cs="方正仿宋_GBK"/>
          <w:sz w:val="32"/>
          <w:szCs w:val="32"/>
          <w:highlight w:val="none"/>
          <w:shd w:val="clear" w:color="auto" w:fill="auto"/>
          <w:lang w:eastAsia="zh-CN"/>
        </w:rPr>
        <w:t>万元，增长</w:t>
      </w:r>
      <w:r>
        <w:rPr>
          <w:rFonts w:hint="eastAsia" w:ascii="方正仿宋_GBK" w:hAnsi="方正仿宋_GBK" w:eastAsia="方正仿宋_GBK" w:cs="方正仿宋_GBK"/>
          <w:sz w:val="32"/>
          <w:szCs w:val="32"/>
          <w:highlight w:val="none"/>
          <w:shd w:val="clear" w:color="auto" w:fill="auto"/>
          <w:lang w:val="en-US" w:eastAsia="zh-CN"/>
        </w:rPr>
        <w:t>15.3</w:t>
      </w:r>
      <w:r>
        <w:rPr>
          <w:rFonts w:hint="eastAsia" w:ascii="方正仿宋_GBK" w:hAnsi="方正仿宋_GBK" w:eastAsia="方正仿宋_GBK" w:cs="方正仿宋_GBK"/>
          <w:sz w:val="32"/>
          <w:szCs w:val="32"/>
          <w:highlight w:val="none"/>
          <w:shd w:val="clear" w:color="auto" w:fill="auto"/>
          <w:lang w:eastAsia="zh-CN"/>
        </w:rPr>
        <w:t>%，主要原因是</w:t>
      </w:r>
      <w:r>
        <w:rPr>
          <w:rFonts w:hint="eastAsia" w:ascii="方正仿宋_GBK" w:hAnsi="方正仿宋_GBK" w:eastAsia="方正仿宋_GBK" w:cs="方正仿宋_GBK"/>
          <w:sz w:val="32"/>
          <w:szCs w:val="32"/>
          <w:highlight w:val="none"/>
          <w:shd w:val="clear" w:color="auto" w:fill="auto"/>
          <w:lang w:val="en-US" w:eastAsia="zh-CN"/>
        </w:rPr>
        <w:t>增加年初结转和结余资金42万元，年中有人员减少人员经费减少3.13万元。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shd w:val="clear" w:color="auto" w:fill="auto"/>
        </w:rPr>
      </w:pPr>
      <w:r>
        <w:rPr>
          <w:rFonts w:hint="eastAsia" w:ascii="方正仿宋_GBK" w:hAnsi="方正仿宋_GBK" w:eastAsia="方正仿宋_GBK" w:cs="方正仿宋_GBK"/>
          <w:b/>
          <w:bCs/>
          <w:sz w:val="32"/>
          <w:szCs w:val="32"/>
          <w:highlight w:val="none"/>
          <w:shd w:val="clear" w:color="auto" w:fill="auto"/>
        </w:rPr>
        <w:t>3.结转结余情况</w:t>
      </w:r>
      <w:r>
        <w:rPr>
          <w:rFonts w:hint="eastAsia" w:ascii="方正仿宋_GBK" w:hAnsi="方正仿宋_GBK" w:eastAsia="方正仿宋_GBK" w:cs="方正仿宋_GBK"/>
          <w:b/>
          <w:bCs/>
          <w:sz w:val="32"/>
          <w:szCs w:val="32"/>
          <w:highlight w:val="none"/>
          <w:shd w:val="clear" w:color="auto" w:fill="auto"/>
          <w:lang w:eastAsia="zh-CN"/>
        </w:rPr>
        <w:t>。</w:t>
      </w:r>
      <w:r>
        <w:rPr>
          <w:rFonts w:hint="eastAsia" w:ascii="方正仿宋_GBK" w:hAnsi="方正仿宋_GBK" w:eastAsia="方正仿宋_GBK" w:cs="方正仿宋_GBK"/>
          <w:sz w:val="32"/>
          <w:szCs w:val="32"/>
          <w:highlight w:val="none"/>
          <w:shd w:val="clear" w:color="auto" w:fill="auto"/>
        </w:rPr>
        <w:t>2022年度年末一般公共预算财政拨款结转和结余</w:t>
      </w:r>
      <w:r>
        <w:rPr>
          <w:rFonts w:hint="eastAsia" w:ascii="方正仿宋_GBK" w:hAnsi="方正仿宋_GBK" w:eastAsia="方正仿宋_GBK" w:cs="方正仿宋_GBK"/>
          <w:sz w:val="32"/>
          <w:szCs w:val="32"/>
          <w:highlight w:val="none"/>
          <w:shd w:val="clear" w:color="auto" w:fill="auto"/>
          <w:lang w:val="en-US" w:eastAsia="zh-CN"/>
        </w:rPr>
        <w:t>0</w:t>
      </w:r>
      <w:r>
        <w:rPr>
          <w:rFonts w:hint="eastAsia" w:ascii="方正仿宋_GBK" w:hAnsi="方正仿宋_GBK" w:eastAsia="方正仿宋_GBK" w:cs="方正仿宋_GBK"/>
          <w:sz w:val="32"/>
          <w:szCs w:val="32"/>
          <w:highlight w:val="none"/>
          <w:shd w:val="clear" w:color="auto" w:fill="auto"/>
        </w:rPr>
        <w:t>万元，</w:t>
      </w:r>
      <w:r>
        <w:rPr>
          <w:rFonts w:hint="eastAsia" w:ascii="方正仿宋_GBK" w:hAnsi="方正仿宋_GBK" w:eastAsia="方正仿宋_GBK" w:cs="方正仿宋_GBK"/>
          <w:sz w:val="32"/>
          <w:szCs w:val="32"/>
          <w:highlight w:val="none"/>
          <w:shd w:val="clear" w:color="auto" w:fill="auto"/>
          <w:lang w:val="en-US" w:eastAsia="zh-CN"/>
        </w:rPr>
        <w:t>较上年决算数减少42万元，减少100%。主要是因为2021年较多运行经费未及时支付，在2022年完成支付，2022年不涉及结转和结余。</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shd w:val="clear" w:color="auto" w:fill="auto"/>
          <w:lang w:val="en-US" w:eastAsia="zh-CN"/>
        </w:rPr>
        <w:t>4.比较情况。</w:t>
      </w:r>
      <w:r>
        <w:rPr>
          <w:rFonts w:hint="eastAsia" w:ascii="方正仿宋_GBK" w:hAnsi="方正仿宋_GBK" w:eastAsia="方正仿宋_GBK" w:cs="方正仿宋_GBK"/>
          <w:sz w:val="32"/>
          <w:szCs w:val="32"/>
          <w:highlight w:val="none"/>
        </w:rPr>
        <w:t>2022年一般公共预算本级支出</w:t>
      </w:r>
      <w:r>
        <w:rPr>
          <w:rFonts w:hint="eastAsia" w:ascii="方正仿宋_GBK" w:hAnsi="方正仿宋_GBK" w:eastAsia="方正仿宋_GBK" w:cs="方正仿宋_GBK"/>
          <w:sz w:val="32"/>
          <w:szCs w:val="32"/>
          <w:highlight w:val="none"/>
          <w:lang w:val="en-US" w:eastAsia="zh-CN"/>
        </w:rPr>
        <w:t>293.39</w:t>
      </w:r>
      <w:r>
        <w:rPr>
          <w:rFonts w:hint="eastAsia" w:ascii="方正仿宋_GBK" w:hAnsi="方正仿宋_GBK" w:eastAsia="方正仿宋_GBK" w:cs="方正仿宋_GBK"/>
          <w:sz w:val="32"/>
          <w:szCs w:val="32"/>
          <w:highlight w:val="none"/>
        </w:rPr>
        <w:t>万元，</w:t>
      </w:r>
      <w:r>
        <w:rPr>
          <w:rFonts w:hint="eastAsia" w:ascii="方正仿宋_GBK" w:hAnsi="方正仿宋_GBK" w:eastAsia="方正仿宋_GBK" w:cs="方正仿宋_GBK"/>
          <w:sz w:val="32"/>
          <w:szCs w:val="32"/>
          <w:highlight w:val="none"/>
          <w:shd w:val="clear" w:color="auto" w:fill="auto"/>
          <w:lang w:val="en-US" w:eastAsia="zh-CN"/>
        </w:rPr>
        <w:t>支出较年初预算数增加38.87万元，</w:t>
      </w:r>
      <w:r>
        <w:rPr>
          <w:rFonts w:hint="eastAsia" w:ascii="方正仿宋_GBK" w:hAnsi="方正仿宋_GBK" w:eastAsia="方正仿宋_GBK" w:cs="方正仿宋_GBK"/>
          <w:sz w:val="32"/>
          <w:szCs w:val="32"/>
          <w:highlight w:val="none"/>
        </w:rPr>
        <w:t>其主要构成为：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社会保障和就业支出40.02</w:t>
      </w:r>
      <w:r>
        <w:rPr>
          <w:rFonts w:hint="eastAsia" w:ascii="方正仿宋_GBK" w:hAnsi="方正仿宋_GBK" w:eastAsia="方正仿宋_GBK" w:cs="方正仿宋_GBK"/>
          <w:sz w:val="32"/>
          <w:szCs w:val="32"/>
          <w:highlight w:val="none"/>
          <w:lang w:val="en-US" w:eastAsia="zh-CN"/>
        </w:rPr>
        <w:t>万元，</w:t>
      </w:r>
      <w:r>
        <w:rPr>
          <w:rFonts w:hint="eastAsia" w:ascii="方正仿宋_GBK" w:hAnsi="方正仿宋_GBK" w:eastAsia="方正仿宋_GBK" w:cs="方正仿宋_GBK"/>
          <w:sz w:val="32"/>
          <w:szCs w:val="32"/>
          <w:highlight w:val="none"/>
          <w:shd w:val="clear" w:color="auto" w:fill="auto"/>
          <w:lang w:val="en-US" w:eastAsia="zh-CN"/>
        </w:rPr>
        <w:t>占13.6%，较年初预算数增加0.34万元，增长0.9%，主要原因是人员工资调标，社保增加；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卫生健康支出</w:t>
      </w:r>
      <w:r>
        <w:rPr>
          <w:rFonts w:hint="eastAsia" w:ascii="方正仿宋_GBK" w:hAnsi="方正仿宋_GBK" w:eastAsia="方正仿宋_GBK" w:cs="方正仿宋_GBK"/>
          <w:sz w:val="32"/>
          <w:szCs w:val="32"/>
          <w:highlight w:val="none"/>
          <w:lang w:val="en-US" w:eastAsia="zh-CN"/>
        </w:rPr>
        <w:t>14.03万元，</w:t>
      </w:r>
      <w:r>
        <w:rPr>
          <w:rFonts w:hint="eastAsia" w:ascii="方正仿宋_GBK" w:hAnsi="方正仿宋_GBK" w:eastAsia="方正仿宋_GBK" w:cs="方正仿宋_GBK"/>
          <w:sz w:val="32"/>
          <w:szCs w:val="32"/>
          <w:highlight w:val="none"/>
          <w:shd w:val="clear" w:color="auto" w:fill="auto"/>
          <w:lang w:val="en-US" w:eastAsia="zh-CN"/>
        </w:rPr>
        <w:t>占4.8%，较年初预算数增加0.19万元，增长1.3%，主要原因是人员工资调标，社保增加；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（3）农林水支出226.23万元，</w:t>
      </w:r>
      <w:r>
        <w:rPr>
          <w:rFonts w:hint="eastAsia" w:ascii="方正仿宋_GBK" w:hAnsi="方正仿宋_GBK" w:eastAsia="方正仿宋_GBK" w:cs="方正仿宋_GBK"/>
          <w:sz w:val="32"/>
          <w:szCs w:val="32"/>
          <w:highlight w:val="none"/>
          <w:shd w:val="clear" w:color="auto" w:fill="auto"/>
          <w:lang w:val="en-US" w:eastAsia="zh-CN"/>
        </w:rPr>
        <w:t>占77.1%，较年初预算数增加38.55万元，增长20.5%，</w:t>
      </w:r>
      <w:r>
        <w:rPr>
          <w:rFonts w:hint="eastAsia" w:ascii="方正仿宋_GBK" w:hAnsi="方正仿宋_GBK" w:eastAsia="方正仿宋_GBK" w:cs="方正仿宋_GBK"/>
          <w:sz w:val="32"/>
          <w:szCs w:val="32"/>
          <w:highlight w:val="none"/>
          <w:shd w:val="clear" w:color="auto" w:fill="auto"/>
          <w:lang w:eastAsia="zh-CN"/>
        </w:rPr>
        <w:t>主要原因是</w:t>
      </w:r>
      <w:r>
        <w:rPr>
          <w:rFonts w:hint="eastAsia" w:ascii="方正仿宋_GBK" w:hAnsi="方正仿宋_GBK" w:eastAsia="方正仿宋_GBK" w:cs="方正仿宋_GBK"/>
          <w:sz w:val="32"/>
          <w:szCs w:val="32"/>
          <w:highlight w:val="none"/>
          <w:shd w:val="clear" w:color="auto" w:fill="auto"/>
          <w:lang w:val="en-US" w:eastAsia="zh-CN"/>
        </w:rPr>
        <w:t>年初结转和结余资金共计42万元，年中有人员减少人员经费减少3.13万元；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住房保障支出</w:t>
      </w:r>
      <w:r>
        <w:rPr>
          <w:rFonts w:hint="eastAsia" w:ascii="方正仿宋_GBK" w:hAnsi="方正仿宋_GBK" w:eastAsia="方正仿宋_GBK" w:cs="方正仿宋_GBK"/>
          <w:sz w:val="32"/>
          <w:szCs w:val="32"/>
          <w:highlight w:val="none"/>
          <w:lang w:val="en-US" w:eastAsia="zh-CN"/>
        </w:rPr>
        <w:t>13.12万元，</w:t>
      </w:r>
      <w:r>
        <w:rPr>
          <w:rFonts w:hint="eastAsia" w:ascii="方正仿宋_GBK" w:hAnsi="方正仿宋_GBK" w:eastAsia="方正仿宋_GBK" w:cs="方正仿宋_GBK"/>
          <w:sz w:val="32"/>
          <w:szCs w:val="32"/>
          <w:highlight w:val="none"/>
          <w:shd w:val="clear" w:color="auto" w:fill="auto"/>
          <w:lang w:val="en-US" w:eastAsia="zh-CN"/>
        </w:rPr>
        <w:t>占4.5%，较年初预算数减少0.18万元，减少1.4%，主要原因是年中人员减少导致公积金减少。</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highlight w:val="none"/>
          <w:shd w:val="clear" w:color="auto" w:fill="auto"/>
          <w:lang w:val="en-US" w:eastAsia="zh-CN"/>
        </w:rPr>
      </w:pPr>
      <w:r>
        <w:rPr>
          <w:rFonts w:hint="eastAsia" w:ascii="方正楷体_GBK" w:hAnsi="方正楷体_GBK" w:eastAsia="方正楷体_GBK" w:cs="方正楷体_GBK"/>
          <w:sz w:val="32"/>
          <w:highlight w:val="none"/>
          <w:shd w:val="clear" w:color="auto" w:fill="auto"/>
          <w:lang w:val="en-US" w:eastAsia="zh-CN"/>
        </w:rPr>
        <w:t>（四）一般公共预算财政拨款基本支出决算情况说明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highlight w:val="none"/>
          <w:shd w:val="clear" w:color="auto" w:fill="auto"/>
          <w:lang w:val="en-US" w:eastAsia="zh-CN"/>
        </w:rPr>
      </w:pPr>
      <w:r>
        <w:rPr>
          <w:rFonts w:hint="eastAsia" w:ascii="方正仿宋_GBK" w:hAnsi="方正仿宋_GBK" w:eastAsia="方正仿宋_GBK" w:cs="方正仿宋_GBK"/>
          <w:sz w:val="32"/>
          <w:highlight w:val="none"/>
          <w:shd w:val="clear" w:color="auto" w:fill="auto"/>
          <w:lang w:val="en-US" w:eastAsia="zh-CN"/>
        </w:rPr>
        <w:t>2022年度一般公共预算财政拨款基本支出293.39万元。其中：人员经费247.98万元，</w:t>
      </w:r>
      <w:r>
        <w:rPr>
          <w:rFonts w:hint="eastAsia" w:ascii="方正仿宋_GBK" w:hAnsi="方正仿宋_GBK" w:eastAsia="方正仿宋_GBK" w:cs="方正仿宋_GBK"/>
          <w:sz w:val="32"/>
          <w:szCs w:val="32"/>
          <w:highlight w:val="none"/>
          <w:shd w:val="clear" w:color="auto" w:fill="auto"/>
          <w:lang w:eastAsia="zh-CN"/>
        </w:rPr>
        <w:t>较上年决算数增加</w:t>
      </w:r>
      <w:r>
        <w:rPr>
          <w:rFonts w:hint="eastAsia" w:ascii="方正仿宋_GBK" w:hAnsi="方正仿宋_GBK" w:eastAsia="方正仿宋_GBK" w:cs="方正仿宋_GBK"/>
          <w:sz w:val="32"/>
          <w:highlight w:val="none"/>
          <w:shd w:val="clear" w:color="auto" w:fill="auto"/>
          <w:lang w:val="en-US" w:eastAsia="zh-CN"/>
        </w:rPr>
        <w:t>247.98</w:t>
      </w:r>
      <w:r>
        <w:rPr>
          <w:rFonts w:hint="eastAsia" w:ascii="方正仿宋_GBK" w:hAnsi="方正仿宋_GBK" w:eastAsia="方正仿宋_GBK" w:cs="方正仿宋_GBK"/>
          <w:sz w:val="32"/>
          <w:szCs w:val="32"/>
          <w:highlight w:val="none"/>
          <w:shd w:val="clear" w:color="auto" w:fill="auto"/>
          <w:lang w:eastAsia="zh-CN"/>
        </w:rPr>
        <w:t>万元，主要原因是2021年本单位纳入云阳县蔈草镇人民政府集中决算，未单独列决算，2022年新增为决算单位，上年决算数为0.00万元。</w:t>
      </w:r>
      <w:r>
        <w:rPr>
          <w:rFonts w:hint="eastAsia" w:ascii="方正仿宋_GBK" w:hAnsi="方正仿宋_GBK" w:eastAsia="方正仿宋_GBK" w:cs="方正仿宋_GBK"/>
          <w:sz w:val="32"/>
          <w:highlight w:val="none"/>
          <w:shd w:val="clear" w:color="auto" w:fill="auto"/>
          <w:lang w:val="en-US" w:eastAsia="zh-CN"/>
        </w:rPr>
        <w:t>主要包括主要包括职工统发工资、离退休人员生活补助、目标绩效、超额绩效、社会保险缴费及住房公积金等；公用经费45.42万元，</w:t>
      </w:r>
      <w:r>
        <w:rPr>
          <w:rFonts w:hint="eastAsia" w:ascii="方正仿宋_GBK" w:hAnsi="方正仿宋_GBK" w:eastAsia="方正仿宋_GBK" w:cs="方正仿宋_GBK"/>
          <w:sz w:val="32"/>
          <w:szCs w:val="32"/>
          <w:highlight w:val="none"/>
          <w:shd w:val="clear" w:color="auto" w:fill="auto"/>
          <w:lang w:eastAsia="zh-CN"/>
        </w:rPr>
        <w:t>较上年决算数增加</w:t>
      </w:r>
      <w:r>
        <w:rPr>
          <w:rFonts w:hint="eastAsia" w:ascii="方正仿宋_GBK" w:hAnsi="方正仿宋_GBK" w:eastAsia="方正仿宋_GBK" w:cs="方正仿宋_GBK"/>
          <w:sz w:val="32"/>
          <w:highlight w:val="none"/>
          <w:shd w:val="clear" w:color="auto" w:fill="auto"/>
          <w:lang w:val="en-US" w:eastAsia="zh-CN"/>
        </w:rPr>
        <w:t>45.42</w:t>
      </w:r>
      <w:r>
        <w:rPr>
          <w:rFonts w:hint="eastAsia" w:ascii="方正仿宋_GBK" w:hAnsi="方正仿宋_GBK" w:eastAsia="方正仿宋_GBK" w:cs="方正仿宋_GBK"/>
          <w:sz w:val="32"/>
          <w:szCs w:val="32"/>
          <w:highlight w:val="none"/>
          <w:shd w:val="clear" w:color="auto" w:fill="auto"/>
          <w:lang w:eastAsia="zh-CN"/>
        </w:rPr>
        <w:t>万元，主要原因是2021年本单位纳入云阳县蔈草镇人民政府集中决算，未单独列决算，2022年新增为决算单位，上年决算数为0.00万元。</w:t>
      </w:r>
      <w:r>
        <w:rPr>
          <w:rFonts w:hint="eastAsia" w:ascii="方正仿宋_GBK" w:hAnsi="方正仿宋_GBK" w:eastAsia="方正仿宋_GBK" w:cs="方正仿宋_GBK"/>
          <w:sz w:val="32"/>
          <w:highlight w:val="none"/>
          <w:shd w:val="clear" w:color="auto" w:fill="auto"/>
          <w:lang w:val="en-US" w:eastAsia="zh-CN"/>
        </w:rPr>
        <w:t>主要包括办公费、水电费、工会经费和福利费等。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（五）政府性基金预算收支决算情况说明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shd w:val="clear" w:color="auto" w:fill="auto"/>
          <w:lang w:val="en-US" w:eastAsia="zh-CN"/>
        </w:rPr>
      </w:pPr>
      <w:r>
        <w:rPr>
          <w:rFonts w:hint="eastAsia" w:ascii="方正仿宋_GBK" w:hAnsi="方正仿宋_GBK" w:eastAsia="方正仿宋_GBK" w:cs="方正仿宋_GBK"/>
          <w:sz w:val="32"/>
          <w:highlight w:val="none"/>
          <w:shd w:val="clear" w:color="auto" w:fill="auto"/>
          <w:lang w:val="en-US" w:eastAsia="zh-CN"/>
        </w:rPr>
        <w:t>本单位2022年度无政府性基金预算收支。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（六）国有资本经营预算财政拨款支出决算情况说明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本单位2022年度无国有资本经营预算财政拨款支出。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highlight w:val="none"/>
        </w:rPr>
        <w:t>三、“三公”经费情况说明</w:t>
      </w:r>
      <w:r>
        <w:rPr>
          <w:rFonts w:hint="eastAsia" w:ascii="方正仿宋_GBK" w:hAnsi="方正仿宋_GBK" w:eastAsia="方正仿宋_GBK" w:cs="方正仿宋_GBK"/>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rPr>
        <w:t>（一）“三公”经费支出总体情况说明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highlight w:val="none"/>
          <w:lang w:val="en-US" w:eastAsia="zh-CN"/>
        </w:rPr>
        <w:t>按照决算列报口径，本单位2022年新增为决算单位，“三公”经费由政府机关本级进行核算，本单位不核算“三公”经费</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（二）“三公”经费分项支出情况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highlight w:val="none"/>
          <w:lang w:val="en-US" w:eastAsia="zh-CN"/>
        </w:rPr>
        <w:t>按照部门决算列报口径，我单位不在“三公”经费核算统计范围之内</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（三）“三公”经费实物量情况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highlight w:val="none"/>
          <w:lang w:val="en-US" w:eastAsia="zh-CN"/>
        </w:rPr>
        <w:t>按照部门决算列报口径，我单位不在“三公”经费核算统计范围之内</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四、其他需要说明的事项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本单位2022年无会议费和培训费支出。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（二）机关运行经费支出情况说明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按照部门决算列报口径，我单位不在机关运行经费统计范围之内。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（三）国有资产占用情况说明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截至2022年12月31日，本单位共有车辆0辆。单价100万元（含）以上设备（不含车辆）0台。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kern w:val="0"/>
          <w:sz w:val="32"/>
          <w:szCs w:val="32"/>
          <w:highlight w:val="none"/>
          <w:lang w:val="en-US" w:eastAsia="zh-CN"/>
        </w:rPr>
        <w:t>（四）政府采购支出情况说明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val="en-US" w:eastAsia="zh-CN"/>
        </w:rPr>
        <w:t>2022年度我单位未发生政府采购事项，无相关经费支出。</w:t>
      </w:r>
      <w:r>
        <w:rPr>
          <w:rFonts w:hint="eastAsia" w:ascii="方正仿宋_GBK" w:hAnsi="方正仿宋_GBK" w:eastAsia="方正仿宋_GBK" w:cs="方正仿宋_GBK"/>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b/>
          <w:kern w:val="0"/>
          <w:sz w:val="32"/>
          <w:szCs w:val="32"/>
          <w:highlight w:val="none"/>
        </w:rPr>
      </w:pPr>
      <w:r>
        <w:rPr>
          <w:rFonts w:hint="eastAsia" w:ascii="方正黑体_GBK" w:hAnsi="方正黑体_GBK" w:eastAsia="方正黑体_GBK" w:cs="方正黑体_GBK"/>
          <w:kern w:val="0"/>
          <w:sz w:val="32"/>
          <w:szCs w:val="32"/>
          <w:highlight w:val="none"/>
        </w:rPr>
        <w:t>五、预算绩效管理情况说明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kern w:val="0"/>
          <w:sz w:val="32"/>
          <w:szCs w:val="32"/>
          <w:highlight w:val="none"/>
          <w:lang w:val="en-US" w:eastAsia="zh-CN"/>
        </w:rPr>
      </w:pPr>
      <w:r>
        <w:rPr>
          <w:rFonts w:hint="eastAsia" w:ascii="方正楷体_GBK" w:hAnsi="方正楷体_GBK" w:eastAsia="方正楷体_GBK" w:cs="方正楷体_GBK"/>
          <w:color w:val="333333"/>
          <w:sz w:val="32"/>
          <w:szCs w:val="32"/>
          <w:highlight w:val="none"/>
        </w:rPr>
        <w:t>（一）</w:t>
      </w:r>
      <w:r>
        <w:rPr>
          <w:rFonts w:hint="eastAsia" w:ascii="方正楷体_GBK" w:hAnsi="方正楷体_GBK" w:eastAsia="方正楷体_GBK" w:cs="方正楷体_GBK"/>
          <w:color w:val="333333"/>
          <w:kern w:val="2"/>
          <w:sz w:val="32"/>
          <w:szCs w:val="32"/>
          <w:highlight w:val="none"/>
          <w:lang w:val="en-US" w:eastAsia="zh-CN" w:bidi="ar-SA"/>
        </w:rPr>
        <w:t>预算绩效管理工作开展情况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eastAsia="方正仿宋_GBK" w:cs="宋体"/>
          <w:kern w:val="0"/>
          <w:sz w:val="32"/>
          <w:szCs w:val="32"/>
          <w:highlight w:val="none"/>
          <w:lang w:val="en-US" w:eastAsia="zh-CN"/>
        </w:rPr>
        <w:t>我单位属于政府下属事业单位，2022年度无项目支出，根据预算绩效管理要求，不进行项目预算绩效管理</w:t>
      </w:r>
      <w:r>
        <w:rPr>
          <w:rFonts w:hint="eastAsia" w:ascii="方正仿宋_GBK" w:hAnsi="方正仿宋_GBK" w:eastAsia="方正仿宋_GBK" w:cs="方正仿宋_GBK"/>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color w:val="333333"/>
          <w:sz w:val="32"/>
          <w:szCs w:val="32"/>
          <w:highlight w:val="none"/>
          <w:lang w:val="en-US" w:eastAsia="zh-CN"/>
        </w:rPr>
      </w:pPr>
      <w:r>
        <w:rPr>
          <w:rFonts w:hint="eastAsia" w:ascii="方正楷体_GBK" w:hAnsi="方正楷体_GBK" w:eastAsia="方正楷体_GBK" w:cs="方正楷体_GBK"/>
          <w:color w:val="333333"/>
          <w:sz w:val="32"/>
          <w:szCs w:val="32"/>
          <w:highlight w:val="none"/>
          <w:lang w:val="en-US" w:eastAsia="zh-CN"/>
        </w:rPr>
        <w:t>（二）绩效自评结果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sz w:val="32"/>
          <w:szCs w:val="32"/>
          <w:highlight w:val="none"/>
          <w:shd w:val="clear" w:color="auto" w:fill="auto"/>
          <w:lang w:val="en-US" w:eastAsia="zh-CN"/>
        </w:rPr>
      </w:pPr>
      <w:r>
        <w:rPr>
          <w:rFonts w:hint="eastAsia" w:ascii="方正仿宋_GBK" w:hAnsi="方正仿宋_GBK" w:eastAsia="方正仿宋_GBK" w:cs="方正仿宋_GBK"/>
          <w:b/>
          <w:bCs/>
          <w:sz w:val="32"/>
          <w:szCs w:val="32"/>
          <w:highlight w:val="none"/>
          <w:shd w:val="clear" w:color="auto" w:fill="auto"/>
          <w:lang w:val="en-US" w:eastAsia="zh-CN"/>
        </w:rPr>
        <w:t>1.绩效目标自评表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kern w:val="0"/>
          <w:sz w:val="32"/>
          <w:szCs w:val="32"/>
          <w:highlight w:val="none"/>
          <w:lang w:val="en-US" w:eastAsia="zh-CN"/>
        </w:rPr>
      </w:pPr>
      <w:r>
        <w:rPr>
          <w:rFonts w:hint="eastAsia" w:ascii="方正仿宋_GBK" w:hAnsi="方正仿宋_GBK" w:eastAsia="方正仿宋_GBK" w:cs="方正仿宋_GBK"/>
          <w:b/>
          <w:bCs/>
          <w:kern w:val="0"/>
          <w:sz w:val="32"/>
          <w:szCs w:val="32"/>
          <w:highlight w:val="none"/>
          <w:lang w:val="en-US" w:eastAsia="zh-CN"/>
        </w:rPr>
        <w:t>2.绩效自评报告或案例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b/>
          <w:bCs/>
          <w:kern w:val="0"/>
          <w:sz w:val="32"/>
          <w:szCs w:val="32"/>
          <w:highlight w:val="none"/>
          <w:lang w:val="en-US" w:eastAsia="zh-CN"/>
        </w:rPr>
      </w:pPr>
      <w:r>
        <w:rPr>
          <w:rFonts w:hint="eastAsia" w:ascii="方正仿宋_GBK" w:hAnsi="方正仿宋_GBK" w:eastAsia="方正仿宋_GBK" w:cs="方正仿宋_GBK"/>
          <w:b/>
          <w:bCs/>
          <w:kern w:val="0"/>
          <w:sz w:val="32"/>
          <w:szCs w:val="32"/>
          <w:highlight w:val="none"/>
          <w:lang w:val="en-US" w:eastAsia="zh-CN"/>
        </w:rPr>
        <w:t>3.关于绩效自评结果的说明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color w:val="333333"/>
          <w:sz w:val="32"/>
          <w:szCs w:val="32"/>
          <w:highlight w:val="none"/>
          <w:lang w:val="en-US" w:eastAsia="zh-CN"/>
        </w:rPr>
      </w:pPr>
      <w:r>
        <w:rPr>
          <w:rFonts w:hint="eastAsia" w:ascii="方正楷体_GBK" w:hAnsi="方正楷体_GBK" w:eastAsia="方正楷体_GBK" w:cs="方正楷体_GBK"/>
          <w:color w:val="333333"/>
          <w:sz w:val="32"/>
          <w:szCs w:val="32"/>
          <w:highlight w:val="none"/>
          <w:lang w:val="en-US" w:eastAsia="zh-CN"/>
        </w:rPr>
        <w:t>（三）重点绩效评价结果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无</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t>六、专业名词解释</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（一）财政拨款收入：指本年度从本级财政部门取得的财政拨款，包括一般公共预算财政拨款和政府性基金预算财政拨款。</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（二）事业收入：指事业单位开展专业业务活动及其辅助活动取得的现金流入；事业单位收到的财政专户实际核拨的教育收费等资金在此反映。</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（三）经营收入：指事业单位在专业业务活动及其辅助活动之外开展非独立核算经营活动取得的现金流入。</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（六）年初结转和结余：指单位上年结转本年使用的基本支出结转、项目支出结转和结余、经营结余。</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（七）结余分配：指单位按照国家有关规定，缴纳所得税、提取专用基金、转入非财政拨款结余等当年结余的分配情况。</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（八）年末结转和结余：指单位结转下年的基本支出结转、项目支出结转和结余、经营结余。</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（十）项目支出：指在基本支出之外为完成特定行政任务和事业发展目标所发生的支出。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（十一）经营支出：指事业单位在专业业务活动及其辅助活动之外开展非独立核算经营活动发生的支出。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（十五）商品和服务支出（支出经济分类科目类级）：反映单位购买商品和服务的支出（不包括用于购置固定资产的支出、战略性和应急储备支出）。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（十六）对个人和家庭的补助（支出经济分类科目类级）：反映用于对个人和家庭的补助支出。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333333"/>
          <w:kern w:val="2"/>
          <w:sz w:val="32"/>
          <w:szCs w:val="32"/>
          <w:highlight w:val="none"/>
          <w:lang w:val="en-US" w:eastAsia="zh-CN" w:bidi="ar-SA"/>
        </w:rPr>
      </w:pPr>
      <w:r>
        <w:rPr>
          <w:rFonts w:hint="eastAsia" w:ascii="方正仿宋_GBK" w:hAnsi="方正仿宋_GBK" w:eastAsia="方正仿宋_GBK" w:cs="方正仿宋_GBK"/>
          <w:color w:val="333333"/>
          <w:kern w:val="2"/>
          <w:sz w:val="32"/>
          <w:szCs w:val="32"/>
          <w:highlight w:val="none"/>
          <w:lang w:val="en-US" w:eastAsia="zh-CN" w:bidi="ar-SA"/>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t>七、决算公开联系方式</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单位决算公开联系人：牟将凤  联系方式：023-55328010</w:t>
      </w:r>
    </w:p>
    <w:p>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sz w:val="32"/>
          <w:szCs w:val="32"/>
          <w:highlight w:val="none"/>
        </w:rPr>
      </w:pPr>
    </w:p>
    <w:sectPr>
      <w:footerReference r:id="rId3" w:type="default"/>
      <w:footerReference r:id="rId4" w:type="even"/>
      <w:pgSz w:w="11906" w:h="16838"/>
      <w:pgMar w:top="2098" w:right="1446" w:bottom="1984" w:left="1446" w:header="851" w:footer="147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0000000000000000000"/>
    <w:charset w:val="00"/>
    <w:family w:val="script"/>
    <w:pitch w:val="default"/>
    <w:sig w:usb0="00000000" w:usb1="00000000" w:usb2="0000001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0RYBixgEAAHMDAAAOAAAAAAAAAAEAIAAAAB4BAABkcnMvZTJvRG9jLnht&#10;bFBLBQYAAAAABgAGAFkBAABWBQ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uNpXyxgEAAHMDAAAOAAAAAAAAAAEAIAAAAB4BAABkcnMvZTJvRG9jLnht&#10;bFBLBQYAAAAABgAGAFkBAABWBQ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C748B"/>
    <w:multiLevelType w:val="singleLevel"/>
    <w:tmpl w:val="C88C74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YTJhMzU1Y2I0OThmM2MzM2UwNWU4NDQ2NTBhNWMifQ=="/>
  </w:docVars>
  <w:rsids>
    <w:rsidRoot w:val="00607E12"/>
    <w:rsid w:val="00001D33"/>
    <w:rsid w:val="000028C9"/>
    <w:rsid w:val="000155FC"/>
    <w:rsid w:val="000175BF"/>
    <w:rsid w:val="0001772A"/>
    <w:rsid w:val="00021540"/>
    <w:rsid w:val="00026535"/>
    <w:rsid w:val="00027CBA"/>
    <w:rsid w:val="00030BD4"/>
    <w:rsid w:val="0003485A"/>
    <w:rsid w:val="00034F55"/>
    <w:rsid w:val="000427E2"/>
    <w:rsid w:val="00043D2E"/>
    <w:rsid w:val="00047C1B"/>
    <w:rsid w:val="00053EE9"/>
    <w:rsid w:val="00054D43"/>
    <w:rsid w:val="00054DCF"/>
    <w:rsid w:val="0006070C"/>
    <w:rsid w:val="000639CF"/>
    <w:rsid w:val="00065200"/>
    <w:rsid w:val="00067A09"/>
    <w:rsid w:val="00073F65"/>
    <w:rsid w:val="000842FF"/>
    <w:rsid w:val="000A2CFA"/>
    <w:rsid w:val="000B27F1"/>
    <w:rsid w:val="000B3E51"/>
    <w:rsid w:val="000C15A3"/>
    <w:rsid w:val="000C7FE9"/>
    <w:rsid w:val="000D5121"/>
    <w:rsid w:val="000D70FA"/>
    <w:rsid w:val="000E0FCA"/>
    <w:rsid w:val="000E44AE"/>
    <w:rsid w:val="000E45ED"/>
    <w:rsid w:val="00100BE4"/>
    <w:rsid w:val="00102024"/>
    <w:rsid w:val="0011013E"/>
    <w:rsid w:val="0011190A"/>
    <w:rsid w:val="001136EF"/>
    <w:rsid w:val="00114041"/>
    <w:rsid w:val="00120138"/>
    <w:rsid w:val="00120AC5"/>
    <w:rsid w:val="001225CF"/>
    <w:rsid w:val="00122802"/>
    <w:rsid w:val="00122A47"/>
    <w:rsid w:val="00130AB7"/>
    <w:rsid w:val="001330DE"/>
    <w:rsid w:val="00141657"/>
    <w:rsid w:val="00141E8D"/>
    <w:rsid w:val="001440CC"/>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3226D"/>
    <w:rsid w:val="00242193"/>
    <w:rsid w:val="00251D58"/>
    <w:rsid w:val="00252306"/>
    <w:rsid w:val="00262C07"/>
    <w:rsid w:val="00271994"/>
    <w:rsid w:val="002726B1"/>
    <w:rsid w:val="00280812"/>
    <w:rsid w:val="002817B6"/>
    <w:rsid w:val="00285CEF"/>
    <w:rsid w:val="00290EE3"/>
    <w:rsid w:val="00291DDF"/>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21B19"/>
    <w:rsid w:val="00422B0B"/>
    <w:rsid w:val="00422E47"/>
    <w:rsid w:val="00423211"/>
    <w:rsid w:val="004245F7"/>
    <w:rsid w:val="00426CE4"/>
    <w:rsid w:val="00426FEA"/>
    <w:rsid w:val="00427178"/>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763B1"/>
    <w:rsid w:val="0068775B"/>
    <w:rsid w:val="00691CE0"/>
    <w:rsid w:val="00693672"/>
    <w:rsid w:val="00694365"/>
    <w:rsid w:val="006A2A65"/>
    <w:rsid w:val="006A3C0F"/>
    <w:rsid w:val="006A566C"/>
    <w:rsid w:val="006A61DF"/>
    <w:rsid w:val="006B5DD7"/>
    <w:rsid w:val="006C1B21"/>
    <w:rsid w:val="006D5786"/>
    <w:rsid w:val="006D6F59"/>
    <w:rsid w:val="006E1572"/>
    <w:rsid w:val="006E173D"/>
    <w:rsid w:val="006E538A"/>
    <w:rsid w:val="006F0EDC"/>
    <w:rsid w:val="006F3611"/>
    <w:rsid w:val="007036CD"/>
    <w:rsid w:val="00705A2B"/>
    <w:rsid w:val="00716862"/>
    <w:rsid w:val="007254E0"/>
    <w:rsid w:val="007278AE"/>
    <w:rsid w:val="00730852"/>
    <w:rsid w:val="00735715"/>
    <w:rsid w:val="00737BE2"/>
    <w:rsid w:val="007450D8"/>
    <w:rsid w:val="00747153"/>
    <w:rsid w:val="00755DA9"/>
    <w:rsid w:val="00755FDA"/>
    <w:rsid w:val="00757640"/>
    <w:rsid w:val="00761826"/>
    <w:rsid w:val="007654CC"/>
    <w:rsid w:val="00767D9E"/>
    <w:rsid w:val="00777274"/>
    <w:rsid w:val="007778CA"/>
    <w:rsid w:val="00777FB0"/>
    <w:rsid w:val="00784541"/>
    <w:rsid w:val="007874D6"/>
    <w:rsid w:val="007A32B3"/>
    <w:rsid w:val="007A3314"/>
    <w:rsid w:val="007A48F4"/>
    <w:rsid w:val="007A4C8D"/>
    <w:rsid w:val="007B0EC6"/>
    <w:rsid w:val="007B2F96"/>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2495C"/>
    <w:rsid w:val="0082609A"/>
    <w:rsid w:val="0083632B"/>
    <w:rsid w:val="00841059"/>
    <w:rsid w:val="00841718"/>
    <w:rsid w:val="00851C0B"/>
    <w:rsid w:val="0085432D"/>
    <w:rsid w:val="00855AB4"/>
    <w:rsid w:val="008561F1"/>
    <w:rsid w:val="0086134B"/>
    <w:rsid w:val="00864275"/>
    <w:rsid w:val="00872593"/>
    <w:rsid w:val="008846E9"/>
    <w:rsid w:val="00890399"/>
    <w:rsid w:val="00895F15"/>
    <w:rsid w:val="008A0636"/>
    <w:rsid w:val="008A2A01"/>
    <w:rsid w:val="008A38D6"/>
    <w:rsid w:val="008A3D1E"/>
    <w:rsid w:val="008A43C6"/>
    <w:rsid w:val="008A49F0"/>
    <w:rsid w:val="008B7D00"/>
    <w:rsid w:val="008C20B8"/>
    <w:rsid w:val="008C2879"/>
    <w:rsid w:val="008C6EB5"/>
    <w:rsid w:val="008D2EB9"/>
    <w:rsid w:val="008D41BD"/>
    <w:rsid w:val="008D4D00"/>
    <w:rsid w:val="008E7C26"/>
    <w:rsid w:val="008F2607"/>
    <w:rsid w:val="008F3774"/>
    <w:rsid w:val="0090051E"/>
    <w:rsid w:val="009061F1"/>
    <w:rsid w:val="0091131C"/>
    <w:rsid w:val="00911FA3"/>
    <w:rsid w:val="00917F50"/>
    <w:rsid w:val="0092046E"/>
    <w:rsid w:val="00926B68"/>
    <w:rsid w:val="009326D4"/>
    <w:rsid w:val="00941F46"/>
    <w:rsid w:val="00942960"/>
    <w:rsid w:val="00952960"/>
    <w:rsid w:val="009571BF"/>
    <w:rsid w:val="0096181A"/>
    <w:rsid w:val="00970F5C"/>
    <w:rsid w:val="00980C64"/>
    <w:rsid w:val="00984F70"/>
    <w:rsid w:val="00995B9A"/>
    <w:rsid w:val="00995F22"/>
    <w:rsid w:val="00996706"/>
    <w:rsid w:val="0099789A"/>
    <w:rsid w:val="009A0F73"/>
    <w:rsid w:val="009A38B0"/>
    <w:rsid w:val="009A7B10"/>
    <w:rsid w:val="009B186D"/>
    <w:rsid w:val="009B46C1"/>
    <w:rsid w:val="009C3DE5"/>
    <w:rsid w:val="009C6EBF"/>
    <w:rsid w:val="009C7673"/>
    <w:rsid w:val="009D21EA"/>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351F"/>
    <w:rsid w:val="00B057E0"/>
    <w:rsid w:val="00B07C2C"/>
    <w:rsid w:val="00B12E00"/>
    <w:rsid w:val="00B14F8C"/>
    <w:rsid w:val="00B15181"/>
    <w:rsid w:val="00B211A3"/>
    <w:rsid w:val="00B23783"/>
    <w:rsid w:val="00B316BA"/>
    <w:rsid w:val="00B41BE8"/>
    <w:rsid w:val="00B42D0C"/>
    <w:rsid w:val="00B456EF"/>
    <w:rsid w:val="00B463CF"/>
    <w:rsid w:val="00B54FA4"/>
    <w:rsid w:val="00B60D03"/>
    <w:rsid w:val="00B67091"/>
    <w:rsid w:val="00B81DAC"/>
    <w:rsid w:val="00B822EA"/>
    <w:rsid w:val="00B922A2"/>
    <w:rsid w:val="00B93851"/>
    <w:rsid w:val="00B94043"/>
    <w:rsid w:val="00B96B08"/>
    <w:rsid w:val="00BA0051"/>
    <w:rsid w:val="00BA43B4"/>
    <w:rsid w:val="00BA43B8"/>
    <w:rsid w:val="00BA5FD9"/>
    <w:rsid w:val="00BB36E3"/>
    <w:rsid w:val="00BB771B"/>
    <w:rsid w:val="00BC4C57"/>
    <w:rsid w:val="00BC6593"/>
    <w:rsid w:val="00BC6C2F"/>
    <w:rsid w:val="00BD0E0D"/>
    <w:rsid w:val="00BD4AE7"/>
    <w:rsid w:val="00BE14B9"/>
    <w:rsid w:val="00BE1EF6"/>
    <w:rsid w:val="00BE3720"/>
    <w:rsid w:val="00BE4944"/>
    <w:rsid w:val="00BE6245"/>
    <w:rsid w:val="00BF2DDD"/>
    <w:rsid w:val="00BF35D0"/>
    <w:rsid w:val="00BF4EDC"/>
    <w:rsid w:val="00BF6572"/>
    <w:rsid w:val="00C0316B"/>
    <w:rsid w:val="00C10901"/>
    <w:rsid w:val="00C11001"/>
    <w:rsid w:val="00C20076"/>
    <w:rsid w:val="00C23D12"/>
    <w:rsid w:val="00C257D9"/>
    <w:rsid w:val="00C31EF7"/>
    <w:rsid w:val="00C3206D"/>
    <w:rsid w:val="00C33307"/>
    <w:rsid w:val="00C3371D"/>
    <w:rsid w:val="00C4219E"/>
    <w:rsid w:val="00C4238E"/>
    <w:rsid w:val="00C4258A"/>
    <w:rsid w:val="00C45DE6"/>
    <w:rsid w:val="00C468C6"/>
    <w:rsid w:val="00C61402"/>
    <w:rsid w:val="00C66C12"/>
    <w:rsid w:val="00C66C81"/>
    <w:rsid w:val="00C7551A"/>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3987"/>
    <w:rsid w:val="00CF487D"/>
    <w:rsid w:val="00D01565"/>
    <w:rsid w:val="00D02C02"/>
    <w:rsid w:val="00D03E3C"/>
    <w:rsid w:val="00D03EFD"/>
    <w:rsid w:val="00D04855"/>
    <w:rsid w:val="00D06AE0"/>
    <w:rsid w:val="00D1341C"/>
    <w:rsid w:val="00D1398B"/>
    <w:rsid w:val="00D13DA7"/>
    <w:rsid w:val="00D20046"/>
    <w:rsid w:val="00D21A4A"/>
    <w:rsid w:val="00D3017F"/>
    <w:rsid w:val="00D311F3"/>
    <w:rsid w:val="00D3507F"/>
    <w:rsid w:val="00D35A65"/>
    <w:rsid w:val="00D363D0"/>
    <w:rsid w:val="00D36CE6"/>
    <w:rsid w:val="00D4306E"/>
    <w:rsid w:val="00D44633"/>
    <w:rsid w:val="00D4526D"/>
    <w:rsid w:val="00D479F4"/>
    <w:rsid w:val="00D53260"/>
    <w:rsid w:val="00D556D1"/>
    <w:rsid w:val="00D6004F"/>
    <w:rsid w:val="00D6479F"/>
    <w:rsid w:val="00D669F9"/>
    <w:rsid w:val="00D706B6"/>
    <w:rsid w:val="00D811F9"/>
    <w:rsid w:val="00DA0593"/>
    <w:rsid w:val="00DA3692"/>
    <w:rsid w:val="00DB79E0"/>
    <w:rsid w:val="00DC0DB7"/>
    <w:rsid w:val="00DD14B2"/>
    <w:rsid w:val="00DD6BBC"/>
    <w:rsid w:val="00DE0EDD"/>
    <w:rsid w:val="00DE3005"/>
    <w:rsid w:val="00DE735E"/>
    <w:rsid w:val="00DF32B3"/>
    <w:rsid w:val="00DF3B9C"/>
    <w:rsid w:val="00DF5A8E"/>
    <w:rsid w:val="00E115ED"/>
    <w:rsid w:val="00E20FA3"/>
    <w:rsid w:val="00E24893"/>
    <w:rsid w:val="00E372E2"/>
    <w:rsid w:val="00E46647"/>
    <w:rsid w:val="00E4699A"/>
    <w:rsid w:val="00E5411A"/>
    <w:rsid w:val="00E54302"/>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35543C1"/>
    <w:rsid w:val="041B5AC6"/>
    <w:rsid w:val="04F56A57"/>
    <w:rsid w:val="05C1448E"/>
    <w:rsid w:val="06977C5F"/>
    <w:rsid w:val="07A34544"/>
    <w:rsid w:val="07EA7121"/>
    <w:rsid w:val="097F3B2D"/>
    <w:rsid w:val="09823D8A"/>
    <w:rsid w:val="0A212893"/>
    <w:rsid w:val="0C994F52"/>
    <w:rsid w:val="0CF53E87"/>
    <w:rsid w:val="0ED17937"/>
    <w:rsid w:val="0F5D6174"/>
    <w:rsid w:val="1016071E"/>
    <w:rsid w:val="10680E79"/>
    <w:rsid w:val="10AE7D44"/>
    <w:rsid w:val="123F1DC0"/>
    <w:rsid w:val="12EA2F1A"/>
    <w:rsid w:val="13153369"/>
    <w:rsid w:val="14977E14"/>
    <w:rsid w:val="19A24A16"/>
    <w:rsid w:val="19A33B21"/>
    <w:rsid w:val="1A7919B9"/>
    <w:rsid w:val="1C515D85"/>
    <w:rsid w:val="1CCA6151"/>
    <w:rsid w:val="1D437979"/>
    <w:rsid w:val="1D4708B1"/>
    <w:rsid w:val="1EE5700A"/>
    <w:rsid w:val="1EF96BEA"/>
    <w:rsid w:val="1FE3198E"/>
    <w:rsid w:val="20C07FC8"/>
    <w:rsid w:val="218550BF"/>
    <w:rsid w:val="24BD2ED0"/>
    <w:rsid w:val="25FF1317"/>
    <w:rsid w:val="26137030"/>
    <w:rsid w:val="261D0C5A"/>
    <w:rsid w:val="26487E8F"/>
    <w:rsid w:val="26F21A37"/>
    <w:rsid w:val="28253784"/>
    <w:rsid w:val="2BC73FBA"/>
    <w:rsid w:val="2C715093"/>
    <w:rsid w:val="2C9D0F61"/>
    <w:rsid w:val="31D038C6"/>
    <w:rsid w:val="32690DB2"/>
    <w:rsid w:val="341B4F0E"/>
    <w:rsid w:val="35521A2B"/>
    <w:rsid w:val="355E472E"/>
    <w:rsid w:val="35EA737B"/>
    <w:rsid w:val="38117910"/>
    <w:rsid w:val="38BD3900"/>
    <w:rsid w:val="392E4EE4"/>
    <w:rsid w:val="3A267749"/>
    <w:rsid w:val="3B0A6EB4"/>
    <w:rsid w:val="3B307A72"/>
    <w:rsid w:val="3C1860E9"/>
    <w:rsid w:val="3C265FAB"/>
    <w:rsid w:val="3C3A0510"/>
    <w:rsid w:val="3E7869D9"/>
    <w:rsid w:val="41D94B5D"/>
    <w:rsid w:val="428A214B"/>
    <w:rsid w:val="42E8144C"/>
    <w:rsid w:val="43991F2B"/>
    <w:rsid w:val="44360DE2"/>
    <w:rsid w:val="457553AB"/>
    <w:rsid w:val="48C3403D"/>
    <w:rsid w:val="498D6EB3"/>
    <w:rsid w:val="4A057274"/>
    <w:rsid w:val="4E4C4964"/>
    <w:rsid w:val="4E9B29A4"/>
    <w:rsid w:val="4E9D44D9"/>
    <w:rsid w:val="52C73605"/>
    <w:rsid w:val="52E5462F"/>
    <w:rsid w:val="53BD0CC2"/>
    <w:rsid w:val="540320EA"/>
    <w:rsid w:val="55CD6DBF"/>
    <w:rsid w:val="5611565E"/>
    <w:rsid w:val="565A5E3A"/>
    <w:rsid w:val="582720FD"/>
    <w:rsid w:val="584366A5"/>
    <w:rsid w:val="58AE0E94"/>
    <w:rsid w:val="5BEA616D"/>
    <w:rsid w:val="5CB40679"/>
    <w:rsid w:val="5EED3DFC"/>
    <w:rsid w:val="61D16983"/>
    <w:rsid w:val="62C618B9"/>
    <w:rsid w:val="65152B18"/>
    <w:rsid w:val="653F3B2F"/>
    <w:rsid w:val="66303507"/>
    <w:rsid w:val="67A12AE1"/>
    <w:rsid w:val="6AB167E6"/>
    <w:rsid w:val="6B393361"/>
    <w:rsid w:val="6E904287"/>
    <w:rsid w:val="705F728A"/>
    <w:rsid w:val="70C87CAA"/>
    <w:rsid w:val="713C5555"/>
    <w:rsid w:val="72C81D24"/>
    <w:rsid w:val="72D65A02"/>
    <w:rsid w:val="733B0745"/>
    <w:rsid w:val="73772C48"/>
    <w:rsid w:val="740F2AC3"/>
    <w:rsid w:val="745909D3"/>
    <w:rsid w:val="764519E3"/>
    <w:rsid w:val="76B71BE6"/>
    <w:rsid w:val="76E84C12"/>
    <w:rsid w:val="77513E87"/>
    <w:rsid w:val="78864AF8"/>
    <w:rsid w:val="79636A67"/>
    <w:rsid w:val="79E47009"/>
    <w:rsid w:val="7A640644"/>
    <w:rsid w:val="7AC53F39"/>
    <w:rsid w:val="7AD1285B"/>
    <w:rsid w:val="7C4542D5"/>
    <w:rsid w:val="7F7D4793"/>
    <w:rsid w:val="7F953C17"/>
    <w:rsid w:val="7FDF07AC"/>
    <w:rsid w:val="BF9D00B8"/>
    <w:rsid w:val="F91735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kern w:val="0"/>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批注框文本 Char"/>
    <w:link w:val="2"/>
    <w:semiHidden/>
    <w:qFormat/>
    <w:uiPriority w:val="99"/>
    <w:rPr>
      <w:kern w:val="2"/>
      <w:sz w:val="18"/>
      <w:szCs w:val="18"/>
    </w:rPr>
  </w:style>
  <w:style w:type="character" w:customStyle="1" w:styleId="10">
    <w:name w:val="页脚 Char"/>
    <w:link w:val="3"/>
    <w:qFormat/>
    <w:uiPriority w:val="99"/>
    <w:rPr>
      <w:sz w:val="18"/>
      <w:szCs w:val="18"/>
    </w:rPr>
  </w:style>
  <w:style w:type="character" w:customStyle="1" w:styleId="11">
    <w:name w:val="页眉 Char"/>
    <w:link w:val="4"/>
    <w:qFormat/>
    <w:uiPriority w:val="99"/>
    <w:rPr>
      <w:sz w:val="18"/>
      <w:szCs w:val="18"/>
    </w:rPr>
  </w:style>
  <w:style w:type="character" w:customStyle="1" w:styleId="12">
    <w:name w:val="font31"/>
    <w:basedOn w:val="7"/>
    <w:qFormat/>
    <w:uiPriority w:val="0"/>
    <w:rPr>
      <w:rFonts w:hint="eastAsia" w:ascii="方正仿宋_GBK" w:hAnsi="方正仿宋_GBK" w:eastAsia="方正仿宋_GBK" w:cs="方正仿宋_GBK"/>
      <w:color w:val="000000"/>
      <w:sz w:val="18"/>
      <w:szCs w:val="18"/>
      <w:u w:val="none"/>
    </w:rPr>
  </w:style>
  <w:style w:type="character" w:customStyle="1" w:styleId="13">
    <w:name w:val="font21"/>
    <w:basedOn w:val="7"/>
    <w:qFormat/>
    <w:uiPriority w:val="0"/>
    <w:rPr>
      <w:rFonts w:hint="default" w:ascii="Times New Roman" w:hAnsi="Times New Roman" w:cs="Times New Roman"/>
      <w:color w:val="000000"/>
      <w:sz w:val="18"/>
      <w:szCs w:val="18"/>
      <w:u w:val="none"/>
    </w:rPr>
  </w:style>
  <w:style w:type="character" w:customStyle="1" w:styleId="14">
    <w:name w:val="font41"/>
    <w:basedOn w:val="7"/>
    <w:qFormat/>
    <w:uiPriority w:val="0"/>
    <w:rPr>
      <w:rFonts w:hint="default" w:ascii="Times New Roman" w:hAnsi="Times New Roman" w:cs="Times New Roman"/>
      <w:color w:val="000000"/>
      <w:sz w:val="18"/>
      <w:szCs w:val="18"/>
      <w:u w:val="none"/>
    </w:rPr>
  </w:style>
  <w:style w:type="character" w:customStyle="1" w:styleId="15">
    <w:name w:val="font51"/>
    <w:basedOn w:val="7"/>
    <w:qFormat/>
    <w:uiPriority w:val="0"/>
    <w:rPr>
      <w:rFonts w:hint="eastAsia" w:ascii="方正仿宋_GBK" w:hAnsi="方正仿宋_GBK" w:eastAsia="方正仿宋_GBK" w:cs="方正仿宋_GBK"/>
      <w:color w:val="000000"/>
      <w:sz w:val="18"/>
      <w:szCs w:val="18"/>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445</Words>
  <Characters>2539</Characters>
  <Lines>21</Lines>
  <Paragraphs>5</Paragraphs>
  <TotalTime>14</TotalTime>
  <ScaleCrop>false</ScaleCrop>
  <LinksUpToDate>false</LinksUpToDate>
  <CharactersWithSpaces>2979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2019-06-13T02:12:00Z</dcterms:created>
  <dc:creator>微软用户</dc:creator>
  <cp:lastModifiedBy>Administrator</cp:lastModifiedBy>
  <cp:lastPrinted>2021-09-18T07:39:00Z</cp:lastPrinted>
  <dcterms:modified xsi:type="dcterms:W3CDTF">2023-11-27T03:45:43Z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96113409F5EC4053BA7E393B54575BEA_12</vt:lpwstr>
  </property>
</Properties>
</file>