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云阳县蔈草镇综合行政执法大队</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02</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b w:val="0"/>
          <w:bCs w:val="0"/>
          <w:sz w:val="44"/>
          <w:szCs w:val="44"/>
        </w:rPr>
        <w:t>年度</w:t>
      </w:r>
      <w:r>
        <w:rPr>
          <w:rFonts w:hint="eastAsia" w:ascii="方正小标宋_GBK" w:hAnsi="方正小标宋_GBK" w:eastAsia="方正小标宋_GBK" w:cs="方正小标宋_GBK"/>
          <w:b w:val="0"/>
          <w:bCs w:val="0"/>
          <w:sz w:val="44"/>
          <w:szCs w:val="44"/>
          <w:lang w:val="en-US" w:eastAsia="zh-CN"/>
        </w:rPr>
        <w:t>部门</w:t>
      </w:r>
      <w:r>
        <w:rPr>
          <w:rFonts w:hint="eastAsia" w:ascii="方正小标宋_GBK" w:hAnsi="方正小标宋_GBK" w:eastAsia="方正小标宋_GBK" w:cs="方正小标宋_GBK"/>
          <w:b w:val="0"/>
          <w:bCs w:val="0"/>
          <w:sz w:val="44"/>
          <w:szCs w:val="44"/>
        </w:rPr>
        <w:t>决算</w:t>
      </w:r>
      <w:r>
        <w:rPr>
          <w:rFonts w:hint="eastAsia" w:ascii="方正小标宋_GBK" w:hAnsi="方正小标宋_GBK" w:eastAsia="方正小标宋_GBK" w:cs="方正小标宋_GBK"/>
          <w:b w:val="0"/>
          <w:bCs w:val="0"/>
          <w:sz w:val="44"/>
          <w:szCs w:val="44"/>
          <w:lang w:val="en-US" w:eastAsia="zh-CN"/>
        </w:rPr>
        <w:t>公开</w:t>
      </w:r>
      <w:r>
        <w:rPr>
          <w:rFonts w:hint="eastAsia" w:ascii="方正小标宋_GBK" w:hAnsi="方正小标宋_GBK" w:eastAsia="方正小标宋_GBK" w:cs="方正小标宋_GBK"/>
          <w:b w:val="0"/>
          <w:bCs w:val="0"/>
          <w:sz w:val="44"/>
          <w:szCs w:val="44"/>
        </w:rPr>
        <w:t>说明</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Times New Roman" w:eastAsia="方正黑体_GBK" w:cs="Times New Roman"/>
          <w:kern w:val="2"/>
          <w:sz w:val="32"/>
          <w:szCs w:val="32"/>
          <w:lang w:val="en-US" w:eastAsia="zh-CN" w:bidi="ar-SA"/>
        </w:rPr>
      </w:pPr>
      <w:r>
        <w:rPr>
          <w:rFonts w:hint="eastAsia" w:ascii="方正黑体_GBK" w:hAnsi="Times New Roman" w:eastAsia="方正黑体_GBK" w:cs="Times New Roman"/>
          <w:kern w:val="2"/>
          <w:sz w:val="32"/>
          <w:szCs w:val="32"/>
          <w:lang w:val="en-US" w:eastAsia="zh-CN" w:bidi="ar-SA"/>
        </w:rPr>
        <w:t>一、</w:t>
      </w:r>
      <w:r>
        <w:rPr>
          <w:rFonts w:hint="eastAsia" w:ascii="方正黑体_GBK" w:eastAsia="方正黑体_GBK" w:cs="Times New Roman"/>
          <w:kern w:val="2"/>
          <w:sz w:val="32"/>
          <w:szCs w:val="32"/>
          <w:lang w:val="en-US" w:eastAsia="zh-CN" w:bidi="ar-SA"/>
        </w:rPr>
        <w:t>部门</w:t>
      </w:r>
      <w:r>
        <w:rPr>
          <w:rFonts w:hint="eastAsia" w:ascii="方正黑体_GBK" w:hAnsi="Times New Roman" w:eastAsia="方正黑体_GBK" w:cs="Times New Roman"/>
          <w:kern w:val="2"/>
          <w:sz w:val="32"/>
          <w:szCs w:val="32"/>
          <w:lang w:val="en-US" w:eastAsia="zh-CN" w:bidi="ar-SA"/>
        </w:rPr>
        <w:t>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一</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职能职责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宋体" w:eastAsia="方正仿宋_GBK" w:cs="宋体"/>
          <w:color w:val="111111"/>
          <w:kern w:val="0"/>
          <w:sz w:val="32"/>
          <w:szCs w:val="32"/>
        </w:rPr>
      </w:pPr>
      <w:r>
        <w:rPr>
          <w:rFonts w:hint="eastAsia" w:ascii="Times New Roman" w:hAnsi="宋体" w:eastAsia="方正仿宋_GBK" w:cs="宋体"/>
          <w:color w:val="111111"/>
          <w:kern w:val="0"/>
          <w:sz w:val="32"/>
          <w:szCs w:val="32"/>
        </w:rPr>
        <w:t>负责统一承担辖区范围内综合行政执法工作，依法接受委托集中行使农林水利、规划建设、环境保护、卫生计生、文化旅游、民政管理、道路交通等领域的执法权。负责加强与县级执法部门的联系，配合县级执法部门开展联合执法、专项执法等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楷体_GBK" w:hAnsi="方正楷体_GBK" w:eastAsia="方正楷体_GBK" w:cs="方正楷体_GBK"/>
          <w:bCs/>
          <w:sz w:val="32"/>
          <w:szCs w:val="32"/>
          <w:lang w:eastAsia="zh-CN"/>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二</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宋体" w:eastAsia="方正仿宋_GBK" w:cs="宋体"/>
          <w:color w:val="111111"/>
          <w:kern w:val="0"/>
          <w:sz w:val="32"/>
          <w:szCs w:val="32"/>
        </w:rPr>
      </w:pPr>
      <w:r>
        <w:rPr>
          <w:rFonts w:hint="eastAsia" w:ascii="Times New Roman" w:hAnsi="宋体" w:eastAsia="方正仿宋_GBK" w:cs="宋体"/>
          <w:color w:val="111111"/>
          <w:kern w:val="0"/>
          <w:sz w:val="32"/>
          <w:szCs w:val="32"/>
        </w:rPr>
        <w:t>本单位为云阳县</w:t>
      </w:r>
      <w:r>
        <w:rPr>
          <w:rFonts w:hint="eastAsia" w:hAnsi="宋体" w:eastAsia="方正仿宋_GBK" w:cs="宋体"/>
          <w:color w:val="111111"/>
          <w:kern w:val="0"/>
          <w:sz w:val="32"/>
          <w:szCs w:val="32"/>
          <w:lang w:val="en-US" w:eastAsia="zh-CN"/>
        </w:rPr>
        <w:t>蔈草镇人民政府</w:t>
      </w:r>
      <w:r>
        <w:rPr>
          <w:rFonts w:hint="eastAsia" w:ascii="Times New Roman" w:hAnsi="宋体" w:eastAsia="方正仿宋_GBK" w:cs="宋体"/>
          <w:color w:val="111111"/>
          <w:kern w:val="0"/>
          <w:sz w:val="32"/>
          <w:szCs w:val="32"/>
        </w:rPr>
        <w:t>下属单位，无独立的机构设置。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三</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宋体" w:eastAsia="方正仿宋_GBK" w:cs="宋体"/>
          <w:color w:val="111111"/>
          <w:kern w:val="0"/>
          <w:sz w:val="32"/>
          <w:szCs w:val="32"/>
        </w:rPr>
      </w:pPr>
      <w:r>
        <w:rPr>
          <w:rFonts w:hint="eastAsia" w:ascii="Times New Roman" w:hAnsi="宋体" w:eastAsia="方正仿宋_GBK" w:cs="宋体"/>
          <w:color w:val="111111"/>
          <w:kern w:val="0"/>
          <w:sz w:val="32"/>
          <w:szCs w:val="32"/>
        </w:rPr>
        <w:t>本单位为云阳县</w:t>
      </w:r>
      <w:r>
        <w:rPr>
          <w:rFonts w:hint="eastAsia" w:hAnsi="宋体" w:eastAsia="方正仿宋_GBK" w:cs="宋体"/>
          <w:color w:val="111111"/>
          <w:kern w:val="0"/>
          <w:sz w:val="32"/>
          <w:szCs w:val="32"/>
          <w:lang w:val="en-US" w:eastAsia="zh-CN"/>
        </w:rPr>
        <w:t>蔈草镇人民政府</w:t>
      </w:r>
      <w:r>
        <w:rPr>
          <w:rFonts w:hint="eastAsia" w:ascii="Times New Roman" w:hAnsi="宋体" w:eastAsia="方正仿宋_GBK" w:cs="宋体"/>
          <w:color w:val="111111"/>
          <w:kern w:val="0"/>
          <w:sz w:val="32"/>
          <w:szCs w:val="32"/>
        </w:rPr>
        <w:t>下属单位，无单位构成。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宋体" w:eastAsia="方正仿宋_GBK" w:cs="宋体"/>
          <w:kern w:val="0"/>
          <w:sz w:val="32"/>
          <w:szCs w:val="32"/>
        </w:rPr>
      </w:pPr>
      <w:r>
        <w:rPr>
          <w:rFonts w:hint="eastAsia" w:ascii="方正黑体_GBK" w:eastAsia="方正黑体_GBK"/>
          <w:sz w:val="32"/>
          <w:szCs w:val="32"/>
        </w:rPr>
        <w:t>二、部门决算情况说明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（一）收入支出决算总体情况说明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1.总体情况。</w:t>
      </w:r>
      <w:r>
        <w:rPr>
          <w:rFonts w:hint="eastAsia" w:ascii="方正仿宋_GBK" w:hAnsi="方正仿宋_GBK" w:eastAsia="方正仿宋_GBK" w:cs="方正仿宋_GBK"/>
          <w:sz w:val="32"/>
          <w:szCs w:val="32"/>
          <w:highlight w:val="none"/>
          <w:shd w:val="clear" w:color="auto" w:fill="auto"/>
          <w:lang w:val="en-US" w:eastAsia="zh-CN"/>
        </w:rPr>
        <w:t>2022年度收入总计82.44万元，支出总计82.44万元，年末结转和结余0万元。收支较上年决算数增加82.44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2.收入情况。</w:t>
      </w:r>
      <w:r>
        <w:rPr>
          <w:rFonts w:hint="eastAsia" w:ascii="方正仿宋_GBK" w:hAnsi="方正仿宋_GBK" w:eastAsia="方正仿宋_GBK" w:cs="方正仿宋_GBK"/>
          <w:sz w:val="32"/>
          <w:szCs w:val="32"/>
          <w:highlight w:val="none"/>
          <w:shd w:val="clear" w:color="auto" w:fill="auto"/>
          <w:lang w:val="en-US" w:eastAsia="zh-CN"/>
        </w:rPr>
        <w:t>2022年度收入合计82.44万元，其中财政拨款收入82.44万元，占100%。较上年决算数增加82.44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3.支出情况。</w:t>
      </w:r>
      <w:r>
        <w:rPr>
          <w:rFonts w:hint="eastAsia" w:ascii="方正仿宋_GBK" w:hAnsi="方正仿宋_GBK" w:eastAsia="方正仿宋_GBK" w:cs="方正仿宋_GBK"/>
          <w:sz w:val="32"/>
          <w:szCs w:val="32"/>
          <w:highlight w:val="none"/>
          <w:shd w:val="clear" w:color="auto" w:fill="auto"/>
          <w:lang w:val="en-US" w:eastAsia="zh-CN"/>
        </w:rPr>
        <w:t>2022年度支出合计82.44万元，其中：基本支出82.44万元，占100%，无项目支出。较上年决算数增加82.44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4.结转结余情况。</w:t>
      </w:r>
      <w:r>
        <w:rPr>
          <w:rFonts w:hint="eastAsia" w:ascii="方正仿宋_GBK" w:hAnsi="方正仿宋_GBK" w:eastAsia="方正仿宋_GBK" w:cs="方正仿宋_GBK"/>
          <w:sz w:val="32"/>
          <w:szCs w:val="32"/>
          <w:highlight w:val="none"/>
          <w:shd w:val="clear" w:color="auto" w:fill="auto"/>
          <w:lang w:val="en-US" w:eastAsia="zh-CN"/>
        </w:rPr>
        <w:t>2022年度年末结转和结余0万元。2021年本单位纳入云阳县蔈草镇人民政府集中决算，未单独列决算，2022年新增为决算单位，上年决算数为0.00万元。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2022年度财政拨款收入总计82.44万元，支出总计82.44万元，年末结转和结余0万元。与2021年相比，财政拨款收支总计各增加82.44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rPr>
        <w:t>1. 收入情况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lang w:val="en-US" w:eastAsia="zh-CN"/>
        </w:rPr>
        <w:t>2022年年终决算数82.44</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其中</w:t>
      </w:r>
      <w:r>
        <w:rPr>
          <w:rFonts w:hint="eastAsia" w:ascii="方正仿宋_GBK" w:hAnsi="方正仿宋_GBK" w:eastAsia="方正仿宋_GBK" w:cs="方正仿宋_GBK"/>
          <w:sz w:val="32"/>
          <w:szCs w:val="32"/>
          <w:highlight w:val="none"/>
          <w:shd w:val="clear" w:color="auto" w:fill="auto"/>
        </w:rPr>
        <w:t>一般公共预算</w:t>
      </w:r>
      <w:r>
        <w:rPr>
          <w:rFonts w:hint="eastAsia" w:ascii="方正仿宋_GBK" w:hAnsi="方正仿宋_GBK" w:eastAsia="方正仿宋_GBK" w:cs="方正仿宋_GBK"/>
          <w:sz w:val="32"/>
          <w:szCs w:val="32"/>
          <w:highlight w:val="none"/>
          <w:shd w:val="clear" w:color="auto" w:fill="auto"/>
          <w:lang w:val="en-US" w:eastAsia="zh-CN"/>
        </w:rPr>
        <w:t>财政拨款</w:t>
      </w:r>
      <w:r>
        <w:rPr>
          <w:rFonts w:hint="eastAsia" w:ascii="方正仿宋_GBK" w:hAnsi="方正仿宋_GBK" w:eastAsia="方正仿宋_GBK" w:cs="方正仿宋_GBK"/>
          <w:sz w:val="32"/>
          <w:szCs w:val="32"/>
          <w:highlight w:val="none"/>
          <w:shd w:val="clear" w:color="auto" w:fill="auto"/>
        </w:rPr>
        <w:t>收入</w:t>
      </w:r>
      <w:r>
        <w:rPr>
          <w:rFonts w:hint="eastAsia" w:ascii="方正仿宋_GBK" w:hAnsi="方正仿宋_GBK" w:eastAsia="方正仿宋_GBK" w:cs="方正仿宋_GBK"/>
          <w:sz w:val="32"/>
          <w:szCs w:val="32"/>
          <w:highlight w:val="none"/>
          <w:shd w:val="clear" w:color="auto" w:fill="auto"/>
          <w:lang w:val="en-US" w:eastAsia="zh-CN"/>
        </w:rPr>
        <w:t>82.44</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无年初结转和结余。较上年决算数增加82.44万元，主要原因是2021年本单位纳入云阳县蔈草镇人民政府集中决算，未单独列决算，2022年新增为决算单位，上年决算数为0.00万元。较年初预算数增加4.63万元，增长5.9%，主要原因是人员工资调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eastAsia="zh-CN"/>
        </w:rPr>
      </w:pPr>
      <w:r>
        <w:rPr>
          <w:rFonts w:hint="eastAsia" w:ascii="方正仿宋_GBK" w:hAnsi="方正仿宋_GBK" w:eastAsia="方正仿宋_GBK" w:cs="方正仿宋_GBK"/>
          <w:b/>
          <w:bCs/>
          <w:sz w:val="32"/>
          <w:szCs w:val="32"/>
          <w:highlight w:val="none"/>
          <w:shd w:val="clear" w:color="auto" w:fill="auto"/>
        </w:rPr>
        <w:t>2.支出情况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2022年一般公共预算本级支出</w:t>
      </w:r>
      <w:r>
        <w:rPr>
          <w:rFonts w:hint="eastAsia" w:ascii="方正仿宋_GBK" w:hAnsi="方正仿宋_GBK" w:eastAsia="方正仿宋_GBK" w:cs="方正仿宋_GBK"/>
          <w:sz w:val="32"/>
          <w:szCs w:val="32"/>
          <w:highlight w:val="none"/>
          <w:shd w:val="clear" w:color="auto" w:fill="auto"/>
          <w:lang w:val="en-US" w:eastAsia="zh-CN"/>
        </w:rPr>
        <w:t>82.44</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eastAsia="zh-CN"/>
        </w:rPr>
        <w:t>，较上年决算数增加82.44万元，主要原因是2021年本单位纳入云阳县蔈草镇人民政府集中决算，未单独列决算，2022年新增为决算单位，上年决算数为0.00万元。较年初预算数增加4.63万元，增长5.9%，主要原因是人员工资调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rPr>
        <w:t>3.结转结余情况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2022年度年末一般公共预算财政拨款结转和结余</w:t>
      </w:r>
      <w:r>
        <w:rPr>
          <w:rFonts w:hint="eastAsia" w:ascii="方正仿宋_GBK" w:hAnsi="方正仿宋_GBK" w:eastAsia="方正仿宋_GBK" w:cs="方正仿宋_GBK"/>
          <w:sz w:val="32"/>
          <w:szCs w:val="32"/>
          <w:highlight w:val="none"/>
          <w:shd w:val="clear" w:color="auto" w:fill="auto"/>
          <w:lang w:val="en-US" w:eastAsia="zh-CN"/>
        </w:rPr>
        <w:t>0</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较上年决算数增加0万元，主要原因是本单位不涉及结转结余。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4.比较情况。</w:t>
      </w:r>
      <w:r>
        <w:rPr>
          <w:rFonts w:hint="eastAsia" w:ascii="方正仿宋_GBK" w:hAnsi="方正仿宋_GBK" w:eastAsia="方正仿宋_GBK" w:cs="方正仿宋_GBK"/>
          <w:sz w:val="32"/>
          <w:szCs w:val="32"/>
          <w:highlight w:val="none"/>
          <w:shd w:val="clear" w:color="auto" w:fill="auto"/>
          <w:lang w:val="en-US" w:eastAsia="zh-CN"/>
        </w:rPr>
        <w:t>2022年一般公共预算本级支出82.44万元，支出较年初预算数增加4.63万元，其主要构成为：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（1）一般公共服务支出65.4万元，占79.4%，较年初预算数增加3.77万元，增长6.1%，主要原因是人员工资调标，社保增加；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（2）社会保障和就业支出8.31万元，占10.1%，较年初预算数增加0.29万元，增长3.6%，主要原因是人员工资调标，社保增加；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（3）卫生健康支出4.4万元，占5.3%，较年初预算数增加0.26万元，增长6.3%，主要原因是人员工资调标，社保增加；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（4）住房保障支出4.32万元，占5.2%，较年初预算数增加0.31万元，增长7.7%，主要原因是人员工资调标，公积金基数上调。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szCs w:val="32"/>
          <w:highlight w:val="none"/>
          <w:shd w:val="clear" w:color="auto" w:fill="auto"/>
          <w:lang w:val="en-US" w:eastAsia="zh-CN"/>
        </w:rPr>
        <w:t>2022年度一般公共预算财政拨款基本支出82.44万元。其中：人员经费81.51万元，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szCs w:val="32"/>
          <w:highlight w:val="none"/>
          <w:shd w:val="clear" w:color="auto" w:fill="auto"/>
          <w:lang w:val="en-US" w:eastAsia="zh-CN"/>
        </w:rPr>
        <w:t>81.51</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w:t>
      </w:r>
      <w:r>
        <w:rPr>
          <w:rFonts w:hint="eastAsia" w:ascii="方正仿宋_GBK" w:hAnsi="方正仿宋_GBK" w:eastAsia="方正仿宋_GBK" w:cs="方正仿宋_GBK"/>
          <w:sz w:val="32"/>
          <w:szCs w:val="32"/>
          <w:highlight w:val="none"/>
          <w:shd w:val="clear" w:color="auto" w:fill="auto"/>
          <w:lang w:val="en-US" w:eastAsia="zh-CN"/>
        </w:rPr>
        <w:t>主要包括主要包括职工统发工资、目标绩效、超额绩效、社会保险缴费及住房公积金等；公用经费0.92万元，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szCs w:val="32"/>
          <w:highlight w:val="none"/>
          <w:shd w:val="clear" w:color="auto" w:fill="auto"/>
          <w:lang w:val="en-US" w:eastAsia="zh-CN"/>
        </w:rPr>
        <w:t>0.92</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w:t>
      </w:r>
      <w:r>
        <w:rPr>
          <w:rFonts w:hint="eastAsia" w:ascii="方正仿宋_GBK" w:hAnsi="方正仿宋_GBK" w:eastAsia="方正仿宋_GBK" w:cs="方正仿宋_GBK"/>
          <w:sz w:val="32"/>
          <w:szCs w:val="32"/>
          <w:highlight w:val="none"/>
          <w:shd w:val="clear" w:color="auto" w:fill="auto"/>
          <w:lang w:val="en-US" w:eastAsia="zh-CN"/>
        </w:rPr>
        <w:t>主要包括工会经费和福利费，其他办公经费在机关列支。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（五）政府性基金预算收支决算情况说明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highlight w:val="none"/>
          <w:shd w:val="clear" w:color="auto" w:fill="auto"/>
          <w:lang w:val="en-US" w:eastAsia="zh-CN"/>
        </w:rPr>
        <w:t>本单位2022年度无政府性基金预算收支。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本单位2022年度无国有资本经营预算财政拨款支出。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sz w:val="30"/>
          <w:szCs w:val="30"/>
          <w:highlight w:val="none"/>
        </w:rPr>
      </w:pPr>
      <w:r>
        <w:rPr>
          <w:rFonts w:hint="eastAsia" w:ascii="方正黑体_GBK" w:eastAsia="方正黑体_GBK"/>
          <w:sz w:val="32"/>
          <w:szCs w:val="32"/>
          <w:highlight w:val="none"/>
        </w:rPr>
        <w:t xml:space="preserve">三、“三公”经费情况说明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lang w:val="en-US" w:eastAsia="zh-CN"/>
        </w:rPr>
      </w:pPr>
      <w:r>
        <w:rPr>
          <w:rFonts w:hint="eastAsia" w:ascii="方正楷体_GBK" w:hAnsi="方正楷体_GBK" w:eastAsia="方正楷体_GBK" w:cs="方正楷体_GBK"/>
          <w:sz w:val="32"/>
          <w:highlight w:val="none"/>
        </w:rPr>
        <w:t>（一）“三公”经费支出总体情况说明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highlight w:val="none"/>
          <w:lang w:val="en-US" w:eastAsia="zh-CN"/>
        </w:rPr>
      </w:pPr>
      <w:r>
        <w:rPr>
          <w:rFonts w:hint="eastAsia" w:ascii="方正仿宋_GBK" w:hAnsi="方正仿宋_GBK" w:eastAsia="方正仿宋_GBK" w:cs="方正仿宋_GBK"/>
          <w:sz w:val="32"/>
          <w:highlight w:val="none"/>
          <w:lang w:val="en-US" w:eastAsia="zh-CN"/>
        </w:rPr>
        <w:t>按照决算列报口径，本单位2022年新增为决算单位，“三公”经费由政府机关本级进行核算，本单位不核算“三公”经费。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rPr>
      </w:pPr>
      <w:r>
        <w:rPr>
          <w:rFonts w:hint="eastAsia" w:ascii="方正楷体_GBK" w:hAnsi="方正楷体_GBK" w:eastAsia="方正楷体_GBK" w:cs="方正楷体_GBK"/>
          <w:sz w:val="32"/>
          <w:highlight w:val="none"/>
        </w:rPr>
        <w:t>（二）“三公”经费分项支出情况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highlight w:val="none"/>
          <w:lang w:val="en-US" w:eastAsia="zh-CN"/>
        </w:rPr>
      </w:pPr>
      <w:r>
        <w:rPr>
          <w:rFonts w:hint="eastAsia" w:ascii="方正仿宋_GBK" w:hAnsi="方正仿宋_GBK" w:eastAsia="方正仿宋_GBK" w:cs="方正仿宋_GBK"/>
          <w:sz w:val="32"/>
          <w:highlight w:val="none"/>
          <w:lang w:val="en-US" w:eastAsia="zh-CN"/>
        </w:rPr>
        <w:t>按照部门决算列报口径，我单位不在“三公”经费核算统计范围之内。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rPr>
      </w:pPr>
      <w:r>
        <w:rPr>
          <w:rFonts w:hint="eastAsia" w:ascii="方正楷体_GBK" w:hAnsi="方正楷体_GBK" w:eastAsia="方正楷体_GBK" w:cs="方正楷体_GBK"/>
          <w:sz w:val="32"/>
          <w:highlight w:val="none"/>
        </w:rPr>
        <w:t>（三）“三公”经费实物量情况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highlight w:val="none"/>
          <w:lang w:val="en-US" w:eastAsia="zh-CN"/>
        </w:rPr>
      </w:pPr>
      <w:r>
        <w:rPr>
          <w:rFonts w:hint="eastAsia" w:ascii="方正仿宋_GBK" w:hAnsi="方正仿宋_GBK" w:eastAsia="方正仿宋_GBK" w:cs="方正仿宋_GBK"/>
          <w:sz w:val="32"/>
          <w:highlight w:val="none"/>
          <w:lang w:val="en-US" w:eastAsia="zh-CN"/>
        </w:rPr>
        <w:t>按照部门决算列报口径，我单位不在“三公”经费核算统计范围之内。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eastAsia="方正黑体_GBK"/>
          <w:sz w:val="32"/>
          <w:szCs w:val="32"/>
          <w:highlight w:val="none"/>
        </w:rPr>
      </w:pPr>
      <w:r>
        <w:rPr>
          <w:rFonts w:hint="eastAsia" w:ascii="方正黑体_GBK" w:eastAsia="方正黑体_GBK"/>
          <w:sz w:val="32"/>
          <w:szCs w:val="32"/>
          <w:highlight w:val="none"/>
        </w:rPr>
        <w:t>四、其他需要说明的事项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本单位2022年无会议费和培训费支出。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按照部门决算列报口径，我单位不在机关运行经费统计范围之内。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截至2022年12月31日，本单位共有车辆0辆。单价100万元（含）以上设备（不含车辆）0台。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（四）政府采购支出情况说明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eastAsia="方正仿宋_GBK" w:cs="宋体"/>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2022年度我单位未发生政府采购事项，无相关经费支出。</w:t>
      </w:r>
      <w:r>
        <w:rPr>
          <w:rFonts w:hint="eastAsia" w:eastAsia="方正仿宋_GBK" w:cs="宋体"/>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宋体" w:eastAsia="方正仿宋_GBK" w:cs="宋体"/>
          <w:b/>
          <w:kern w:val="0"/>
          <w:sz w:val="32"/>
          <w:szCs w:val="32"/>
          <w:highlight w:val="none"/>
        </w:rPr>
      </w:pPr>
      <w:r>
        <w:rPr>
          <w:rFonts w:hint="eastAsia" w:ascii="方正黑体_GBK" w:hAnsi="宋体" w:eastAsia="方正黑体_GBK" w:cs="宋体"/>
          <w:kern w:val="0"/>
          <w:sz w:val="32"/>
          <w:szCs w:val="32"/>
          <w:highlight w:val="none"/>
        </w:rPr>
        <w:t>五、预算绩效管理情况说明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color w:val="333333"/>
          <w:sz w:val="32"/>
          <w:szCs w:val="32"/>
          <w:highlight w:val="none"/>
        </w:rPr>
        <w:t>（一）</w:t>
      </w:r>
      <w:r>
        <w:rPr>
          <w:rFonts w:hint="eastAsia" w:ascii="方正楷体_GBK" w:hAnsi="方正楷体_GBK" w:eastAsia="方正楷体_GBK" w:cs="方正楷体_GBK"/>
          <w:color w:val="333333"/>
          <w:kern w:val="2"/>
          <w:sz w:val="32"/>
          <w:szCs w:val="32"/>
          <w:highlight w:val="none"/>
          <w:lang w:val="en-US" w:eastAsia="zh-CN" w:bidi="ar-SA"/>
        </w:rPr>
        <w:t>预算绩效管理工作开展情况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eastAsia="方正仿宋_GBK" w:cs="宋体"/>
          <w:kern w:val="0"/>
          <w:sz w:val="32"/>
          <w:szCs w:val="32"/>
          <w:highlight w:val="none"/>
          <w:lang w:val="en-US" w:eastAsia="zh-CN"/>
        </w:rPr>
      </w:pPr>
      <w:r>
        <w:rPr>
          <w:rFonts w:hint="eastAsia" w:eastAsia="方正仿宋_GBK" w:cs="宋体"/>
          <w:kern w:val="0"/>
          <w:sz w:val="32"/>
          <w:szCs w:val="32"/>
          <w:highlight w:val="none"/>
          <w:lang w:val="en-US" w:eastAsia="zh-CN"/>
        </w:rPr>
        <w:t>我单位属于政府下属事业单位，2022年度无项目支出，根据预算绩效管理要求，不进行项目预算绩效管理。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333333"/>
          <w:sz w:val="32"/>
          <w:szCs w:val="32"/>
          <w:highlight w:val="none"/>
          <w:lang w:val="en-US" w:eastAsia="zh-CN"/>
        </w:rPr>
      </w:pPr>
      <w:r>
        <w:rPr>
          <w:rFonts w:hint="eastAsia" w:ascii="方正楷体_GBK" w:hAnsi="方正楷体_GBK" w:eastAsia="方正楷体_GBK" w:cs="方正楷体_GBK"/>
          <w:color w:val="333333"/>
          <w:sz w:val="32"/>
          <w:szCs w:val="32"/>
          <w:highlight w:val="none"/>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1.绩效目标自评表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kern w:val="0"/>
          <w:sz w:val="32"/>
          <w:szCs w:val="32"/>
          <w:highlight w:val="none"/>
          <w:lang w:val="en-US" w:eastAsia="zh-CN"/>
        </w:rPr>
      </w:pPr>
      <w:r>
        <w:rPr>
          <w:rFonts w:hint="eastAsia" w:ascii="方正仿宋_GBK" w:hAnsi="方正仿宋_GBK" w:eastAsia="方正仿宋_GBK" w:cs="方正仿宋_GBK"/>
          <w:b/>
          <w:bCs/>
          <w:kern w:val="0"/>
          <w:sz w:val="32"/>
          <w:szCs w:val="32"/>
          <w:highlight w:val="none"/>
          <w:lang w:val="en-US" w:eastAsia="zh-CN"/>
        </w:rPr>
        <w:t>2.绩效自评报告或案例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kern w:val="0"/>
          <w:sz w:val="32"/>
          <w:szCs w:val="32"/>
          <w:highlight w:val="none"/>
          <w:lang w:val="en-US" w:eastAsia="zh-CN"/>
        </w:rPr>
      </w:pPr>
      <w:r>
        <w:rPr>
          <w:rFonts w:hint="eastAsia" w:ascii="方正仿宋_GBK" w:hAnsi="方正仿宋_GBK" w:eastAsia="方正仿宋_GBK" w:cs="方正仿宋_GBK"/>
          <w:b/>
          <w:bCs/>
          <w:kern w:val="0"/>
          <w:sz w:val="32"/>
          <w:szCs w:val="32"/>
          <w:highlight w:val="none"/>
          <w:lang w:val="en-US" w:eastAsia="zh-CN"/>
        </w:rPr>
        <w:t>3.关于绩效自评结果的说明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重点绩效评价结果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Times New Roman" w:eastAsia="方正黑体_GBK" w:cs="Times New Roman"/>
          <w:kern w:val="2"/>
          <w:sz w:val="32"/>
          <w:szCs w:val="32"/>
          <w:highlight w:val="none"/>
          <w:lang w:val="en-US" w:eastAsia="zh-CN" w:bidi="ar-SA"/>
        </w:rPr>
      </w:pPr>
      <w:r>
        <w:rPr>
          <w:rFonts w:hint="eastAsia" w:ascii="方正黑体_GBK" w:hAnsi="Times New Roman" w:eastAsia="方正黑体_GBK" w:cs="Times New Roman"/>
          <w:kern w:val="2"/>
          <w:sz w:val="32"/>
          <w:szCs w:val="32"/>
          <w:highlight w:val="none"/>
          <w:lang w:val="en-US" w:eastAsia="zh-CN" w:bidi="ar-SA"/>
        </w:rPr>
        <w:t>六、专业名词解释</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（一）财政拨款收入：指本年度从本级财政部门取得的财政拨款，包括一般公共预算财政拨款和政府性基金预算财政拨款。</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（二）事业收入：指事业单位开展专业业务活动及其辅助活动取得的现金流入；事业单位收到的财政专户实际核拨的教育收费等资金在此反映。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（三）经营收入：指事业单位在专业业务活动及其辅助活动之外开展非独立核算经营活动取得的现金流入。</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（五）使用非财政拨款结余：指单位在当年的“财政拨款收入”、“事业收入”、“经营收入”、“其他收入”等不足以安排当年支出的情况下，使用以前年度积累的非财政拨款结余弥补本年度收支缺口的资金。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（六）年初结转和结余：指单位上年结转本年使用的基本支出结转、项目支出结转和结余、经营结余。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（七）结余分配：指单位按照国家有关规定，缴纳所得税、提取专用基金、转入非财政拨款结余等当年结余的分配情况。</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（八）年末结转和结余：指单位结转下年的基本支出结转、项目支出结转和结余、经营结余。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（十）项目支出：指在基本支出之外为完成特定行政任务和事业发展目标所发生的支出。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（十一）经营支出：指事业单位在专业业务活动及其辅助活动之外开展非独立核算经营活动发生的支出。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（十四）工资福利支出（支出经济分类科目类级）：反映单位开支的在职职工和编制外长期聘用人员的各类劳动报酬，以及为上述人员缴纳的各项社会保险费等。</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（十五）商品和服务支出（支出经济分类科目类级）：反映单位购买商品和服务的支出（不包括用于购置固定资产的支出、战略性和应急储备支出）。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（十六）对个人和家庭的补助（支出经济分类科目类级）：反映用于对个人和家庭的补助支出。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楷体_GBK" w:cs="Times New Roman"/>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Times New Roman" w:eastAsia="方正黑体_GBK" w:cs="Times New Roman"/>
          <w:kern w:val="2"/>
          <w:sz w:val="32"/>
          <w:szCs w:val="32"/>
          <w:highlight w:val="none"/>
          <w:lang w:val="en-US" w:eastAsia="zh-CN" w:bidi="ar-SA"/>
        </w:rPr>
      </w:pPr>
      <w:r>
        <w:rPr>
          <w:rFonts w:hint="eastAsia" w:ascii="方正黑体_GBK" w:hAnsi="Times New Roman" w:eastAsia="方正黑体_GBK" w:cs="Times New Roman"/>
          <w:kern w:val="2"/>
          <w:sz w:val="32"/>
          <w:szCs w:val="32"/>
          <w:highlight w:val="none"/>
          <w:lang w:val="en-US" w:eastAsia="zh-CN" w:bidi="ar-SA"/>
        </w:rPr>
        <w:t>七、决算公开联系方式</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Times New Roman" w:eastAsia="方正仿宋_GBK" w:cs="Times New Roman"/>
          <w:kern w:val="2"/>
          <w:sz w:val="32"/>
          <w:szCs w:val="32"/>
          <w:highlight w:val="none"/>
          <w:lang w:val="en-US" w:eastAsia="zh-CN" w:bidi="ar-SA"/>
        </w:rPr>
      </w:pPr>
      <w:r>
        <w:rPr>
          <w:rFonts w:hint="eastAsia" w:ascii="方正仿宋_GBK" w:hAnsi="Times New Roman" w:eastAsia="方正仿宋_GBK" w:cs="Times New Roman"/>
          <w:kern w:val="2"/>
          <w:sz w:val="32"/>
          <w:szCs w:val="32"/>
          <w:highlight w:val="none"/>
          <w:lang w:val="en-US" w:eastAsia="zh-CN" w:bidi="ar-SA"/>
        </w:rPr>
        <w:t>单位决算公开联系人：牟将凤  联系方式：023-55328010</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highlight w:val="none"/>
        </w:rPr>
      </w:pPr>
    </w:p>
    <w:sectPr>
      <w:footerReference r:id="rId3" w:type="default"/>
      <w:footerReference r:id="rId4" w:type="even"/>
      <w:pgSz w:w="11906" w:h="16838"/>
      <w:pgMar w:top="2098" w:right="1446" w:bottom="1984" w:left="1446" w:header="851" w:footer="1474"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posOffset>4944110</wp:posOffset>
              </wp:positionH>
              <wp:positionV relativeFrom="paragraph">
                <wp:posOffset>-127635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left:389.3pt;margin-top:-10.05pt;height:144pt;width:144pt;mso-position-horizontal-relative:margin;mso-wrap-style:none;z-index:251658240;mso-width-relative:page;mso-height-relative:page;" filled="f" stroked="f" coordsize="21600,21600" o:gfxdata="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vZtcAAAAMAQAADwAAAAAAAAABACAAAAAiAAAAZHJzL2Rvd25y&#10;ZXYueG1sUEsBAhQAFAAAAAgAh07iQDRFgGLGAQAAcwMAAA4AAAAAAAAAAQAgAAAAJgEAAGRycy9l&#10;Mm9Eb2MueG1sUEsFBgAAAAAGAAYAWQEAAF4FA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uNpXyxgEAAHMDAAAOAAAAAAAAAAEAIAAAAB4BAABkcnMvZTJvRG9jLnht&#10;bFBLBQYAAAAABgAGAFkBAABWBQAAAAA=&#10;">
              <v:fill on="f" focussize="0,0"/>
              <v:stroke on="f"/>
              <v:imagedata o:title=""/>
              <o:lock v:ext="edit" aspectratio="f"/>
              <v:textbox inset="0mm,0mm,0mm,0mm" style="mso-fit-shape-to-text:t;">
                <w:txbxContent>
                  <w:p>
                    <w:pPr>
                      <w:pStyle w:val="3"/>
                      <w:ind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C748B"/>
    <w:multiLevelType w:val="singleLevel"/>
    <w:tmpl w:val="C88C74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YTJhMzU1Y2I0OThmM2MzM2UwNWU4NDQ2NTBhNWM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3F65"/>
    <w:rsid w:val="000842FF"/>
    <w:rsid w:val="000A2CFA"/>
    <w:rsid w:val="000B27F1"/>
    <w:rsid w:val="000B3E51"/>
    <w:rsid w:val="000C15A3"/>
    <w:rsid w:val="000C7FE9"/>
    <w:rsid w:val="000D5121"/>
    <w:rsid w:val="000D70FA"/>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3226D"/>
    <w:rsid w:val="00242193"/>
    <w:rsid w:val="00251D58"/>
    <w:rsid w:val="00252306"/>
    <w:rsid w:val="00262C07"/>
    <w:rsid w:val="00271994"/>
    <w:rsid w:val="002726B1"/>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8006A"/>
    <w:rsid w:val="00391856"/>
    <w:rsid w:val="003961FF"/>
    <w:rsid w:val="00397B03"/>
    <w:rsid w:val="003B21E3"/>
    <w:rsid w:val="003B27FF"/>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33746"/>
    <w:rsid w:val="00546918"/>
    <w:rsid w:val="005507A2"/>
    <w:rsid w:val="00561338"/>
    <w:rsid w:val="00561975"/>
    <w:rsid w:val="00565117"/>
    <w:rsid w:val="0056679B"/>
    <w:rsid w:val="00573EC4"/>
    <w:rsid w:val="00583859"/>
    <w:rsid w:val="005901AA"/>
    <w:rsid w:val="005911E1"/>
    <w:rsid w:val="005A3116"/>
    <w:rsid w:val="005A5CCA"/>
    <w:rsid w:val="005A5FCF"/>
    <w:rsid w:val="005B100F"/>
    <w:rsid w:val="005B2D5D"/>
    <w:rsid w:val="005C38B2"/>
    <w:rsid w:val="005D2489"/>
    <w:rsid w:val="005D4003"/>
    <w:rsid w:val="005D4080"/>
    <w:rsid w:val="005D470C"/>
    <w:rsid w:val="005E1109"/>
    <w:rsid w:val="005E6EE3"/>
    <w:rsid w:val="005F0FF8"/>
    <w:rsid w:val="005F757D"/>
    <w:rsid w:val="00600C8F"/>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846E9"/>
    <w:rsid w:val="00890399"/>
    <w:rsid w:val="00895F15"/>
    <w:rsid w:val="008A0636"/>
    <w:rsid w:val="008A2A01"/>
    <w:rsid w:val="008A38D6"/>
    <w:rsid w:val="008A3D1E"/>
    <w:rsid w:val="008A43C6"/>
    <w:rsid w:val="008A49F0"/>
    <w:rsid w:val="008B7D00"/>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673"/>
    <w:rsid w:val="009D21EA"/>
    <w:rsid w:val="009E153F"/>
    <w:rsid w:val="009F0A76"/>
    <w:rsid w:val="009F1C2B"/>
    <w:rsid w:val="009F42A2"/>
    <w:rsid w:val="009F782A"/>
    <w:rsid w:val="009F7F6C"/>
    <w:rsid w:val="00A04BBF"/>
    <w:rsid w:val="00A05764"/>
    <w:rsid w:val="00A05FE8"/>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2E00"/>
    <w:rsid w:val="00B14F8C"/>
    <w:rsid w:val="00B15181"/>
    <w:rsid w:val="00B211A3"/>
    <w:rsid w:val="00B23783"/>
    <w:rsid w:val="00B316BA"/>
    <w:rsid w:val="00B41BE8"/>
    <w:rsid w:val="00B42D0C"/>
    <w:rsid w:val="00B456EF"/>
    <w:rsid w:val="00B463CF"/>
    <w:rsid w:val="00B54FA4"/>
    <w:rsid w:val="00B60D03"/>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F3987"/>
    <w:rsid w:val="00CF487D"/>
    <w:rsid w:val="00D01565"/>
    <w:rsid w:val="00D02C02"/>
    <w:rsid w:val="00D03E3C"/>
    <w:rsid w:val="00D03EFD"/>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6BBC"/>
    <w:rsid w:val="00DE0EDD"/>
    <w:rsid w:val="00DE3005"/>
    <w:rsid w:val="00DE735E"/>
    <w:rsid w:val="00DF32B3"/>
    <w:rsid w:val="00DF3B9C"/>
    <w:rsid w:val="00DF5A8E"/>
    <w:rsid w:val="00E115ED"/>
    <w:rsid w:val="00E20FA3"/>
    <w:rsid w:val="00E24893"/>
    <w:rsid w:val="00E372E2"/>
    <w:rsid w:val="00E46647"/>
    <w:rsid w:val="00E4699A"/>
    <w:rsid w:val="00E5411A"/>
    <w:rsid w:val="00E54302"/>
    <w:rsid w:val="00E6183C"/>
    <w:rsid w:val="00E64255"/>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2DC0D17"/>
    <w:rsid w:val="031D2C92"/>
    <w:rsid w:val="035543C1"/>
    <w:rsid w:val="039B04B2"/>
    <w:rsid w:val="03B61782"/>
    <w:rsid w:val="05C1448E"/>
    <w:rsid w:val="06463750"/>
    <w:rsid w:val="07A34544"/>
    <w:rsid w:val="093720D2"/>
    <w:rsid w:val="09823D8A"/>
    <w:rsid w:val="099269A7"/>
    <w:rsid w:val="0A212893"/>
    <w:rsid w:val="0C994F52"/>
    <w:rsid w:val="0CF53E87"/>
    <w:rsid w:val="0ED17937"/>
    <w:rsid w:val="0F5D6174"/>
    <w:rsid w:val="1016071E"/>
    <w:rsid w:val="10680E79"/>
    <w:rsid w:val="10AE7D44"/>
    <w:rsid w:val="10B66EE7"/>
    <w:rsid w:val="123F1DC0"/>
    <w:rsid w:val="12EA2F1A"/>
    <w:rsid w:val="13153369"/>
    <w:rsid w:val="13E8045F"/>
    <w:rsid w:val="169A0C5D"/>
    <w:rsid w:val="17AB7968"/>
    <w:rsid w:val="198E15D2"/>
    <w:rsid w:val="19A33B21"/>
    <w:rsid w:val="1A1819C1"/>
    <w:rsid w:val="1A524B28"/>
    <w:rsid w:val="1A697BE3"/>
    <w:rsid w:val="1A7919B9"/>
    <w:rsid w:val="1C515D85"/>
    <w:rsid w:val="1CCA6151"/>
    <w:rsid w:val="1D437979"/>
    <w:rsid w:val="1D4708B1"/>
    <w:rsid w:val="1EF96BEA"/>
    <w:rsid w:val="20C07FC8"/>
    <w:rsid w:val="2150748A"/>
    <w:rsid w:val="22CE1BB0"/>
    <w:rsid w:val="24BD2ED0"/>
    <w:rsid w:val="25FF1317"/>
    <w:rsid w:val="26487E8F"/>
    <w:rsid w:val="26510580"/>
    <w:rsid w:val="26F21A37"/>
    <w:rsid w:val="28253784"/>
    <w:rsid w:val="2B2C4AF3"/>
    <w:rsid w:val="2BC73FBA"/>
    <w:rsid w:val="2C715093"/>
    <w:rsid w:val="2C9D0F61"/>
    <w:rsid w:val="31D038C6"/>
    <w:rsid w:val="34E418B8"/>
    <w:rsid w:val="35521A2B"/>
    <w:rsid w:val="355E472E"/>
    <w:rsid w:val="35EA737B"/>
    <w:rsid w:val="38BD3900"/>
    <w:rsid w:val="392E4EE4"/>
    <w:rsid w:val="3B0A6EB4"/>
    <w:rsid w:val="3B307A72"/>
    <w:rsid w:val="3C1860E9"/>
    <w:rsid w:val="3C265FAB"/>
    <w:rsid w:val="3C3A0510"/>
    <w:rsid w:val="3E7869D9"/>
    <w:rsid w:val="42E8144C"/>
    <w:rsid w:val="43991F2B"/>
    <w:rsid w:val="43DD3205"/>
    <w:rsid w:val="441905B4"/>
    <w:rsid w:val="45535583"/>
    <w:rsid w:val="48C3403D"/>
    <w:rsid w:val="498D6EB3"/>
    <w:rsid w:val="4D630F4C"/>
    <w:rsid w:val="4E0445E5"/>
    <w:rsid w:val="4E4C4964"/>
    <w:rsid w:val="4E9B29A4"/>
    <w:rsid w:val="4E9D44D9"/>
    <w:rsid w:val="4F713E82"/>
    <w:rsid w:val="52C73605"/>
    <w:rsid w:val="52E5462F"/>
    <w:rsid w:val="53BD0CC2"/>
    <w:rsid w:val="540320EA"/>
    <w:rsid w:val="55CD6DBF"/>
    <w:rsid w:val="5611565E"/>
    <w:rsid w:val="565A5E3A"/>
    <w:rsid w:val="57B669CF"/>
    <w:rsid w:val="584366A5"/>
    <w:rsid w:val="58AA1B51"/>
    <w:rsid w:val="5BEA616D"/>
    <w:rsid w:val="5C336400"/>
    <w:rsid w:val="5CB40679"/>
    <w:rsid w:val="61D16983"/>
    <w:rsid w:val="65152B18"/>
    <w:rsid w:val="653F3B2F"/>
    <w:rsid w:val="66303507"/>
    <w:rsid w:val="67A12AE1"/>
    <w:rsid w:val="68443B41"/>
    <w:rsid w:val="6AB167E6"/>
    <w:rsid w:val="6ABE5BB4"/>
    <w:rsid w:val="6B393361"/>
    <w:rsid w:val="6E904287"/>
    <w:rsid w:val="705F728A"/>
    <w:rsid w:val="70C87CAA"/>
    <w:rsid w:val="72C81D24"/>
    <w:rsid w:val="733B0745"/>
    <w:rsid w:val="73772C48"/>
    <w:rsid w:val="740F2AC3"/>
    <w:rsid w:val="745909D3"/>
    <w:rsid w:val="764519E3"/>
    <w:rsid w:val="76B71BE6"/>
    <w:rsid w:val="76E84C12"/>
    <w:rsid w:val="77513E87"/>
    <w:rsid w:val="79E47009"/>
    <w:rsid w:val="7A640644"/>
    <w:rsid w:val="7AC53F39"/>
    <w:rsid w:val="7AD1285B"/>
    <w:rsid w:val="7CD70DCE"/>
    <w:rsid w:val="7D4A1989"/>
    <w:rsid w:val="7F7D4793"/>
    <w:rsid w:val="7F953C17"/>
    <w:rsid w:val="BB58CDBF"/>
    <w:rsid w:val="BFBD32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批注框文本 Char"/>
    <w:link w:val="2"/>
    <w:semiHidden/>
    <w:qFormat/>
    <w:uiPriority w:val="99"/>
    <w:rPr>
      <w:kern w:val="2"/>
      <w:sz w:val="18"/>
      <w:szCs w:val="18"/>
    </w:rPr>
  </w:style>
  <w:style w:type="character" w:customStyle="1" w:styleId="10">
    <w:name w:val="页脚 Char"/>
    <w:link w:val="3"/>
    <w:qFormat/>
    <w:uiPriority w:val="99"/>
    <w:rPr>
      <w:sz w:val="18"/>
      <w:szCs w:val="18"/>
    </w:rPr>
  </w:style>
  <w:style w:type="character" w:customStyle="1" w:styleId="11">
    <w:name w:val="页眉 Char"/>
    <w:link w:val="4"/>
    <w:qFormat/>
    <w:uiPriority w:val="99"/>
    <w:rPr>
      <w:sz w:val="18"/>
      <w:szCs w:val="18"/>
    </w:rPr>
  </w:style>
  <w:style w:type="character" w:customStyle="1" w:styleId="12">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3">
    <w:name w:val="font41"/>
    <w:basedOn w:val="7"/>
    <w:qFormat/>
    <w:uiPriority w:val="0"/>
    <w:rPr>
      <w:rFonts w:hint="default" w:ascii="Times New Roman" w:hAnsi="Times New Roman" w:cs="Times New Roman"/>
      <w:color w:val="000000"/>
      <w:sz w:val="18"/>
      <w:szCs w:val="18"/>
      <w:u w:val="none"/>
    </w:rPr>
  </w:style>
  <w:style w:type="character" w:customStyle="1" w:styleId="14">
    <w:name w:val="font21"/>
    <w:basedOn w:val="7"/>
    <w:qFormat/>
    <w:uiPriority w:val="0"/>
    <w:rPr>
      <w:rFonts w:hint="default" w:ascii="Times New Roman" w:hAnsi="Times New Roman" w:cs="Times New Roman"/>
      <w:color w:val="000000"/>
      <w:sz w:val="18"/>
      <w:szCs w:val="18"/>
      <w:u w:val="none"/>
    </w:rPr>
  </w:style>
  <w:style w:type="character" w:customStyle="1" w:styleId="15">
    <w:name w:val="font51"/>
    <w:basedOn w:val="7"/>
    <w:qFormat/>
    <w:uiPriority w:val="0"/>
    <w:rPr>
      <w:rFonts w:hint="eastAsia" w:ascii="方正仿宋_GBK" w:hAnsi="方正仿宋_GBK" w:eastAsia="方正仿宋_GBK" w:cs="方正仿宋_GBK"/>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445</Words>
  <Characters>2539</Characters>
  <Lines>21</Lines>
  <Paragraphs>5</Paragraphs>
  <TotalTime>8</TotalTime>
  <ScaleCrop>false</ScaleCrop>
  <LinksUpToDate>false</LinksUpToDate>
  <CharactersWithSpaces>2979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2019-06-12T18:12:00Z</dcterms:created>
  <dc:creator>微软用户</dc:creator>
  <cp:lastModifiedBy>Administrator</cp:lastModifiedBy>
  <cp:lastPrinted>2021-09-17T23:39:00Z</cp:lastPrinted>
  <dcterms:modified xsi:type="dcterms:W3CDTF">2023-11-24T01:54:18Z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2FF853EDC67F43E387372857603CBE63_12</vt:lpwstr>
  </property>
</Properties>
</file>