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云阳县</w:t>
      </w:r>
      <w:r>
        <w:rPr>
          <w:rFonts w:hint="eastAsia" w:ascii="方正小标宋_GBK" w:eastAsia="方正小标宋_GBK"/>
          <w:sz w:val="44"/>
          <w:szCs w:val="44"/>
          <w:lang w:val="en-US" w:eastAsia="zh-CN"/>
        </w:rPr>
        <w:t>双江</w:t>
      </w:r>
      <w:r>
        <w:rPr>
          <w:rFonts w:hint="eastAsia" w:ascii="方正小标宋_GBK" w:eastAsia="方正小标宋_GBK"/>
          <w:sz w:val="44"/>
          <w:szCs w:val="44"/>
        </w:rPr>
        <w:t>规划和自然资源所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hint="eastAsia" w:ascii="方正楷体_GBK" w:eastAsia="方正楷体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bookmarkStart w:id="0" w:name="_GoBack"/>
      <w:bookmarkEnd w:id="0"/>
    </w:p>
    <w:p>
      <w:pPr>
        <w:spacing w:line="578"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从预算单位构成看，纳入本部门2022年度决算编制的二级预算单位主要包括云阳县</w:t>
      </w:r>
      <w:r>
        <w:rPr>
          <w:rFonts w:hint="eastAsia" w:ascii="方正仿宋_GBK" w:eastAsia="方正仿宋_GBK"/>
          <w:sz w:val="32"/>
          <w:szCs w:val="32"/>
          <w:lang w:val="en-US" w:eastAsia="zh-CN"/>
        </w:rPr>
        <w:t>双江</w:t>
      </w:r>
      <w:r>
        <w:rPr>
          <w:rFonts w:hint="eastAsia" w:ascii="方正仿宋_GBK" w:eastAsia="方正仿宋_GBK"/>
          <w:sz w:val="32"/>
          <w:szCs w:val="32"/>
        </w:rPr>
        <w:t>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年度收入总计407.52万元，支出总计407.52万元。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年度收入合计407.52万元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其中：财政拨款收入407.52万元，占100%。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年度支出合计407.52万元。其中：基本支出407.52万元，占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支总计407.52万元。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年度一般公共预算财政拨款收入407.52万元。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年度一般公共预算财政拨款支出407.52万元。较年初预算数</w:t>
      </w:r>
      <w:r>
        <w:rPr>
          <w:rFonts w:hint="eastAsia" w:ascii="方正仿宋_GBK" w:eastAsia="方正仿宋_GBK"/>
          <w:sz w:val="32"/>
          <w:szCs w:val="32"/>
          <w:lang w:val="en-US" w:eastAsia="zh-CN"/>
        </w:rPr>
        <w:t>减少</w:t>
      </w:r>
      <w:r>
        <w:rPr>
          <w:rFonts w:hint="eastAsia" w:ascii="方正仿宋_GBK" w:eastAsia="方正仿宋_GBK"/>
          <w:sz w:val="32"/>
          <w:szCs w:val="32"/>
        </w:rPr>
        <w:t>31.08万元，</w:t>
      </w:r>
      <w:r>
        <w:rPr>
          <w:rFonts w:hint="eastAsia" w:ascii="方正仿宋_GBK" w:eastAsia="方正仿宋_GBK"/>
          <w:sz w:val="32"/>
          <w:szCs w:val="32"/>
          <w:lang w:val="en-US" w:eastAsia="zh-CN"/>
        </w:rPr>
        <w:t>减少</w:t>
      </w:r>
      <w:r>
        <w:rPr>
          <w:rFonts w:hint="eastAsia" w:ascii="方正仿宋_GBK" w:eastAsia="方正仿宋_GBK"/>
          <w:sz w:val="32"/>
          <w:szCs w:val="32"/>
        </w:rPr>
        <w:t>7.1%%。</w:t>
      </w:r>
      <w:r>
        <w:rPr>
          <w:rFonts w:hint="eastAsia" w:ascii="方正仿宋_GBK" w:eastAsia="方正仿宋_GBK"/>
          <w:sz w:val="32"/>
          <w:szCs w:val="32"/>
          <w:lang w:val="en-US" w:eastAsia="zh-CN"/>
        </w:rPr>
        <w:t>主要原因是人员减少</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）社会保障与就业支出52.54万元，占12.9%%，较年初预算数</w:t>
      </w:r>
      <w:r>
        <w:rPr>
          <w:rFonts w:hint="eastAsia" w:ascii="方正仿宋_GBK" w:eastAsia="方正仿宋_GBK"/>
          <w:sz w:val="32"/>
          <w:szCs w:val="32"/>
          <w:lang w:val="en-US" w:eastAsia="zh-CN"/>
        </w:rPr>
        <w:t>减少</w:t>
      </w:r>
      <w:r>
        <w:rPr>
          <w:rFonts w:hint="eastAsia" w:ascii="方正仿宋_GBK" w:eastAsia="方正仿宋_GBK"/>
          <w:sz w:val="32"/>
          <w:szCs w:val="32"/>
        </w:rPr>
        <w:t>1.14万元，</w:t>
      </w:r>
      <w:r>
        <w:rPr>
          <w:rFonts w:hint="eastAsia" w:ascii="方正仿宋_GBK" w:eastAsia="方正仿宋_GBK"/>
          <w:sz w:val="32"/>
          <w:szCs w:val="32"/>
          <w:lang w:val="en-US" w:eastAsia="zh-CN"/>
        </w:rPr>
        <w:t>减少</w:t>
      </w:r>
      <w:r>
        <w:rPr>
          <w:rFonts w:hint="eastAsia" w:ascii="方正仿宋_GBK" w:eastAsia="方正仿宋_GBK"/>
          <w:sz w:val="32"/>
          <w:szCs w:val="32"/>
        </w:rPr>
        <w:t>2.1%，主要原因是人员</w:t>
      </w:r>
      <w:r>
        <w:rPr>
          <w:rFonts w:hint="eastAsia" w:ascii="方正仿宋_GBK" w:eastAsia="方正仿宋_GBK"/>
          <w:sz w:val="32"/>
          <w:szCs w:val="32"/>
          <w:lang w:val="en-US" w:eastAsia="zh-CN"/>
        </w:rPr>
        <w:t>减少</w:t>
      </w:r>
      <w:r>
        <w:rPr>
          <w:rFonts w:hint="eastAsia" w:ascii="方正仿宋_GBK" w:eastAsia="方正仿宋_GBK"/>
          <w:sz w:val="32"/>
          <w:szCs w:val="32"/>
        </w:rPr>
        <w:t>后养老保险和职业年金缴费</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）卫生健康支出20.63万元，占5.1%，较年初预算数</w:t>
      </w:r>
      <w:r>
        <w:rPr>
          <w:rFonts w:hint="eastAsia" w:ascii="方正仿宋_GBK" w:eastAsia="方正仿宋_GBK"/>
          <w:sz w:val="32"/>
          <w:szCs w:val="32"/>
          <w:lang w:val="en-US" w:eastAsia="zh-CN"/>
        </w:rPr>
        <w:t>减少</w:t>
      </w:r>
      <w:r>
        <w:rPr>
          <w:rFonts w:hint="eastAsia" w:ascii="方正仿宋_GBK" w:eastAsia="方正仿宋_GBK"/>
          <w:sz w:val="32"/>
          <w:szCs w:val="32"/>
        </w:rPr>
        <w:t>0.71万元，</w:t>
      </w:r>
      <w:r>
        <w:rPr>
          <w:rFonts w:hint="eastAsia" w:ascii="方正仿宋_GBK" w:eastAsia="方正仿宋_GBK"/>
          <w:sz w:val="32"/>
          <w:szCs w:val="32"/>
          <w:lang w:val="en-US" w:eastAsia="zh-CN"/>
        </w:rPr>
        <w:t>减少</w:t>
      </w:r>
      <w:r>
        <w:rPr>
          <w:rFonts w:hint="eastAsia" w:ascii="方正仿宋_GBK" w:eastAsia="方正仿宋_GBK"/>
          <w:sz w:val="32"/>
          <w:szCs w:val="32"/>
        </w:rPr>
        <w:t>3.3%，主要原因是是人员</w:t>
      </w:r>
      <w:r>
        <w:rPr>
          <w:rFonts w:hint="eastAsia" w:ascii="方正仿宋_GBK" w:eastAsia="方正仿宋_GBK"/>
          <w:sz w:val="32"/>
          <w:szCs w:val="32"/>
          <w:lang w:val="en-US" w:eastAsia="zh-CN"/>
        </w:rPr>
        <w:t>减少</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）自然资源海洋气象等支出314.41万元，占77.2%，较年初预算数</w:t>
      </w:r>
      <w:r>
        <w:rPr>
          <w:rFonts w:hint="eastAsia" w:ascii="方正仿宋_GBK" w:eastAsia="方正仿宋_GBK"/>
          <w:sz w:val="32"/>
          <w:szCs w:val="32"/>
          <w:lang w:val="en-US" w:eastAsia="zh-CN"/>
        </w:rPr>
        <w:t>减少</w:t>
      </w:r>
      <w:r>
        <w:rPr>
          <w:rFonts w:hint="eastAsia" w:ascii="方正仿宋_GBK" w:eastAsia="方正仿宋_GBK"/>
          <w:sz w:val="32"/>
          <w:szCs w:val="32"/>
        </w:rPr>
        <w:t>29.23万元，</w:t>
      </w:r>
      <w:r>
        <w:rPr>
          <w:rFonts w:hint="eastAsia" w:ascii="方正仿宋_GBK" w:eastAsia="方正仿宋_GBK"/>
          <w:sz w:val="32"/>
          <w:szCs w:val="32"/>
          <w:lang w:val="en-US" w:eastAsia="zh-CN"/>
        </w:rPr>
        <w:t>减少</w:t>
      </w:r>
      <w:r>
        <w:rPr>
          <w:rFonts w:hint="eastAsia" w:ascii="方正仿宋_GBK" w:eastAsia="方正仿宋_GBK"/>
          <w:sz w:val="32"/>
          <w:szCs w:val="32"/>
        </w:rPr>
        <w:t>8.5%，主要原因是人员</w:t>
      </w:r>
      <w:r>
        <w:rPr>
          <w:rFonts w:hint="eastAsia" w:ascii="方正仿宋_GBK" w:eastAsia="方正仿宋_GBK"/>
          <w:sz w:val="32"/>
          <w:szCs w:val="32"/>
          <w:lang w:val="en-US" w:eastAsia="zh-CN"/>
        </w:rPr>
        <w:t>减少</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）住房保障支出19.94万元，占4.</w:t>
      </w:r>
      <w:r>
        <w:rPr>
          <w:rFonts w:hint="eastAsia" w:ascii="方正仿宋_GBK" w:eastAsia="方正仿宋_GBK"/>
          <w:sz w:val="32"/>
          <w:szCs w:val="32"/>
          <w:lang w:val="en-US" w:eastAsia="zh-CN"/>
        </w:rPr>
        <w:t>8</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年度一般公共财政拨款基本支出407.52万元。其中：人员经费362.12万元</w:t>
      </w:r>
      <w:r>
        <w:rPr>
          <w:rFonts w:hint="eastAsia" w:ascii="方正仿宋_GBK" w:eastAsia="方正仿宋_GBK"/>
          <w:sz w:val="32"/>
          <w:szCs w:val="32"/>
          <w:lang w:eastAsia="zh-CN"/>
        </w:rPr>
        <w:t>，</w:t>
      </w:r>
      <w:r>
        <w:rPr>
          <w:rFonts w:hint="eastAsia" w:ascii="方正仿宋_GBK" w:eastAsia="方正仿宋_GBK"/>
          <w:sz w:val="32"/>
          <w:szCs w:val="32"/>
        </w:rPr>
        <w:t>公用经费45.4万元。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1.31</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634626"/>
    <w:rsid w:val="03FC01B0"/>
    <w:rsid w:val="0716509F"/>
    <w:rsid w:val="0867217A"/>
    <w:rsid w:val="09B64A77"/>
    <w:rsid w:val="0A081FD4"/>
    <w:rsid w:val="0B7254DA"/>
    <w:rsid w:val="0C71280F"/>
    <w:rsid w:val="0C80209C"/>
    <w:rsid w:val="0CFF3FC4"/>
    <w:rsid w:val="0DCC74F1"/>
    <w:rsid w:val="0ECF7B8F"/>
    <w:rsid w:val="10200980"/>
    <w:rsid w:val="10B16C32"/>
    <w:rsid w:val="14BA7FFD"/>
    <w:rsid w:val="14EA425F"/>
    <w:rsid w:val="16B73272"/>
    <w:rsid w:val="17F13D07"/>
    <w:rsid w:val="183523EA"/>
    <w:rsid w:val="184D13DD"/>
    <w:rsid w:val="190E24E6"/>
    <w:rsid w:val="1A7F62E5"/>
    <w:rsid w:val="1D29114D"/>
    <w:rsid w:val="1D7B2831"/>
    <w:rsid w:val="1DC94BBB"/>
    <w:rsid w:val="1F0828D0"/>
    <w:rsid w:val="21D27575"/>
    <w:rsid w:val="23B60C6B"/>
    <w:rsid w:val="245365B0"/>
    <w:rsid w:val="26A2487E"/>
    <w:rsid w:val="271C36F7"/>
    <w:rsid w:val="27834407"/>
    <w:rsid w:val="279942A9"/>
    <w:rsid w:val="282109AF"/>
    <w:rsid w:val="289229E4"/>
    <w:rsid w:val="2A91304F"/>
    <w:rsid w:val="2A9F5694"/>
    <w:rsid w:val="2ABB0155"/>
    <w:rsid w:val="2CA3315D"/>
    <w:rsid w:val="2DB55779"/>
    <w:rsid w:val="2EC102CF"/>
    <w:rsid w:val="3297742A"/>
    <w:rsid w:val="34941C6F"/>
    <w:rsid w:val="34D910F9"/>
    <w:rsid w:val="369938DF"/>
    <w:rsid w:val="37C4469D"/>
    <w:rsid w:val="396B3311"/>
    <w:rsid w:val="397242E9"/>
    <w:rsid w:val="39D23390"/>
    <w:rsid w:val="3A1529C3"/>
    <w:rsid w:val="3C25052A"/>
    <w:rsid w:val="3C2E2A67"/>
    <w:rsid w:val="3EC915F2"/>
    <w:rsid w:val="3F1D5060"/>
    <w:rsid w:val="4067113D"/>
    <w:rsid w:val="420B38E3"/>
    <w:rsid w:val="42BA7D55"/>
    <w:rsid w:val="43C27FD1"/>
    <w:rsid w:val="447B4232"/>
    <w:rsid w:val="463902F3"/>
    <w:rsid w:val="46A20569"/>
    <w:rsid w:val="47F54F4A"/>
    <w:rsid w:val="48197B4E"/>
    <w:rsid w:val="4AA20B5D"/>
    <w:rsid w:val="4AE1577A"/>
    <w:rsid w:val="4B295123"/>
    <w:rsid w:val="4B3043BA"/>
    <w:rsid w:val="4D7A4823"/>
    <w:rsid w:val="4EF15FBB"/>
    <w:rsid w:val="51816CCE"/>
    <w:rsid w:val="52754DA9"/>
    <w:rsid w:val="536B2E30"/>
    <w:rsid w:val="55E4084A"/>
    <w:rsid w:val="56C8194B"/>
    <w:rsid w:val="587C56D6"/>
    <w:rsid w:val="59EB3DB6"/>
    <w:rsid w:val="59F91E1B"/>
    <w:rsid w:val="5A706581"/>
    <w:rsid w:val="5B12588A"/>
    <w:rsid w:val="5BE54D4D"/>
    <w:rsid w:val="5C124246"/>
    <w:rsid w:val="5CD70CB9"/>
    <w:rsid w:val="600D6629"/>
    <w:rsid w:val="601D554D"/>
    <w:rsid w:val="64502F80"/>
    <w:rsid w:val="6643192A"/>
    <w:rsid w:val="668E696F"/>
    <w:rsid w:val="671C763C"/>
    <w:rsid w:val="689B6B29"/>
    <w:rsid w:val="68EA6F78"/>
    <w:rsid w:val="6AB9362D"/>
    <w:rsid w:val="6B13681D"/>
    <w:rsid w:val="6B9F48BB"/>
    <w:rsid w:val="6E155510"/>
    <w:rsid w:val="6E1E7E79"/>
    <w:rsid w:val="6E6C3E5F"/>
    <w:rsid w:val="70682C4F"/>
    <w:rsid w:val="70871AD7"/>
    <w:rsid w:val="71C50A45"/>
    <w:rsid w:val="72736DDD"/>
    <w:rsid w:val="75AF6742"/>
    <w:rsid w:val="761A419F"/>
    <w:rsid w:val="76A21419"/>
    <w:rsid w:val="78A85F47"/>
    <w:rsid w:val="78D02948"/>
    <w:rsid w:val="7BA67354"/>
    <w:rsid w:val="7BBB61AE"/>
    <w:rsid w:val="7BEC1388"/>
    <w:rsid w:val="7C1F22E2"/>
    <w:rsid w:val="7DC47C46"/>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01"/>
    <w:basedOn w:val="6"/>
    <w:qFormat/>
    <w:uiPriority w:val="0"/>
    <w:rPr>
      <w:rFonts w:hint="default" w:ascii="Times New Roman" w:hAnsi="Times New Roman" w:cs="Times New Roman"/>
      <w:color w:val="000000"/>
      <w:sz w:val="18"/>
      <w:szCs w:val="18"/>
      <w:u w:val="none"/>
    </w:rPr>
  </w:style>
  <w:style w:type="character" w:customStyle="1" w:styleId="11">
    <w:name w:val="font11"/>
    <w:basedOn w:val="6"/>
    <w:qFormat/>
    <w:uiPriority w:val="0"/>
    <w:rPr>
      <w:rFonts w:hint="eastAsia" w:ascii="宋体" w:hAnsi="宋体" w:eastAsia="宋体" w:cs="宋体"/>
      <w:color w:val="000000"/>
      <w:sz w:val="18"/>
      <w:szCs w:val="18"/>
      <w:u w:val="none"/>
    </w:rPr>
  </w:style>
  <w:style w:type="character" w:customStyle="1" w:styleId="12">
    <w:name w:val="font21"/>
    <w:basedOn w:val="6"/>
    <w:qFormat/>
    <w:uiPriority w:val="0"/>
    <w:rPr>
      <w:rFonts w:hint="eastAsia" w:ascii="宋体" w:hAnsi="宋体" w:eastAsia="宋体" w:cs="宋体"/>
      <w:color w:val="000000"/>
      <w:sz w:val="22"/>
      <w:szCs w:val="22"/>
      <w:u w:val="none"/>
    </w:rPr>
  </w:style>
  <w:style w:type="character" w:customStyle="1" w:styleId="13">
    <w:name w:val="font91"/>
    <w:basedOn w:val="6"/>
    <w:qFormat/>
    <w:uiPriority w:val="0"/>
    <w:rPr>
      <w:rFonts w:hint="eastAsia" w:ascii="宋体" w:hAnsi="宋体" w:eastAsia="宋体" w:cs="宋体"/>
      <w:color w:val="000000"/>
      <w:sz w:val="22"/>
      <w:szCs w:val="22"/>
      <w:u w:val="none"/>
    </w:rPr>
  </w:style>
  <w:style w:type="character" w:customStyle="1" w:styleId="14">
    <w:name w:val="font112"/>
    <w:basedOn w:val="6"/>
    <w:qFormat/>
    <w:uiPriority w:val="0"/>
    <w:rPr>
      <w:rFonts w:hint="eastAsia" w:ascii="宋体" w:hAnsi="宋体" w:eastAsia="宋体" w:cs="宋体"/>
      <w:color w:val="000000"/>
      <w:sz w:val="18"/>
      <w:szCs w:val="18"/>
      <w:u w:val="none"/>
    </w:rPr>
  </w:style>
  <w:style w:type="character" w:customStyle="1" w:styleId="15">
    <w:name w:val="font161"/>
    <w:basedOn w:val="6"/>
    <w:qFormat/>
    <w:uiPriority w:val="0"/>
    <w:rPr>
      <w:rFonts w:hint="eastAsia" w:ascii="宋体" w:hAnsi="宋体" w:eastAsia="宋体" w:cs="宋体"/>
      <w:color w:val="000000"/>
      <w:sz w:val="18"/>
      <w:szCs w:val="18"/>
      <w:u w:val="none"/>
    </w:rPr>
  </w:style>
  <w:style w:type="character" w:customStyle="1" w:styleId="16">
    <w:name w:val="font171"/>
    <w:basedOn w:val="6"/>
    <w:qFormat/>
    <w:uiPriority w:val="0"/>
    <w:rPr>
      <w:rFonts w:hint="default" w:ascii="Arial" w:hAnsi="Arial" w:cs="Arial"/>
      <w:color w:val="000000"/>
      <w:sz w:val="18"/>
      <w:szCs w:val="18"/>
      <w:u w:val="none"/>
    </w:rPr>
  </w:style>
  <w:style w:type="character" w:customStyle="1" w:styleId="17">
    <w:name w:val="font131"/>
    <w:basedOn w:val="6"/>
    <w:qFormat/>
    <w:uiPriority w:val="0"/>
    <w:rPr>
      <w:rFonts w:hint="eastAsia" w:ascii="宋体" w:hAnsi="宋体" w:eastAsia="宋体" w:cs="宋体"/>
      <w:color w:val="000000"/>
      <w:sz w:val="18"/>
      <w:szCs w:val="18"/>
      <w:u w:val="none"/>
    </w:rPr>
  </w:style>
  <w:style w:type="character" w:customStyle="1" w:styleId="18">
    <w:name w:val="font61"/>
    <w:basedOn w:val="6"/>
    <w:qFormat/>
    <w:uiPriority w:val="0"/>
    <w:rPr>
      <w:rFonts w:hint="default" w:ascii="Arial" w:hAnsi="Arial" w:cs="Arial"/>
      <w:color w:val="000000"/>
      <w:sz w:val="20"/>
      <w:szCs w:val="20"/>
      <w:u w:val="none"/>
    </w:rPr>
  </w:style>
  <w:style w:type="character" w:customStyle="1" w:styleId="19">
    <w:name w:val="font151"/>
    <w:basedOn w:val="6"/>
    <w:qFormat/>
    <w:uiPriority w:val="0"/>
    <w:rPr>
      <w:rFonts w:hint="eastAsia" w:ascii="宋体" w:hAnsi="宋体" w:eastAsia="宋体" w:cs="宋体"/>
      <w:color w:val="000000"/>
      <w:sz w:val="18"/>
      <w:szCs w:val="18"/>
      <w:u w:val="none"/>
    </w:rPr>
  </w:style>
  <w:style w:type="character" w:customStyle="1" w:styleId="20">
    <w:name w:val="font13"/>
    <w:basedOn w:val="6"/>
    <w:qFormat/>
    <w:uiPriority w:val="0"/>
    <w:rPr>
      <w:rFonts w:hint="eastAsia" w:ascii="宋体" w:hAnsi="宋体" w:eastAsia="宋体" w:cs="宋体"/>
      <w:color w:val="000000"/>
      <w:sz w:val="18"/>
      <w:szCs w:val="18"/>
      <w:u w:val="none"/>
    </w:rPr>
  </w:style>
  <w:style w:type="character" w:customStyle="1" w:styleId="21">
    <w:name w:val="font111"/>
    <w:basedOn w:val="6"/>
    <w:qFormat/>
    <w:uiPriority w:val="0"/>
    <w:rPr>
      <w:rFonts w:hint="eastAsia" w:ascii="宋体" w:hAnsi="宋体" w:eastAsia="宋体" w:cs="宋体"/>
      <w:color w:val="000000"/>
      <w:sz w:val="18"/>
      <w:szCs w:val="18"/>
      <w:u w:val="none"/>
    </w:rPr>
  </w:style>
  <w:style w:type="character" w:customStyle="1" w:styleId="22">
    <w:name w:val="font132"/>
    <w:basedOn w:val="6"/>
    <w:qFormat/>
    <w:uiPriority w:val="0"/>
    <w:rPr>
      <w:rFonts w:hint="eastAsia" w:ascii="宋体" w:hAnsi="宋体" w:eastAsia="宋体" w:cs="宋体"/>
      <w:color w:val="000000"/>
      <w:sz w:val="18"/>
      <w:szCs w:val="18"/>
      <w:u w:val="none"/>
    </w:rPr>
  </w:style>
  <w:style w:type="character" w:customStyle="1" w:styleId="23">
    <w:name w:val="font51"/>
    <w:basedOn w:val="6"/>
    <w:qFormat/>
    <w:uiPriority w:val="0"/>
    <w:rPr>
      <w:rFonts w:hint="eastAsia" w:ascii="方正仿宋_GBK" w:hAnsi="方正仿宋_GBK" w:eastAsia="方正仿宋_GBK" w:cs="方正仿宋_GBK"/>
      <w:color w:val="000000"/>
      <w:sz w:val="18"/>
      <w:szCs w:val="18"/>
      <w:u w:val="none"/>
    </w:rPr>
  </w:style>
  <w:style w:type="character" w:customStyle="1" w:styleId="24">
    <w:name w:val="font31"/>
    <w:basedOn w:val="6"/>
    <w:qFormat/>
    <w:uiPriority w:val="0"/>
    <w:rPr>
      <w:rFonts w:hint="eastAsia" w:ascii="宋体" w:hAnsi="宋体" w:eastAsia="宋体" w:cs="宋体"/>
      <w:color w:val="000000"/>
      <w:sz w:val="18"/>
      <w:szCs w:val="18"/>
      <w:u w:val="none"/>
    </w:rPr>
  </w:style>
  <w:style w:type="character" w:customStyle="1" w:styleId="25">
    <w:name w:val="font101"/>
    <w:basedOn w:val="6"/>
    <w:qFormat/>
    <w:uiPriority w:val="0"/>
    <w:rPr>
      <w:rFonts w:hint="eastAsia" w:ascii="宋体" w:hAnsi="宋体" w:eastAsia="宋体" w:cs="宋体"/>
      <w:color w:val="000000"/>
      <w:sz w:val="18"/>
      <w:szCs w:val="18"/>
      <w:u w:val="none"/>
    </w:rPr>
  </w:style>
  <w:style w:type="character" w:customStyle="1" w:styleId="26">
    <w:name w:val="font181"/>
    <w:basedOn w:val="6"/>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3206</Words>
  <Characters>3438</Characters>
  <Lines>45</Lines>
  <Paragraphs>12</Paragraphs>
  <TotalTime>4</TotalTime>
  <ScaleCrop>false</ScaleCrop>
  <LinksUpToDate>false</LinksUpToDate>
  <CharactersWithSpaces>3441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2023-12-01T02:05:54Z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