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_GBK" w:eastAsia="方正小标宋_GBK"/>
          <w:sz w:val="44"/>
          <w:szCs w:val="44"/>
        </w:rPr>
      </w:pPr>
      <w:r>
        <w:rPr>
          <w:rFonts w:hint="eastAsia" w:ascii="方正小标宋_GBK" w:eastAsia="方正小标宋_GBK"/>
          <w:sz w:val="44"/>
          <w:szCs w:val="44"/>
        </w:rPr>
        <w:t>云阳县龙角规划和自然资源所</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年度部门决算情况说明</w:t>
      </w:r>
    </w:p>
    <w:p>
      <w:pPr>
        <w:spacing w:line="720" w:lineRule="exact"/>
        <w:jc w:val="center"/>
        <w:rPr>
          <w:rFonts w:ascii="方正小标宋_GBK" w:eastAsia="方正小标宋_GBK"/>
          <w:sz w:val="44"/>
          <w:szCs w:val="44"/>
        </w:rPr>
      </w:pP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一、部门基本情况</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（一）职能职责</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为规划和自然资源管理工作提供服务。执行全民所有自然资源资产所有者职责；执行国土空间用途管制职责；执行保护耕地、林地、草原、湿地等自然资源，做好国土空间生态保护修复职责；协助建立国土空间规划体系并监督实施；执行国土空间规划管控；做好土地、矿产等自然资源的日常管理；做好地质灾害预防和治理工作；做好不动产登记和自然资源确权登记等基础业务工作；协助主管部门调解规划和自然资源、不动产登记、自然资源确权登记等方面的纠纷；进一步加强自然资源的保护和合理开发利用，实现整体保护、系统修复、综合治理。</w:t>
      </w:r>
    </w:p>
    <w:p>
      <w:pPr>
        <w:spacing w:line="578" w:lineRule="exact"/>
        <w:ind w:firstLine="640" w:firstLineChars="200"/>
        <w:rPr>
          <w:rFonts w:hint="eastAsia" w:ascii="方正楷体_GBK" w:eastAsia="方正楷体_GBK"/>
          <w:sz w:val="32"/>
          <w:szCs w:val="32"/>
        </w:rPr>
      </w:pPr>
      <w:r>
        <w:rPr>
          <w:rFonts w:hint="eastAsia" w:ascii="方正楷体_GBK" w:eastAsia="方正楷体_GBK"/>
          <w:sz w:val="32"/>
          <w:szCs w:val="32"/>
        </w:rPr>
        <w:t>（二）机构设置</w:t>
      </w:r>
      <w:bookmarkStart w:id="0" w:name="_GoBack"/>
      <w:bookmarkEnd w:id="0"/>
    </w:p>
    <w:p>
      <w:pPr>
        <w:spacing w:line="578" w:lineRule="exact"/>
        <w:ind w:firstLine="640" w:firstLineChars="200"/>
        <w:rPr>
          <w:rFonts w:hint="eastAsia" w:ascii="方正仿宋_GBK" w:eastAsia="方正仿宋_GBK"/>
          <w:sz w:val="32"/>
          <w:szCs w:val="32"/>
        </w:rPr>
      </w:pPr>
      <w:r>
        <w:rPr>
          <w:rFonts w:hint="default" w:ascii="方正仿宋_GBK" w:eastAsia="方正仿宋_GBK"/>
          <w:sz w:val="32"/>
          <w:szCs w:val="32"/>
        </w:rPr>
        <w:t>云阳县规划和自然资源局</w:t>
      </w:r>
      <w:r>
        <w:rPr>
          <w:rFonts w:hint="eastAsia" w:ascii="方正仿宋_GBK" w:eastAsia="方正仿宋_GBK"/>
          <w:sz w:val="32"/>
          <w:szCs w:val="32"/>
          <w:lang w:val="en-US" w:eastAsia="zh-CN"/>
        </w:rPr>
        <w:t>下属事业单位</w:t>
      </w:r>
      <w:r>
        <w:rPr>
          <w:rFonts w:hint="default" w:ascii="方正仿宋_GBK" w:eastAsia="方正仿宋_GBK"/>
          <w:sz w:val="32"/>
          <w:szCs w:val="32"/>
        </w:rPr>
        <w:t>。</w:t>
      </w:r>
    </w:p>
    <w:p>
      <w:pPr>
        <w:spacing w:line="578" w:lineRule="exact"/>
        <w:ind w:firstLine="640" w:firstLineChars="200"/>
        <w:rPr>
          <w:rFonts w:hint="default"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三</w:t>
      </w:r>
      <w:r>
        <w:rPr>
          <w:rFonts w:hint="eastAsia" w:ascii="方正楷体_GBK" w:eastAsia="方正楷体_GBK"/>
          <w:sz w:val="32"/>
          <w:szCs w:val="32"/>
          <w:lang w:eastAsia="zh-CN"/>
        </w:rPr>
        <w:t>）</w:t>
      </w:r>
      <w:r>
        <w:rPr>
          <w:rFonts w:hint="default" w:ascii="方正楷体_GBK" w:eastAsia="方正楷体_GBK"/>
          <w:sz w:val="32"/>
          <w:szCs w:val="32"/>
        </w:rPr>
        <w:t>单位构成</w:t>
      </w:r>
    </w:p>
    <w:p>
      <w:pPr>
        <w:spacing w:line="578" w:lineRule="exact"/>
        <w:ind w:firstLine="640" w:firstLineChars="200"/>
        <w:rPr>
          <w:rFonts w:hint="eastAsia" w:ascii="方正黑体_GBK" w:eastAsia="方正黑体_GBK"/>
          <w:sz w:val="32"/>
          <w:szCs w:val="32"/>
        </w:rPr>
      </w:pPr>
      <w:r>
        <w:rPr>
          <w:rFonts w:hint="eastAsia" w:ascii="方正仿宋_GBK" w:eastAsia="方正仿宋_GBK"/>
          <w:sz w:val="32"/>
          <w:szCs w:val="32"/>
        </w:rPr>
        <w:t>从预算单位构成看，纳入本部门2022年度决算编制的二级预算单位主要包括云阳县龙角规划和自然资源所</w:t>
      </w:r>
      <w:r>
        <w:rPr>
          <w:rFonts w:hint="eastAsia" w:ascii="方正仿宋_GBK" w:eastAsia="方正仿宋_GBK"/>
          <w:sz w:val="32"/>
          <w:szCs w:val="32"/>
          <w:lang w:eastAsia="zh-CN"/>
        </w:rPr>
        <w:t>。</w:t>
      </w:r>
    </w:p>
    <w:p>
      <w:pPr>
        <w:numPr>
          <w:ilvl w:val="0"/>
          <w:numId w:val="0"/>
        </w:num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二、部门决算情况说明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1.总体情况。202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年度收入总计</w:t>
      </w:r>
      <w:r>
        <w:rPr>
          <w:rFonts w:hint="eastAsia" w:ascii="方正仿宋_GBK" w:eastAsia="方正仿宋_GBK"/>
          <w:sz w:val="32"/>
          <w:szCs w:val="32"/>
          <w:lang w:val="en-US" w:eastAsia="zh-CN"/>
        </w:rPr>
        <w:t>149.71</w:t>
      </w:r>
      <w:r>
        <w:rPr>
          <w:rFonts w:hint="eastAsia" w:ascii="方正仿宋_GBK" w:eastAsia="方正仿宋_GBK"/>
          <w:sz w:val="32"/>
          <w:szCs w:val="32"/>
        </w:rPr>
        <w:t>万元，支出总计</w:t>
      </w:r>
      <w:r>
        <w:rPr>
          <w:rFonts w:hint="eastAsia" w:ascii="方正仿宋_GBK" w:eastAsia="方正仿宋_GBK"/>
          <w:sz w:val="32"/>
          <w:szCs w:val="32"/>
          <w:lang w:val="en-US" w:eastAsia="zh-CN"/>
        </w:rPr>
        <w:t>149.71</w:t>
      </w:r>
      <w:r>
        <w:rPr>
          <w:rFonts w:hint="eastAsia" w:ascii="方正仿宋_GBK" w:eastAsia="方正仿宋_GBK"/>
          <w:sz w:val="32"/>
          <w:szCs w:val="32"/>
        </w:rPr>
        <w:t>万元。</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年度收入合计</w:t>
      </w:r>
      <w:r>
        <w:rPr>
          <w:rFonts w:hint="eastAsia" w:ascii="方正仿宋_GBK" w:eastAsia="方正仿宋_GBK"/>
          <w:sz w:val="32"/>
          <w:szCs w:val="32"/>
          <w:lang w:val="en-US" w:eastAsia="zh-CN"/>
        </w:rPr>
        <w:t>149.71</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其中：财政拨款收入</w:t>
      </w:r>
      <w:r>
        <w:rPr>
          <w:rFonts w:hint="eastAsia" w:ascii="方正仿宋_GBK" w:eastAsia="方正仿宋_GBK"/>
          <w:sz w:val="32"/>
          <w:szCs w:val="32"/>
          <w:lang w:val="en-US" w:eastAsia="zh-CN"/>
        </w:rPr>
        <w:t>149.71</w:t>
      </w:r>
      <w:r>
        <w:rPr>
          <w:rFonts w:hint="eastAsia" w:ascii="方正仿宋_GBK" w:eastAsia="方正仿宋_GBK"/>
          <w:sz w:val="32"/>
          <w:szCs w:val="32"/>
        </w:rPr>
        <w:t>万元，占100%。</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3.支出情况。202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年度支出合计</w:t>
      </w:r>
      <w:r>
        <w:rPr>
          <w:rFonts w:hint="eastAsia" w:ascii="方正仿宋_GBK" w:eastAsia="方正仿宋_GBK"/>
          <w:sz w:val="32"/>
          <w:szCs w:val="32"/>
          <w:lang w:val="en-US" w:eastAsia="zh-CN"/>
        </w:rPr>
        <w:t>149.71</w:t>
      </w:r>
      <w:r>
        <w:rPr>
          <w:rFonts w:hint="eastAsia" w:ascii="方正仿宋_GBK" w:eastAsia="方正仿宋_GBK"/>
          <w:sz w:val="32"/>
          <w:szCs w:val="32"/>
        </w:rPr>
        <w:t>万元。其中：基本支出</w:t>
      </w:r>
      <w:r>
        <w:rPr>
          <w:rFonts w:hint="eastAsia" w:ascii="方正仿宋_GBK" w:eastAsia="方正仿宋_GBK"/>
          <w:sz w:val="32"/>
          <w:szCs w:val="32"/>
          <w:lang w:val="en-US" w:eastAsia="zh-CN"/>
        </w:rPr>
        <w:t>149.71</w:t>
      </w:r>
      <w:r>
        <w:rPr>
          <w:rFonts w:hint="eastAsia" w:ascii="方正仿宋_GBK" w:eastAsia="方正仿宋_GBK"/>
          <w:sz w:val="32"/>
          <w:szCs w:val="32"/>
        </w:rPr>
        <w:t>万元，占</w:t>
      </w:r>
      <w:r>
        <w:rPr>
          <w:rFonts w:hint="eastAsia" w:ascii="方正仿宋_GBK" w:eastAsia="方正仿宋_GBK"/>
          <w:sz w:val="32"/>
          <w:szCs w:val="32"/>
          <w:lang w:val="en-US" w:eastAsia="zh-CN"/>
        </w:rPr>
        <w:t>100</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4.结转结余情况。202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（二）财政拨款收入支出决算总体情况说明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年度财政拨款收</w:t>
      </w:r>
      <w:r>
        <w:rPr>
          <w:rFonts w:hint="eastAsia" w:ascii="方正仿宋_GBK" w:eastAsia="方正仿宋_GBK"/>
          <w:sz w:val="32"/>
          <w:szCs w:val="32"/>
          <w:lang w:eastAsia="zh-CN"/>
        </w:rPr>
        <w:t>、</w:t>
      </w:r>
      <w:r>
        <w:rPr>
          <w:rFonts w:hint="eastAsia" w:ascii="方正仿宋_GBK" w:eastAsia="方正仿宋_GBK"/>
          <w:sz w:val="32"/>
          <w:szCs w:val="32"/>
        </w:rPr>
        <w:t>支总计</w:t>
      </w:r>
      <w:r>
        <w:rPr>
          <w:rFonts w:hint="eastAsia" w:ascii="方正仿宋_GBK" w:eastAsia="方正仿宋_GBK"/>
          <w:sz w:val="32"/>
          <w:szCs w:val="32"/>
          <w:lang w:val="en-US" w:eastAsia="zh-CN"/>
        </w:rPr>
        <w:t>149.71</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（三）一般公共预算财政拨款支出决算情况说明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年度一般公共预算财政拨款收入</w:t>
      </w:r>
      <w:r>
        <w:rPr>
          <w:rFonts w:hint="eastAsia" w:ascii="方正仿宋_GBK" w:eastAsia="方正仿宋_GBK"/>
          <w:sz w:val="32"/>
          <w:szCs w:val="32"/>
          <w:lang w:val="en-US" w:eastAsia="zh-CN"/>
        </w:rPr>
        <w:t>149.71</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年度一般公共预算财政拨款支出</w:t>
      </w:r>
      <w:r>
        <w:rPr>
          <w:rFonts w:hint="eastAsia" w:ascii="方正仿宋_GBK" w:eastAsia="方正仿宋_GBK"/>
          <w:sz w:val="32"/>
          <w:szCs w:val="32"/>
          <w:lang w:val="en-US" w:eastAsia="zh-CN"/>
        </w:rPr>
        <w:t>149.71</w:t>
      </w:r>
      <w:r>
        <w:rPr>
          <w:rFonts w:hint="eastAsia" w:ascii="方正仿宋_GBK" w:eastAsia="方正仿宋_GBK"/>
          <w:sz w:val="32"/>
          <w:szCs w:val="32"/>
        </w:rPr>
        <w:t>万元。较年初预算数</w:t>
      </w:r>
      <w:r>
        <w:rPr>
          <w:rFonts w:hint="eastAsia" w:ascii="方正仿宋_GBK" w:eastAsia="方正仿宋_GBK"/>
          <w:sz w:val="32"/>
          <w:szCs w:val="32"/>
          <w:lang w:val="en-US" w:eastAsia="zh-CN"/>
        </w:rPr>
        <w:t>减少4.75</w:t>
      </w:r>
      <w:r>
        <w:rPr>
          <w:rFonts w:hint="eastAsia" w:ascii="方正仿宋_GBK" w:eastAsia="方正仿宋_GBK"/>
          <w:sz w:val="32"/>
          <w:szCs w:val="32"/>
        </w:rPr>
        <w:t>万元，</w:t>
      </w:r>
      <w:r>
        <w:rPr>
          <w:rFonts w:hint="eastAsia" w:ascii="方正仿宋_GBK" w:eastAsia="方正仿宋_GBK"/>
          <w:sz w:val="32"/>
          <w:szCs w:val="32"/>
          <w:lang w:val="en-US" w:eastAsia="zh-CN"/>
        </w:rPr>
        <w:t>减少3.08</w:t>
      </w:r>
      <w:r>
        <w:rPr>
          <w:rFonts w:hint="eastAsia" w:ascii="方正仿宋_GBK" w:eastAsia="方正仿宋_GBK"/>
          <w:sz w:val="32"/>
          <w:szCs w:val="32"/>
        </w:rPr>
        <w:t>%。</w:t>
      </w:r>
      <w:r>
        <w:rPr>
          <w:rFonts w:hint="eastAsia" w:ascii="方正仿宋_GBK" w:eastAsia="方正仿宋_GBK"/>
          <w:sz w:val="32"/>
          <w:szCs w:val="32"/>
          <w:lang w:val="en-US" w:eastAsia="zh-CN"/>
        </w:rPr>
        <w:t>主要原因是</w:t>
      </w:r>
      <w:r>
        <w:rPr>
          <w:rFonts w:hint="eastAsia" w:ascii="方正仿宋_GBK" w:eastAsia="方正仿宋_GBK"/>
          <w:sz w:val="32"/>
          <w:szCs w:val="32"/>
        </w:rPr>
        <w:t>人员</w:t>
      </w:r>
      <w:r>
        <w:rPr>
          <w:rFonts w:hint="eastAsia" w:ascii="方正仿宋_GBK" w:eastAsia="方正仿宋_GBK"/>
          <w:sz w:val="32"/>
          <w:szCs w:val="32"/>
          <w:lang w:val="en-US" w:eastAsia="zh-CN"/>
        </w:rPr>
        <w:t>减少</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3.结转结余情况。202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年度年末一般公共预算财政拨款结转和结余0.00万元，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4.比较情况。本部门202</w:t>
      </w:r>
      <w:r>
        <w:rPr>
          <w:rFonts w:hint="eastAsia" w:ascii="方正仿宋_GBK" w:eastAsia="方正仿宋_GBK"/>
          <w:sz w:val="32"/>
          <w:szCs w:val="32"/>
          <w:lang w:val="en-US" w:eastAsia="zh-CN"/>
        </w:rPr>
        <w:t>2</w:t>
      </w:r>
      <w:r>
        <w:rPr>
          <w:rFonts w:hint="eastAsia" w:ascii="方正仿宋_GBK" w:eastAsia="方正仿宋_GBK"/>
          <w:sz w:val="32"/>
          <w:szCs w:val="32"/>
        </w:rPr>
        <w:t xml:space="preserve">年度一般公共预算财政拨款支出主要用于以下几个方面： </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）社会保障与就业支出</w:t>
      </w:r>
      <w:r>
        <w:rPr>
          <w:rFonts w:hint="eastAsia" w:ascii="方正仿宋_GBK" w:eastAsia="方正仿宋_GBK"/>
          <w:sz w:val="32"/>
          <w:szCs w:val="32"/>
          <w:lang w:val="en-US" w:eastAsia="zh-CN"/>
        </w:rPr>
        <w:t>14.68</w:t>
      </w:r>
      <w:r>
        <w:rPr>
          <w:rFonts w:hint="eastAsia" w:ascii="方正仿宋_GBK" w:eastAsia="方正仿宋_GBK"/>
          <w:sz w:val="32"/>
          <w:szCs w:val="32"/>
        </w:rPr>
        <w:t>万元，占</w:t>
      </w:r>
      <w:r>
        <w:rPr>
          <w:rFonts w:hint="eastAsia" w:ascii="方正仿宋_GBK" w:eastAsia="方正仿宋_GBK"/>
          <w:sz w:val="32"/>
          <w:szCs w:val="32"/>
          <w:lang w:val="en-US" w:eastAsia="zh-CN"/>
        </w:rPr>
        <w:t>9.81</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0.25</w:t>
      </w:r>
      <w:r>
        <w:rPr>
          <w:rFonts w:hint="eastAsia" w:ascii="方正仿宋_GBK" w:eastAsia="方正仿宋_GBK"/>
          <w:sz w:val="32"/>
          <w:szCs w:val="32"/>
        </w:rPr>
        <w:t>万元，增长</w:t>
      </w:r>
      <w:r>
        <w:rPr>
          <w:rFonts w:hint="eastAsia" w:ascii="方正仿宋_GBK" w:eastAsia="方正仿宋_GBK"/>
          <w:sz w:val="32"/>
          <w:szCs w:val="32"/>
          <w:lang w:val="en-US" w:eastAsia="zh-CN"/>
        </w:rPr>
        <w:t>15.97</w:t>
      </w:r>
      <w:r>
        <w:rPr>
          <w:rFonts w:hint="eastAsia" w:ascii="方正仿宋_GBK" w:eastAsia="方正仿宋_GBK"/>
          <w:sz w:val="32"/>
          <w:szCs w:val="32"/>
        </w:rPr>
        <w:t>%，主要原因是人员</w:t>
      </w:r>
      <w:r>
        <w:rPr>
          <w:rFonts w:hint="eastAsia" w:ascii="方正仿宋_GBK" w:eastAsia="方正仿宋_GBK"/>
          <w:sz w:val="32"/>
          <w:szCs w:val="32"/>
          <w:lang w:val="en-US" w:eastAsia="zh-CN"/>
        </w:rPr>
        <w:t>增资</w:t>
      </w:r>
      <w:r>
        <w:rPr>
          <w:rFonts w:hint="eastAsia" w:ascii="方正仿宋_GBK" w:eastAsia="方正仿宋_GBK"/>
          <w:sz w:val="32"/>
          <w:szCs w:val="32"/>
        </w:rPr>
        <w:t>后养老保险和职业年金缴费增加。</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2</w:t>
      </w:r>
      <w:r>
        <w:rPr>
          <w:rFonts w:hint="eastAsia" w:ascii="方正仿宋_GBK" w:eastAsia="方正仿宋_GBK"/>
          <w:sz w:val="32"/>
          <w:szCs w:val="32"/>
        </w:rPr>
        <w:t>）卫生健康支出</w:t>
      </w:r>
      <w:r>
        <w:rPr>
          <w:rFonts w:hint="eastAsia" w:ascii="方正仿宋_GBK" w:eastAsia="方正仿宋_GBK"/>
          <w:sz w:val="32"/>
          <w:szCs w:val="32"/>
          <w:lang w:val="en-US" w:eastAsia="zh-CN"/>
        </w:rPr>
        <w:t>7.4</w:t>
      </w:r>
      <w:r>
        <w:rPr>
          <w:rFonts w:hint="eastAsia" w:ascii="方正仿宋_GBK" w:eastAsia="方正仿宋_GBK"/>
          <w:sz w:val="32"/>
          <w:szCs w:val="32"/>
        </w:rPr>
        <w:t>万元，占</w:t>
      </w:r>
      <w:r>
        <w:rPr>
          <w:rFonts w:hint="eastAsia" w:ascii="方正仿宋_GBK" w:eastAsia="方正仿宋_GBK"/>
          <w:sz w:val="32"/>
          <w:szCs w:val="32"/>
          <w:lang w:val="en-US" w:eastAsia="zh-CN"/>
        </w:rPr>
        <w:t>4.94</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增加0.11</w:t>
      </w:r>
      <w:r>
        <w:rPr>
          <w:rFonts w:hint="eastAsia" w:ascii="方正仿宋_GBK" w:eastAsia="方正仿宋_GBK"/>
          <w:sz w:val="32"/>
          <w:szCs w:val="32"/>
        </w:rPr>
        <w:t>万元，</w:t>
      </w:r>
      <w:r>
        <w:rPr>
          <w:rFonts w:hint="eastAsia" w:ascii="方正仿宋_GBK" w:eastAsia="方正仿宋_GBK"/>
          <w:sz w:val="32"/>
          <w:szCs w:val="32"/>
          <w:lang w:val="en-US" w:eastAsia="zh-CN"/>
        </w:rPr>
        <w:t>增加1.51</w:t>
      </w:r>
      <w:r>
        <w:rPr>
          <w:rFonts w:hint="eastAsia" w:ascii="方正仿宋_GBK" w:eastAsia="方正仿宋_GBK"/>
          <w:sz w:val="32"/>
          <w:szCs w:val="32"/>
        </w:rPr>
        <w:t>%，主要原因是是人员</w:t>
      </w:r>
      <w:r>
        <w:rPr>
          <w:rFonts w:hint="eastAsia" w:ascii="方正仿宋_GBK" w:eastAsia="方正仿宋_GBK"/>
          <w:sz w:val="32"/>
          <w:szCs w:val="32"/>
          <w:lang w:val="en-US" w:eastAsia="zh-CN"/>
        </w:rPr>
        <w:t>增资</w:t>
      </w:r>
      <w:r>
        <w:rPr>
          <w:rFonts w:hint="eastAsia" w:ascii="方正仿宋_GBK" w:eastAsia="方正仿宋_GBK"/>
          <w:sz w:val="32"/>
          <w:szCs w:val="32"/>
        </w:rPr>
        <w:t>导致卫生健康支出</w:t>
      </w:r>
      <w:r>
        <w:rPr>
          <w:rFonts w:hint="eastAsia" w:ascii="方正仿宋_GBK" w:eastAsia="方正仿宋_GBK"/>
          <w:sz w:val="32"/>
          <w:szCs w:val="32"/>
          <w:lang w:val="en-US" w:eastAsia="zh-CN"/>
        </w:rPr>
        <w:t>增加</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）自然资源海洋气象等支出</w:t>
      </w:r>
      <w:r>
        <w:rPr>
          <w:rFonts w:hint="eastAsia" w:ascii="方正仿宋_GBK" w:eastAsia="方正仿宋_GBK"/>
          <w:sz w:val="32"/>
          <w:szCs w:val="32"/>
          <w:lang w:val="en-US" w:eastAsia="zh-CN"/>
        </w:rPr>
        <w:t>120.4</w:t>
      </w:r>
      <w:r>
        <w:rPr>
          <w:rFonts w:hint="eastAsia" w:ascii="方正仿宋_GBK" w:eastAsia="方正仿宋_GBK"/>
          <w:sz w:val="32"/>
          <w:szCs w:val="32"/>
        </w:rPr>
        <w:t>万元，占</w:t>
      </w:r>
      <w:r>
        <w:rPr>
          <w:rFonts w:hint="eastAsia" w:ascii="方正仿宋_GBK" w:eastAsia="方正仿宋_GBK"/>
          <w:sz w:val="32"/>
          <w:szCs w:val="32"/>
          <w:lang w:val="en-US" w:eastAsia="zh-CN"/>
        </w:rPr>
        <w:t>80.42</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减少5.12</w:t>
      </w:r>
      <w:r>
        <w:rPr>
          <w:rFonts w:hint="eastAsia" w:ascii="方正仿宋_GBK" w:eastAsia="方正仿宋_GBK"/>
          <w:sz w:val="32"/>
          <w:szCs w:val="32"/>
        </w:rPr>
        <w:t>万元，</w:t>
      </w:r>
      <w:r>
        <w:rPr>
          <w:rFonts w:hint="eastAsia" w:ascii="方正仿宋_GBK" w:eastAsia="方正仿宋_GBK"/>
          <w:sz w:val="32"/>
          <w:szCs w:val="32"/>
          <w:lang w:val="en-US" w:eastAsia="zh-CN"/>
        </w:rPr>
        <w:t>减少4.08</w:t>
      </w:r>
      <w:r>
        <w:rPr>
          <w:rFonts w:hint="eastAsia" w:ascii="方正仿宋_GBK" w:eastAsia="方正仿宋_GBK"/>
          <w:sz w:val="32"/>
          <w:szCs w:val="32"/>
        </w:rPr>
        <w:t>%，主要原因是人员</w:t>
      </w:r>
      <w:r>
        <w:rPr>
          <w:rFonts w:hint="eastAsia" w:ascii="方正仿宋_GBK" w:eastAsia="方正仿宋_GBK"/>
          <w:sz w:val="32"/>
          <w:szCs w:val="32"/>
          <w:lang w:val="en-US" w:eastAsia="zh-CN"/>
        </w:rPr>
        <w:t>减少</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）住房保障支出</w:t>
      </w:r>
      <w:r>
        <w:rPr>
          <w:rFonts w:hint="eastAsia" w:ascii="方正仿宋_GBK" w:eastAsia="方正仿宋_GBK"/>
          <w:sz w:val="32"/>
          <w:szCs w:val="32"/>
          <w:lang w:val="en-US" w:eastAsia="zh-CN"/>
        </w:rPr>
        <w:t>7.23</w:t>
      </w:r>
      <w:r>
        <w:rPr>
          <w:rFonts w:hint="eastAsia" w:ascii="方正仿宋_GBK" w:eastAsia="方正仿宋_GBK"/>
          <w:sz w:val="32"/>
          <w:szCs w:val="32"/>
        </w:rPr>
        <w:t>万元，占</w:t>
      </w:r>
      <w:r>
        <w:rPr>
          <w:rFonts w:hint="eastAsia" w:ascii="方正仿宋_GBK" w:eastAsia="方正仿宋_GBK"/>
          <w:sz w:val="32"/>
          <w:szCs w:val="32"/>
          <w:lang w:val="en-US" w:eastAsia="zh-CN"/>
        </w:rPr>
        <w:t>4.83</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0.01</w:t>
      </w:r>
      <w:r>
        <w:rPr>
          <w:rFonts w:hint="eastAsia" w:ascii="方正仿宋_GBK" w:eastAsia="方正仿宋_GBK"/>
          <w:sz w:val="32"/>
          <w:szCs w:val="32"/>
        </w:rPr>
        <w:t>万元，增长</w:t>
      </w:r>
      <w:r>
        <w:rPr>
          <w:rFonts w:hint="eastAsia" w:ascii="方正仿宋_GBK" w:eastAsia="方正仿宋_GBK"/>
          <w:sz w:val="32"/>
          <w:szCs w:val="32"/>
          <w:lang w:val="en-US" w:eastAsia="zh-CN"/>
        </w:rPr>
        <w:t>0.14</w:t>
      </w:r>
      <w:r>
        <w:rPr>
          <w:rFonts w:hint="eastAsia" w:ascii="方正仿宋_GBK" w:eastAsia="方正仿宋_GBK"/>
          <w:sz w:val="32"/>
          <w:szCs w:val="32"/>
        </w:rPr>
        <w:t>%，主要原因是</w:t>
      </w:r>
      <w:r>
        <w:rPr>
          <w:rFonts w:hint="eastAsia" w:ascii="方正仿宋_GBK" w:eastAsia="方正仿宋_GBK"/>
          <w:sz w:val="32"/>
          <w:szCs w:val="32"/>
          <w:lang w:val="en-US" w:eastAsia="zh-CN"/>
        </w:rPr>
        <w:t>人员增资</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（四）一般公共预算财政拨款基本支出决算情况说明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年度一般公共财政拨款基本支出</w:t>
      </w:r>
      <w:r>
        <w:rPr>
          <w:rFonts w:hint="eastAsia" w:ascii="方正仿宋_GBK" w:eastAsia="方正仿宋_GBK"/>
          <w:sz w:val="32"/>
          <w:szCs w:val="32"/>
          <w:lang w:val="en-US" w:eastAsia="zh-CN"/>
        </w:rPr>
        <w:t>149.71</w:t>
      </w:r>
      <w:r>
        <w:rPr>
          <w:rFonts w:hint="eastAsia" w:ascii="方正仿宋_GBK" w:eastAsia="方正仿宋_GBK"/>
          <w:sz w:val="32"/>
          <w:szCs w:val="32"/>
        </w:rPr>
        <w:t>万元。其中：人员经费</w:t>
      </w:r>
      <w:r>
        <w:rPr>
          <w:rFonts w:hint="eastAsia" w:ascii="方正仿宋_GBK" w:eastAsia="方正仿宋_GBK"/>
          <w:sz w:val="32"/>
          <w:szCs w:val="32"/>
          <w:lang w:val="en-US" w:eastAsia="zh-CN"/>
        </w:rPr>
        <w:t>132.39</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公用经费</w:t>
      </w:r>
      <w:r>
        <w:rPr>
          <w:rFonts w:hint="eastAsia" w:ascii="方正仿宋_GBK" w:eastAsia="方正仿宋_GBK"/>
          <w:sz w:val="32"/>
          <w:szCs w:val="32"/>
          <w:lang w:val="en-US" w:eastAsia="zh-CN"/>
        </w:rPr>
        <w:t>17.32</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（五）政府性基金预算收支决算情况说明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年度政府性基金预算财政拨款本年收入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（六）国有资本经营预算财政拨款支出决算情况说明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本部门202</w:t>
      </w:r>
      <w:r>
        <w:rPr>
          <w:rFonts w:hint="eastAsia" w:ascii="方正仿宋_GBK" w:eastAsia="方正仿宋_GBK"/>
          <w:sz w:val="32"/>
          <w:szCs w:val="32"/>
          <w:lang w:val="en-US" w:eastAsia="zh-CN"/>
        </w:rPr>
        <w:t>2</w:t>
      </w:r>
      <w:r>
        <w:rPr>
          <w:rFonts w:hint="eastAsia" w:ascii="方正仿宋_GBK" w:eastAsia="方正仿宋_GBK"/>
          <w:sz w:val="32"/>
          <w:szCs w:val="32"/>
        </w:rPr>
        <w:t>年度无国有资本经营预算财政拨款支出。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三、“三公”经费情况说明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（一）“三公”经费支出总体情况说明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年度“三公”经费支出共计</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（二）“三公”经费分项支出情况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年度本部门因公出国（境）费用0万元，本单位202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年度未发生因公出国（境）支出。费用支出较年初预算数增加0万元，增长0.0%，与上年持平。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公务车购置费0万元，本单位202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年度未发生公务车购置费。费用支出较年初预算数增加0万元，增长0.0%，与上年持平。较上年支出数增加0万元，增长0.0%，与上年持平。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公务接待费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（三）“三公”经费实物量情况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年度本部门因公出国（境）共计0个团组，0人；公务用车购置0辆，公务车保有量为</w:t>
      </w:r>
      <w:r>
        <w:rPr>
          <w:rFonts w:hint="eastAsia" w:ascii="方正仿宋_GBK" w:eastAsia="方正仿宋_GBK"/>
          <w:sz w:val="32"/>
          <w:szCs w:val="32"/>
          <w:lang w:val="en-US" w:eastAsia="zh-CN"/>
        </w:rPr>
        <w:t>0</w:t>
      </w:r>
      <w:r>
        <w:rPr>
          <w:rFonts w:hint="eastAsia" w:ascii="方正仿宋_GBK" w:eastAsia="方正仿宋_GBK"/>
          <w:sz w:val="32"/>
          <w:szCs w:val="32"/>
        </w:rPr>
        <w:t>辆；国内公务接待</w:t>
      </w:r>
      <w:r>
        <w:rPr>
          <w:rFonts w:hint="eastAsia" w:ascii="方正仿宋_GBK" w:eastAsia="方正仿宋_GBK"/>
          <w:sz w:val="32"/>
          <w:szCs w:val="32"/>
          <w:lang w:val="en-US" w:eastAsia="zh-CN"/>
        </w:rPr>
        <w:t>0</w:t>
      </w:r>
      <w:r>
        <w:rPr>
          <w:rFonts w:hint="eastAsia" w:ascii="方正仿宋_GBK" w:eastAsia="方正仿宋_GBK"/>
          <w:sz w:val="32"/>
          <w:szCs w:val="32"/>
        </w:rPr>
        <w:t>批次</w:t>
      </w:r>
      <w:r>
        <w:rPr>
          <w:rFonts w:hint="eastAsia" w:ascii="方正仿宋_GBK" w:eastAsia="方正仿宋_GBK"/>
          <w:sz w:val="32"/>
          <w:szCs w:val="32"/>
          <w:lang w:val="en-US" w:eastAsia="zh-CN"/>
        </w:rPr>
        <w:t>0</w:t>
      </w:r>
      <w:r>
        <w:rPr>
          <w:rFonts w:hint="eastAsia" w:ascii="方正仿宋_GBK" w:eastAsia="方正仿宋_GBK"/>
          <w:sz w:val="32"/>
          <w:szCs w:val="32"/>
        </w:rPr>
        <w:t>人，其中：国内外事接待0批次，0人；国（境）外公务接待0批次，0人。2</w:t>
      </w:r>
      <w:r>
        <w:rPr>
          <w:rFonts w:hint="eastAsia" w:ascii="方正仿宋_GBK" w:eastAsia="方正仿宋_GBK"/>
          <w:sz w:val="32"/>
          <w:szCs w:val="32"/>
          <w:lang w:val="en-US" w:eastAsia="zh-CN"/>
        </w:rPr>
        <w:t>2</w:t>
      </w:r>
      <w:r>
        <w:rPr>
          <w:rFonts w:hint="eastAsia" w:ascii="方正仿宋_GBK" w:eastAsia="方正仿宋_GBK"/>
          <w:sz w:val="32"/>
          <w:szCs w:val="32"/>
        </w:rPr>
        <w:t>年本部门人均接待费</w:t>
      </w:r>
      <w:r>
        <w:rPr>
          <w:rFonts w:hint="eastAsia" w:ascii="方正仿宋_GBK" w:eastAsia="方正仿宋_GBK"/>
          <w:sz w:val="32"/>
          <w:szCs w:val="32"/>
          <w:lang w:val="en-US" w:eastAsia="zh-CN"/>
        </w:rPr>
        <w:t>0</w:t>
      </w:r>
      <w:r>
        <w:rPr>
          <w:rFonts w:hint="eastAsia" w:ascii="方正仿宋_GBK" w:eastAsia="方正仿宋_GBK"/>
          <w:sz w:val="32"/>
          <w:szCs w:val="32"/>
        </w:rPr>
        <w:t>元，车均购置费</w:t>
      </w:r>
      <w:r>
        <w:rPr>
          <w:rFonts w:hint="eastAsia" w:ascii="方正仿宋_GBK" w:eastAsia="方正仿宋_GBK"/>
          <w:sz w:val="32"/>
          <w:szCs w:val="32"/>
          <w:lang w:val="en-US" w:eastAsia="zh-CN"/>
        </w:rPr>
        <w:t>0</w:t>
      </w:r>
      <w:r>
        <w:rPr>
          <w:rFonts w:hint="eastAsia" w:ascii="方正仿宋_GBK" w:eastAsia="方正仿宋_GBK"/>
          <w:sz w:val="32"/>
          <w:szCs w:val="32"/>
        </w:rPr>
        <w:t>万元，车均维护费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（一）机关运行经费情况说明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w:t>
      </w:r>
      <w:r>
        <w:rPr>
          <w:rFonts w:hint="eastAsia" w:ascii="方正仿宋_GBK" w:eastAsia="方正仿宋_GBK"/>
          <w:sz w:val="32"/>
          <w:szCs w:val="32"/>
          <w:lang w:val="en-US" w:eastAsia="zh-CN"/>
        </w:rPr>
        <w:t>0</w:t>
      </w:r>
      <w:r>
        <w:rPr>
          <w:rFonts w:hint="eastAsia" w:ascii="方正仿宋_GBK" w:eastAsia="方正仿宋_GBK"/>
          <w:sz w:val="32"/>
          <w:szCs w:val="32"/>
        </w:rPr>
        <w:t>万元。本年度培训费支出</w:t>
      </w:r>
      <w:r>
        <w:rPr>
          <w:rFonts w:hint="eastAsia" w:ascii="方正仿宋_GBK" w:eastAsia="方正仿宋_GBK"/>
          <w:sz w:val="32"/>
          <w:szCs w:val="32"/>
          <w:lang w:val="en-US" w:eastAsia="zh-CN"/>
        </w:rPr>
        <w:t>0.05</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（二）国有资产占用情况说明</w:t>
      </w:r>
    </w:p>
    <w:p>
      <w:pPr>
        <w:spacing w:line="578" w:lineRule="exact"/>
        <w:ind w:firstLine="640" w:firstLineChars="200"/>
        <w:rPr>
          <w:rFonts w:ascii="方正仿宋_GBK" w:eastAsia="方正仿宋_GBK"/>
          <w:sz w:val="32"/>
          <w:szCs w:val="32"/>
        </w:rPr>
      </w:pPr>
      <w:r>
        <w:rPr>
          <w:rFonts w:ascii="方正仿宋_GBK" w:eastAsia="方正仿宋_GBK"/>
          <w:sz w:val="32"/>
          <w:szCs w:val="32"/>
        </w:rPr>
        <w:t>截至202</w:t>
      </w:r>
      <w:r>
        <w:rPr>
          <w:rFonts w:hint="eastAsia" w:ascii="方正仿宋_GBK" w:eastAsia="方正仿宋_GBK"/>
          <w:sz w:val="32"/>
          <w:szCs w:val="32"/>
          <w:lang w:val="en-US" w:eastAsia="zh-CN"/>
        </w:rPr>
        <w:t>2</w:t>
      </w:r>
      <w:r>
        <w:rPr>
          <w:rFonts w:ascii="方正仿宋_GBK" w:eastAsia="方正仿宋_GBK"/>
          <w:sz w:val="32"/>
          <w:szCs w:val="32"/>
        </w:rPr>
        <w:t>年12月31日，本部门共有车辆</w:t>
      </w:r>
      <w:r>
        <w:rPr>
          <w:rFonts w:hint="eastAsia" w:ascii="方正仿宋_GBK" w:eastAsia="方正仿宋_GBK"/>
          <w:sz w:val="32"/>
          <w:szCs w:val="32"/>
          <w:lang w:val="en-US" w:eastAsia="zh-CN"/>
        </w:rPr>
        <w:t>0</w:t>
      </w:r>
      <w:r>
        <w:rPr>
          <w:rFonts w:ascii="方正仿宋_GBK" w:eastAsia="方正仿宋_GBK"/>
          <w:sz w:val="32"/>
          <w:szCs w:val="32"/>
        </w:rPr>
        <w:t>辆，其中，副部（省）级及以上领导用车0辆、主要领导干部用车0辆、机要通信用车</w:t>
      </w:r>
      <w:r>
        <w:rPr>
          <w:rFonts w:hint="eastAsia" w:ascii="方正仿宋_GBK" w:eastAsia="方正仿宋_GBK"/>
          <w:sz w:val="32"/>
          <w:szCs w:val="32"/>
          <w:lang w:val="en-US" w:eastAsia="zh-CN"/>
        </w:rPr>
        <w:t>0</w:t>
      </w:r>
      <w:r>
        <w:rPr>
          <w:rFonts w:ascii="方正仿宋_GBK" w:eastAsia="方正仿宋_GBK"/>
          <w:sz w:val="32"/>
          <w:szCs w:val="32"/>
        </w:rPr>
        <w:t>辆、应急保障用车</w:t>
      </w:r>
      <w:r>
        <w:rPr>
          <w:rFonts w:hint="eastAsia" w:ascii="方正仿宋_GBK" w:eastAsia="方正仿宋_GBK"/>
          <w:sz w:val="32"/>
          <w:szCs w:val="32"/>
          <w:lang w:val="en-US" w:eastAsia="zh-CN"/>
        </w:rPr>
        <w:t>0</w:t>
      </w:r>
      <w:r>
        <w:rPr>
          <w:rFonts w:ascii="方正仿宋_GBK" w:eastAsia="方正仿宋_GBK"/>
          <w:sz w:val="32"/>
          <w:szCs w:val="32"/>
        </w:rPr>
        <w:t>辆、执法执勤用车</w:t>
      </w:r>
      <w:r>
        <w:rPr>
          <w:rFonts w:hint="eastAsia" w:ascii="方正仿宋_GBK" w:eastAsia="方正仿宋_GBK"/>
          <w:sz w:val="32"/>
          <w:szCs w:val="32"/>
          <w:lang w:val="en-US" w:eastAsia="zh-CN"/>
        </w:rPr>
        <w:t>0</w:t>
      </w:r>
      <w:r>
        <w:rPr>
          <w:rFonts w:ascii="方正仿宋_GBK" w:eastAsia="方正仿宋_GBK"/>
          <w:sz w:val="32"/>
          <w:szCs w:val="32"/>
        </w:rPr>
        <w:t>辆，特种专业技术用车0辆，离退休干部用车0辆，其他用车</w:t>
      </w:r>
      <w:r>
        <w:rPr>
          <w:rFonts w:hint="eastAsia" w:ascii="方正仿宋_GBK" w:eastAsia="方正仿宋_GBK"/>
          <w:sz w:val="32"/>
          <w:szCs w:val="32"/>
          <w:lang w:val="en-US" w:eastAsia="zh-CN"/>
        </w:rPr>
        <w:t>0</w:t>
      </w:r>
      <w:r>
        <w:rPr>
          <w:rFonts w:ascii="方正仿宋_GBK" w:eastAsia="方正仿宋_GBK"/>
          <w:sz w:val="32"/>
          <w:szCs w:val="32"/>
        </w:rPr>
        <w:t>辆。</w:t>
      </w:r>
      <w:r>
        <w:rPr>
          <w:rFonts w:hint="eastAsia" w:ascii="方正仿宋_GBK" w:eastAsia="方正仿宋_GBK"/>
          <w:sz w:val="32"/>
          <w:szCs w:val="32"/>
        </w:rPr>
        <w:t>单价50万元（含）以上通用设备0台（套），单价100万元（含）以上专用设备0台（套）。</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（三）政府采购支出情况说明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年度本部门政府采购支出总额</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五、预算绩效管理情况说明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一</w:t>
      </w:r>
      <w:r>
        <w:rPr>
          <w:rFonts w:hint="eastAsia" w:ascii="方正楷体_GBK" w:eastAsia="方正楷体_GBK"/>
          <w:sz w:val="32"/>
          <w:szCs w:val="32"/>
          <w:lang w:eastAsia="zh-CN"/>
        </w:rPr>
        <w:t>）</w:t>
      </w:r>
      <w:r>
        <w:rPr>
          <w:rFonts w:hint="eastAsia" w:ascii="方正楷体_GBK" w:eastAsia="方正楷体_GBK"/>
          <w:sz w:val="32"/>
          <w:szCs w:val="32"/>
        </w:rPr>
        <w:t>预算绩效管理工作开展情况</w:t>
      </w:r>
    </w:p>
    <w:p>
      <w:pPr>
        <w:spacing w:line="578" w:lineRule="exact"/>
        <w:ind w:firstLine="640" w:firstLineChars="200"/>
        <w:rPr>
          <w:rFonts w:hint="eastAsia"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lang w:val="en-US" w:eastAsia="zh-CN"/>
        </w:rPr>
        <w:t>无。</w:t>
      </w:r>
    </w:p>
    <w:p>
      <w:pPr>
        <w:numPr>
          <w:ilvl w:val="0"/>
          <w:numId w:val="0"/>
        </w:numPr>
        <w:spacing w:line="578" w:lineRule="exact"/>
        <w:ind w:firstLine="640" w:firstLineChars="200"/>
        <w:rPr>
          <w:rFonts w:hint="default" w:ascii="方正仿宋_GBK" w:eastAsia="方正仿宋_GBK"/>
          <w:sz w:val="32"/>
          <w:szCs w:val="32"/>
          <w:lang w:val="en-US" w:eastAsia="zh-CN"/>
        </w:rPr>
      </w:pP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lang w:val="en-US" w:eastAsia="zh-CN"/>
        </w:rPr>
        <w:t>二</w:t>
      </w: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rPr>
        <w:t>绩效自评结果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.绩效目标自评表</w:t>
      </w:r>
    </w:p>
    <w:p>
      <w:pPr>
        <w:spacing w:line="578"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2.绩效自评报告或案例</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numPr>
          <w:ilvl w:val="0"/>
          <w:numId w:val="0"/>
        </w:num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3.关于绩效自评的说明</w:t>
      </w:r>
    </w:p>
    <w:p>
      <w:p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无。</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（三）重点绩效评价结果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无。</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六</w:t>
      </w:r>
      <w:r>
        <w:rPr>
          <w:rFonts w:hint="eastAsia" w:ascii="方正黑体_GBK" w:eastAsia="方正黑体_GBK"/>
          <w:sz w:val="32"/>
          <w:szCs w:val="32"/>
        </w:rPr>
        <w:t>、专业名词解释</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（八）年末结转和结余：</w:t>
      </w:r>
      <w:r>
        <w:rPr>
          <w:rFonts w:hint="eastAsia" w:ascii="方正仿宋_GBK" w:eastAsia="方正仿宋_GBK"/>
          <w:sz w:val="32"/>
          <w:szCs w:val="32"/>
        </w:rPr>
        <w:t>指单位结转下年的基本支出结转、项目支出结转和结余、经营结余。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（十）项目支出：</w:t>
      </w:r>
      <w:r>
        <w:rPr>
          <w:rFonts w:hint="eastAsia" w:ascii="方正仿宋_GBK" w:eastAsia="方正仿宋_GBK"/>
          <w:sz w:val="32"/>
          <w:szCs w:val="32"/>
        </w:rPr>
        <w:t>指在基本支出之外为完成特定行政任务和事业发展目标所发生的支出。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（十六）对个人和家庭的补助（支出经济分类科目类级）：</w:t>
      </w:r>
      <w:r>
        <w:rPr>
          <w:rFonts w:hint="eastAsia" w:ascii="方正仿宋_GBK" w:eastAsia="方正仿宋_GBK"/>
          <w:sz w:val="32"/>
          <w:szCs w:val="32"/>
        </w:rPr>
        <w:t>反映用于对个人和家庭的补助支出。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七</w:t>
      </w:r>
      <w:r>
        <w:rPr>
          <w:rFonts w:hint="eastAsia" w:ascii="方正黑体_GBK" w:eastAsia="方正黑体_GBK"/>
          <w:sz w:val="32"/>
          <w:szCs w:val="32"/>
        </w:rPr>
        <w:t>、决算公开联系方式及信息反馈渠道</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本单位决算公开信息反馈和联系方式：</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黄华</w:t>
      </w:r>
      <w:r>
        <w:rPr>
          <w:rFonts w:hint="eastAsia" w:ascii="方正仿宋_GBK" w:eastAsia="方正仿宋_GBK"/>
          <w:sz w:val="32"/>
          <w:szCs w:val="32"/>
        </w:rPr>
        <w:t>023-55188179。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RjMjIzNDQ5ZTYyZjc1ZmRhY2VmOGU1MzEzMWI0NjEifQ=="/>
  </w:docVars>
  <w:rsids>
    <w:rsidRoot w:val="00D300F9"/>
    <w:rsid w:val="00024128"/>
    <w:rsid w:val="00057CEA"/>
    <w:rsid w:val="0011397E"/>
    <w:rsid w:val="00113A4D"/>
    <w:rsid w:val="00125C0F"/>
    <w:rsid w:val="0017322C"/>
    <w:rsid w:val="001B1A0F"/>
    <w:rsid w:val="00245EC9"/>
    <w:rsid w:val="003A0490"/>
    <w:rsid w:val="003F5415"/>
    <w:rsid w:val="004332C5"/>
    <w:rsid w:val="004D27CD"/>
    <w:rsid w:val="00525666"/>
    <w:rsid w:val="005E008E"/>
    <w:rsid w:val="005F5A3E"/>
    <w:rsid w:val="00642461"/>
    <w:rsid w:val="006D760E"/>
    <w:rsid w:val="0072273E"/>
    <w:rsid w:val="00723432"/>
    <w:rsid w:val="00727C3F"/>
    <w:rsid w:val="0085575D"/>
    <w:rsid w:val="00855AF7"/>
    <w:rsid w:val="00857122"/>
    <w:rsid w:val="00892D78"/>
    <w:rsid w:val="008C1054"/>
    <w:rsid w:val="0093068E"/>
    <w:rsid w:val="009C3F0C"/>
    <w:rsid w:val="00A45164"/>
    <w:rsid w:val="00A616AD"/>
    <w:rsid w:val="00AC5894"/>
    <w:rsid w:val="00AE218D"/>
    <w:rsid w:val="00AF7191"/>
    <w:rsid w:val="00C71A87"/>
    <w:rsid w:val="00D20A04"/>
    <w:rsid w:val="00D300F9"/>
    <w:rsid w:val="00DB2BE6"/>
    <w:rsid w:val="00E0336C"/>
    <w:rsid w:val="00E17309"/>
    <w:rsid w:val="00EB06C8"/>
    <w:rsid w:val="00F127EA"/>
    <w:rsid w:val="00FA404A"/>
    <w:rsid w:val="02661E94"/>
    <w:rsid w:val="02A10813"/>
    <w:rsid w:val="02D02F8C"/>
    <w:rsid w:val="031C0AC1"/>
    <w:rsid w:val="03FC01B0"/>
    <w:rsid w:val="0716509F"/>
    <w:rsid w:val="0867217A"/>
    <w:rsid w:val="09B64A77"/>
    <w:rsid w:val="0A081FD4"/>
    <w:rsid w:val="0C80209C"/>
    <w:rsid w:val="0CFF3FC4"/>
    <w:rsid w:val="0DCC74F1"/>
    <w:rsid w:val="0ECF7B8F"/>
    <w:rsid w:val="10B16C32"/>
    <w:rsid w:val="13E7095B"/>
    <w:rsid w:val="14BA7FFD"/>
    <w:rsid w:val="16B73272"/>
    <w:rsid w:val="1721095C"/>
    <w:rsid w:val="17F13D07"/>
    <w:rsid w:val="184D13DD"/>
    <w:rsid w:val="1A7F62E5"/>
    <w:rsid w:val="1B6C1CB8"/>
    <w:rsid w:val="1B9629C7"/>
    <w:rsid w:val="1D29114D"/>
    <w:rsid w:val="1DC94BBB"/>
    <w:rsid w:val="1E6F1C79"/>
    <w:rsid w:val="1F0828D0"/>
    <w:rsid w:val="21D27575"/>
    <w:rsid w:val="23B60C6B"/>
    <w:rsid w:val="245365B0"/>
    <w:rsid w:val="25437F49"/>
    <w:rsid w:val="2674607E"/>
    <w:rsid w:val="26A2487E"/>
    <w:rsid w:val="271C36F7"/>
    <w:rsid w:val="27834407"/>
    <w:rsid w:val="279942A9"/>
    <w:rsid w:val="282109AF"/>
    <w:rsid w:val="289229E4"/>
    <w:rsid w:val="2A91304F"/>
    <w:rsid w:val="2A9F5694"/>
    <w:rsid w:val="2ABB0155"/>
    <w:rsid w:val="2C912511"/>
    <w:rsid w:val="2CA3315D"/>
    <w:rsid w:val="2DB55779"/>
    <w:rsid w:val="34D910F9"/>
    <w:rsid w:val="369938DF"/>
    <w:rsid w:val="396B3311"/>
    <w:rsid w:val="397242E9"/>
    <w:rsid w:val="39922AB7"/>
    <w:rsid w:val="39D23390"/>
    <w:rsid w:val="3A1529C3"/>
    <w:rsid w:val="3C25052A"/>
    <w:rsid w:val="3C2E2A67"/>
    <w:rsid w:val="3DA626BC"/>
    <w:rsid w:val="3EC915F2"/>
    <w:rsid w:val="3F1D5060"/>
    <w:rsid w:val="4067113D"/>
    <w:rsid w:val="40BA45D2"/>
    <w:rsid w:val="42BA7D55"/>
    <w:rsid w:val="43C27FD1"/>
    <w:rsid w:val="447B4232"/>
    <w:rsid w:val="46A20569"/>
    <w:rsid w:val="47F54F4A"/>
    <w:rsid w:val="48197B4E"/>
    <w:rsid w:val="4A875AD1"/>
    <w:rsid w:val="4AE1577A"/>
    <w:rsid w:val="4B295123"/>
    <w:rsid w:val="4EF15FBB"/>
    <w:rsid w:val="51816CCE"/>
    <w:rsid w:val="52754DA9"/>
    <w:rsid w:val="536B2E30"/>
    <w:rsid w:val="550E7D91"/>
    <w:rsid w:val="55E4084A"/>
    <w:rsid w:val="56B65AAB"/>
    <w:rsid w:val="56C8194B"/>
    <w:rsid w:val="59EB3DB6"/>
    <w:rsid w:val="5A706581"/>
    <w:rsid w:val="5AF17A26"/>
    <w:rsid w:val="5B12588A"/>
    <w:rsid w:val="5BF51C76"/>
    <w:rsid w:val="5C124246"/>
    <w:rsid w:val="5C3A65E4"/>
    <w:rsid w:val="5CD70CB9"/>
    <w:rsid w:val="601D554D"/>
    <w:rsid w:val="623E6F65"/>
    <w:rsid w:val="63640C4D"/>
    <w:rsid w:val="64502F80"/>
    <w:rsid w:val="64780FFD"/>
    <w:rsid w:val="6643192A"/>
    <w:rsid w:val="668E696F"/>
    <w:rsid w:val="66965975"/>
    <w:rsid w:val="671C763C"/>
    <w:rsid w:val="689B6B29"/>
    <w:rsid w:val="68EA6F78"/>
    <w:rsid w:val="6AB9362D"/>
    <w:rsid w:val="6E155510"/>
    <w:rsid w:val="6E1E7E79"/>
    <w:rsid w:val="6E6C3E5F"/>
    <w:rsid w:val="70170EF3"/>
    <w:rsid w:val="70871AD7"/>
    <w:rsid w:val="709455AD"/>
    <w:rsid w:val="72736DDD"/>
    <w:rsid w:val="735C4507"/>
    <w:rsid w:val="761A419F"/>
    <w:rsid w:val="7674170D"/>
    <w:rsid w:val="78A85F47"/>
    <w:rsid w:val="78D02948"/>
    <w:rsid w:val="7BA67354"/>
    <w:rsid w:val="7BBB61AE"/>
    <w:rsid w:val="7BEC1388"/>
    <w:rsid w:val="7C1F22E2"/>
    <w:rsid w:val="7C4A344B"/>
    <w:rsid w:val="7E043633"/>
    <w:rsid w:val="7FA37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01"/>
    <w:basedOn w:val="5"/>
    <w:qFormat/>
    <w:uiPriority w:val="0"/>
    <w:rPr>
      <w:rFonts w:hint="default" w:ascii="Times New Roman" w:hAnsi="Times New Roman" w:cs="Times New Roman"/>
      <w:color w:val="000000"/>
      <w:sz w:val="18"/>
      <w:szCs w:val="18"/>
      <w:u w:val="none"/>
    </w:rPr>
  </w:style>
  <w:style w:type="character" w:customStyle="1" w:styleId="10">
    <w:name w:val="font11"/>
    <w:basedOn w:val="5"/>
    <w:qFormat/>
    <w:uiPriority w:val="0"/>
    <w:rPr>
      <w:rFonts w:hint="eastAsia" w:ascii="宋体" w:hAnsi="宋体" w:eastAsia="宋体" w:cs="宋体"/>
      <w:color w:val="000000"/>
      <w:sz w:val="18"/>
      <w:szCs w:val="18"/>
      <w:u w:val="none"/>
    </w:rPr>
  </w:style>
  <w:style w:type="character" w:customStyle="1" w:styleId="11">
    <w:name w:val="font21"/>
    <w:basedOn w:val="5"/>
    <w:qFormat/>
    <w:uiPriority w:val="0"/>
    <w:rPr>
      <w:rFonts w:hint="eastAsia" w:ascii="宋体" w:hAnsi="宋体" w:eastAsia="宋体" w:cs="宋体"/>
      <w:color w:val="000000"/>
      <w:sz w:val="22"/>
      <w:szCs w:val="22"/>
      <w:u w:val="none"/>
    </w:rPr>
  </w:style>
  <w:style w:type="character" w:customStyle="1" w:styleId="12">
    <w:name w:val="font91"/>
    <w:basedOn w:val="5"/>
    <w:qFormat/>
    <w:uiPriority w:val="0"/>
    <w:rPr>
      <w:rFonts w:hint="eastAsia" w:ascii="宋体" w:hAnsi="宋体" w:eastAsia="宋体" w:cs="宋体"/>
      <w:color w:val="000000"/>
      <w:sz w:val="22"/>
      <w:szCs w:val="22"/>
      <w:u w:val="none"/>
    </w:rPr>
  </w:style>
  <w:style w:type="character" w:customStyle="1" w:styleId="13">
    <w:name w:val="font112"/>
    <w:basedOn w:val="5"/>
    <w:qFormat/>
    <w:uiPriority w:val="0"/>
    <w:rPr>
      <w:rFonts w:hint="eastAsia" w:ascii="宋体" w:hAnsi="宋体" w:eastAsia="宋体" w:cs="宋体"/>
      <w:color w:val="000000"/>
      <w:sz w:val="18"/>
      <w:szCs w:val="18"/>
      <w:u w:val="none"/>
    </w:rPr>
  </w:style>
  <w:style w:type="character" w:customStyle="1" w:styleId="14">
    <w:name w:val="font161"/>
    <w:basedOn w:val="5"/>
    <w:qFormat/>
    <w:uiPriority w:val="0"/>
    <w:rPr>
      <w:rFonts w:hint="eastAsia" w:ascii="宋体" w:hAnsi="宋体" w:eastAsia="宋体" w:cs="宋体"/>
      <w:color w:val="000000"/>
      <w:sz w:val="18"/>
      <w:szCs w:val="18"/>
      <w:u w:val="none"/>
    </w:rPr>
  </w:style>
  <w:style w:type="character" w:customStyle="1" w:styleId="15">
    <w:name w:val="font171"/>
    <w:basedOn w:val="5"/>
    <w:qFormat/>
    <w:uiPriority w:val="0"/>
    <w:rPr>
      <w:rFonts w:hint="default" w:ascii="Arial" w:hAnsi="Arial" w:cs="Arial"/>
      <w:color w:val="000000"/>
      <w:sz w:val="18"/>
      <w:szCs w:val="18"/>
      <w:u w:val="none"/>
    </w:rPr>
  </w:style>
  <w:style w:type="character" w:customStyle="1" w:styleId="16">
    <w:name w:val="font131"/>
    <w:basedOn w:val="5"/>
    <w:qFormat/>
    <w:uiPriority w:val="0"/>
    <w:rPr>
      <w:rFonts w:hint="eastAsia" w:ascii="宋体" w:hAnsi="宋体" w:eastAsia="宋体" w:cs="宋体"/>
      <w:color w:val="000000"/>
      <w:sz w:val="18"/>
      <w:szCs w:val="18"/>
      <w:u w:val="none"/>
    </w:rPr>
  </w:style>
  <w:style w:type="character" w:customStyle="1" w:styleId="17">
    <w:name w:val="font61"/>
    <w:basedOn w:val="5"/>
    <w:qFormat/>
    <w:uiPriority w:val="0"/>
    <w:rPr>
      <w:rFonts w:hint="default" w:ascii="Arial" w:hAnsi="Arial" w:cs="Arial"/>
      <w:color w:val="000000"/>
      <w:sz w:val="20"/>
      <w:szCs w:val="20"/>
      <w:u w:val="none"/>
    </w:rPr>
  </w:style>
  <w:style w:type="character" w:customStyle="1" w:styleId="18">
    <w:name w:val="font151"/>
    <w:basedOn w:val="5"/>
    <w:qFormat/>
    <w:uiPriority w:val="0"/>
    <w:rPr>
      <w:rFonts w:hint="eastAsia" w:ascii="宋体" w:hAnsi="宋体" w:eastAsia="宋体" w:cs="宋体"/>
      <w:color w:val="000000"/>
      <w:sz w:val="18"/>
      <w:szCs w:val="18"/>
      <w:u w:val="none"/>
    </w:rPr>
  </w:style>
  <w:style w:type="character" w:customStyle="1" w:styleId="19">
    <w:name w:val="font13"/>
    <w:basedOn w:val="5"/>
    <w:qFormat/>
    <w:uiPriority w:val="0"/>
    <w:rPr>
      <w:rFonts w:hint="eastAsia" w:ascii="宋体" w:hAnsi="宋体" w:eastAsia="宋体" w:cs="宋体"/>
      <w:color w:val="000000"/>
      <w:sz w:val="18"/>
      <w:szCs w:val="18"/>
      <w:u w:val="none"/>
    </w:rPr>
  </w:style>
  <w:style w:type="character" w:customStyle="1" w:styleId="20">
    <w:name w:val="font111"/>
    <w:basedOn w:val="5"/>
    <w:qFormat/>
    <w:uiPriority w:val="0"/>
    <w:rPr>
      <w:rFonts w:hint="eastAsia" w:ascii="宋体" w:hAnsi="宋体" w:eastAsia="宋体" w:cs="宋体"/>
      <w:color w:val="000000"/>
      <w:sz w:val="18"/>
      <w:szCs w:val="18"/>
      <w:u w:val="none"/>
    </w:rPr>
  </w:style>
  <w:style w:type="character" w:customStyle="1" w:styleId="21">
    <w:name w:val="font132"/>
    <w:basedOn w:val="5"/>
    <w:qFormat/>
    <w:uiPriority w:val="0"/>
    <w:rPr>
      <w:rFonts w:hint="eastAsia" w:ascii="宋体" w:hAnsi="宋体" w:eastAsia="宋体" w:cs="宋体"/>
      <w:color w:val="000000"/>
      <w:sz w:val="18"/>
      <w:szCs w:val="18"/>
      <w:u w:val="none"/>
    </w:rPr>
  </w:style>
  <w:style w:type="character" w:customStyle="1" w:styleId="22">
    <w:name w:val="font51"/>
    <w:basedOn w:val="5"/>
    <w:qFormat/>
    <w:uiPriority w:val="0"/>
    <w:rPr>
      <w:rFonts w:hint="eastAsia" w:ascii="方正仿宋_GBK" w:hAnsi="方正仿宋_GBK" w:eastAsia="方正仿宋_GBK" w:cs="方正仿宋_GBK"/>
      <w:color w:val="000000"/>
      <w:sz w:val="18"/>
      <w:szCs w:val="18"/>
      <w:u w:val="none"/>
    </w:rPr>
  </w:style>
  <w:style w:type="character" w:customStyle="1" w:styleId="23">
    <w:name w:val="font31"/>
    <w:basedOn w:val="5"/>
    <w:qFormat/>
    <w:uiPriority w:val="0"/>
    <w:rPr>
      <w:rFonts w:hint="eastAsia" w:ascii="宋体" w:hAnsi="宋体" w:eastAsia="宋体" w:cs="宋体"/>
      <w:color w:val="000000"/>
      <w:sz w:val="18"/>
      <w:szCs w:val="18"/>
      <w:u w:val="none"/>
    </w:rPr>
  </w:style>
  <w:style w:type="character" w:customStyle="1" w:styleId="24">
    <w:name w:val="font101"/>
    <w:basedOn w:val="5"/>
    <w:qFormat/>
    <w:uiPriority w:val="0"/>
    <w:rPr>
      <w:rFonts w:hint="eastAsia" w:ascii="宋体" w:hAnsi="宋体" w:eastAsia="宋体" w:cs="宋体"/>
      <w:color w:val="000000"/>
      <w:sz w:val="18"/>
      <w:szCs w:val="18"/>
      <w:u w:val="none"/>
    </w:rPr>
  </w:style>
  <w:style w:type="character" w:customStyle="1" w:styleId="25">
    <w:name w:val="font181"/>
    <w:basedOn w:val="5"/>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3220</Words>
  <Characters>3460</Characters>
  <Lines>45</Lines>
  <Paragraphs>12</Paragraphs>
  <TotalTime>0</TotalTime>
  <ScaleCrop>false</ScaleCrop>
  <LinksUpToDate>false</LinksUpToDate>
  <CharactersWithSpaces>3463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2021-09-18T03:20:00Z</dcterms:created>
  <dc:creator>Dell</dc:creator>
  <cp:lastModifiedBy>华</cp:lastModifiedBy>
  <dcterms:modified xsi:type="dcterms:W3CDTF">2023-12-01T02:04:23Z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02C7FEC271D740819D6D953164039583</vt:lpwstr>
  </property>
</Properties>
</file>