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rPr>
      </w:pPr>
      <w:r>
        <w:rPr>
          <w:rFonts w:hint="eastAsia" w:ascii="方正小标宋_GBK" w:eastAsia="方正小标宋_GBK"/>
          <w:sz w:val="44"/>
          <w:szCs w:val="44"/>
        </w:rPr>
        <w:t>云阳县</w:t>
      </w:r>
      <w:r>
        <w:rPr>
          <w:rFonts w:hint="eastAsia" w:ascii="方正小标宋_GBK" w:eastAsia="方正小标宋_GBK"/>
          <w:sz w:val="44"/>
          <w:szCs w:val="44"/>
          <w:lang w:val="en-US" w:eastAsia="zh-CN"/>
        </w:rPr>
        <w:t>平安</w:t>
      </w:r>
      <w:r>
        <w:rPr>
          <w:rFonts w:hint="eastAsia" w:ascii="方正小标宋_GBK" w:eastAsia="方正小标宋_GBK"/>
          <w:sz w:val="44"/>
          <w:szCs w:val="44"/>
        </w:rPr>
        <w:t>规划</w:t>
      </w:r>
      <w:bookmarkStart w:id="0" w:name="_GoBack"/>
      <w:bookmarkEnd w:id="0"/>
      <w:r>
        <w:rPr>
          <w:rFonts w:hint="eastAsia" w:ascii="方正小标宋_GBK" w:eastAsia="方正小标宋_GBK"/>
          <w:sz w:val="44"/>
          <w:szCs w:val="44"/>
        </w:rPr>
        <w:t>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为规划和自然资源管理工作提供服务。执行全民所有自然资源资产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从预算单位构成看，纳入本部门2022年度决算编制的二级预算单位主要包括云阳县</w:t>
      </w:r>
      <w:r>
        <w:rPr>
          <w:rFonts w:hint="eastAsia" w:ascii="方正仿宋_GBK" w:eastAsia="方正仿宋_GBK"/>
          <w:sz w:val="32"/>
          <w:szCs w:val="32"/>
          <w:lang w:val="en-US" w:eastAsia="zh-CN"/>
        </w:rPr>
        <w:t>平安</w:t>
      </w:r>
      <w:r>
        <w:rPr>
          <w:rFonts w:hint="eastAsia" w:ascii="方正仿宋_GBK" w:eastAsia="方正仿宋_GBK"/>
          <w:sz w:val="32"/>
          <w:szCs w:val="32"/>
        </w:rPr>
        <w:t>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w:t>
      </w:r>
      <w:r>
        <w:rPr>
          <w:rFonts w:hint="eastAsia" w:ascii="方正仿宋_GBK" w:eastAsia="方正仿宋_GBK"/>
          <w:sz w:val="32"/>
          <w:szCs w:val="32"/>
          <w:lang w:val="en-US" w:eastAsia="zh-CN"/>
        </w:rPr>
        <w:t>70.71</w:t>
      </w:r>
      <w:r>
        <w:rPr>
          <w:rFonts w:hint="eastAsia" w:ascii="方正仿宋_GBK" w:eastAsia="方正仿宋_GBK"/>
          <w:sz w:val="32"/>
          <w:szCs w:val="32"/>
        </w:rPr>
        <w:t>万元，支出总计</w:t>
      </w:r>
      <w:r>
        <w:rPr>
          <w:rFonts w:hint="eastAsia" w:ascii="方正仿宋_GBK" w:eastAsia="方正仿宋_GBK"/>
          <w:sz w:val="32"/>
          <w:szCs w:val="32"/>
          <w:lang w:val="en-US" w:eastAsia="zh-CN"/>
        </w:rPr>
        <w:t>70.71</w:t>
      </w:r>
      <w:r>
        <w:rPr>
          <w:rFonts w:hint="eastAsia" w:ascii="方正仿宋_GBK" w:eastAsia="方正仿宋_GBK"/>
          <w:sz w:val="32"/>
          <w:szCs w:val="32"/>
        </w:rPr>
        <w:t>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w:t>
      </w:r>
      <w:r>
        <w:rPr>
          <w:rFonts w:hint="eastAsia" w:ascii="方正仿宋_GBK" w:eastAsia="方正仿宋_GBK"/>
          <w:sz w:val="32"/>
          <w:szCs w:val="32"/>
          <w:lang w:val="en-US" w:eastAsia="zh-CN"/>
        </w:rPr>
        <w:t>70.71</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w:t>
      </w:r>
      <w:r>
        <w:rPr>
          <w:rFonts w:hint="eastAsia" w:ascii="方正仿宋_GBK" w:eastAsia="方正仿宋_GBK"/>
          <w:sz w:val="32"/>
          <w:szCs w:val="32"/>
          <w:lang w:val="en-US" w:eastAsia="zh-CN"/>
        </w:rPr>
        <w:t>70.71</w:t>
      </w:r>
      <w:r>
        <w:rPr>
          <w:rFonts w:hint="eastAsia" w:ascii="方正仿宋_GBK" w:eastAsia="方正仿宋_GBK"/>
          <w:sz w:val="32"/>
          <w:szCs w:val="32"/>
        </w:rPr>
        <w:t>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w:t>
      </w:r>
      <w:r>
        <w:rPr>
          <w:rFonts w:hint="eastAsia" w:ascii="方正仿宋_GBK" w:eastAsia="方正仿宋_GBK"/>
          <w:sz w:val="32"/>
          <w:szCs w:val="32"/>
          <w:lang w:val="en-US" w:eastAsia="zh-CN"/>
        </w:rPr>
        <w:t>70.71</w:t>
      </w:r>
      <w:r>
        <w:rPr>
          <w:rFonts w:hint="eastAsia" w:ascii="方正仿宋_GBK" w:eastAsia="方正仿宋_GBK"/>
          <w:sz w:val="32"/>
          <w:szCs w:val="32"/>
        </w:rPr>
        <w:t>万元。其中：基本支出</w:t>
      </w:r>
      <w:r>
        <w:rPr>
          <w:rFonts w:hint="eastAsia" w:ascii="方正仿宋_GBK" w:eastAsia="方正仿宋_GBK"/>
          <w:sz w:val="32"/>
          <w:szCs w:val="32"/>
          <w:lang w:val="en-US" w:eastAsia="zh-CN"/>
        </w:rPr>
        <w:t>70.71</w:t>
      </w:r>
      <w:r>
        <w:rPr>
          <w:rFonts w:hint="eastAsia" w:ascii="方正仿宋_GBK" w:eastAsia="方正仿宋_GBK"/>
          <w:sz w:val="32"/>
          <w:szCs w:val="32"/>
        </w:rPr>
        <w:t>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w:t>
      </w:r>
      <w:r>
        <w:rPr>
          <w:rFonts w:hint="eastAsia" w:ascii="方正仿宋_GBK" w:eastAsia="方正仿宋_GBK"/>
          <w:sz w:val="32"/>
          <w:szCs w:val="32"/>
          <w:lang w:val="en-US" w:eastAsia="zh-CN"/>
        </w:rPr>
        <w:t>70.71</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w:t>
      </w:r>
      <w:r>
        <w:rPr>
          <w:rFonts w:hint="eastAsia" w:ascii="方正仿宋_GBK" w:eastAsia="方正仿宋_GBK"/>
          <w:sz w:val="32"/>
          <w:szCs w:val="32"/>
          <w:lang w:val="en-US" w:eastAsia="zh-CN"/>
        </w:rPr>
        <w:t>70.71</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w:t>
      </w:r>
      <w:r>
        <w:rPr>
          <w:rFonts w:hint="eastAsia" w:ascii="方正仿宋_GBK" w:eastAsia="方正仿宋_GBK"/>
          <w:sz w:val="32"/>
          <w:szCs w:val="32"/>
          <w:lang w:val="en-US" w:eastAsia="zh-CN"/>
        </w:rPr>
        <w:t>70.71</w:t>
      </w:r>
      <w:r>
        <w:rPr>
          <w:rFonts w:hint="eastAsia" w:ascii="方正仿宋_GBK" w:eastAsia="方正仿宋_GBK"/>
          <w:sz w:val="32"/>
          <w:szCs w:val="32"/>
        </w:rPr>
        <w:t>万元。较年初预算数</w:t>
      </w:r>
      <w:r>
        <w:rPr>
          <w:rFonts w:hint="eastAsia" w:ascii="方正仿宋_GBK" w:eastAsia="方正仿宋_GBK"/>
          <w:sz w:val="32"/>
          <w:szCs w:val="32"/>
          <w:lang w:val="en-US" w:eastAsia="zh-CN"/>
        </w:rPr>
        <w:t>增加14.12</w:t>
      </w:r>
      <w:r>
        <w:rPr>
          <w:rFonts w:hint="eastAsia" w:ascii="方正仿宋_GBK" w:eastAsia="方正仿宋_GBK"/>
          <w:sz w:val="32"/>
          <w:szCs w:val="32"/>
        </w:rPr>
        <w:t>万元，</w:t>
      </w:r>
      <w:r>
        <w:rPr>
          <w:rFonts w:hint="eastAsia" w:ascii="方正仿宋_GBK" w:eastAsia="方正仿宋_GBK"/>
          <w:sz w:val="32"/>
          <w:szCs w:val="32"/>
          <w:lang w:val="en-US" w:eastAsia="zh-CN"/>
        </w:rPr>
        <w:t>增加24.95</w:t>
      </w:r>
      <w:r>
        <w:rPr>
          <w:rFonts w:hint="eastAsia" w:ascii="方正仿宋_GBK" w:eastAsia="方正仿宋_GBK"/>
          <w:sz w:val="32"/>
          <w:szCs w:val="32"/>
        </w:rPr>
        <w:t>%。</w:t>
      </w:r>
      <w:r>
        <w:rPr>
          <w:rFonts w:hint="eastAsia" w:ascii="方正仿宋_GBK" w:eastAsia="方正仿宋_GBK"/>
          <w:sz w:val="32"/>
          <w:szCs w:val="32"/>
          <w:lang w:val="en-US" w:eastAsia="zh-CN"/>
        </w:rPr>
        <w:t>主要原因是增加了准备期职业年金清缴</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w:t>
      </w:r>
      <w:r>
        <w:rPr>
          <w:rFonts w:hint="eastAsia" w:ascii="方正仿宋_GBK" w:eastAsia="方正仿宋_GBK"/>
          <w:sz w:val="32"/>
          <w:szCs w:val="32"/>
          <w:lang w:val="en-US" w:eastAsia="zh-CN"/>
        </w:rPr>
        <w:t>17.62</w:t>
      </w:r>
      <w:r>
        <w:rPr>
          <w:rFonts w:hint="eastAsia" w:ascii="方正仿宋_GBK" w:eastAsia="方正仿宋_GBK"/>
          <w:sz w:val="32"/>
          <w:szCs w:val="32"/>
        </w:rPr>
        <w:t>万元，占</w:t>
      </w:r>
      <w:r>
        <w:rPr>
          <w:rFonts w:hint="eastAsia" w:ascii="方正仿宋_GBK" w:eastAsia="方正仿宋_GBK"/>
          <w:sz w:val="32"/>
          <w:szCs w:val="32"/>
          <w:lang w:val="en-US" w:eastAsia="zh-CN"/>
        </w:rPr>
        <w:t>24.93</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10.45</w:t>
      </w:r>
      <w:r>
        <w:rPr>
          <w:rFonts w:hint="eastAsia" w:ascii="方正仿宋_GBK" w:eastAsia="方正仿宋_GBK"/>
          <w:sz w:val="32"/>
          <w:szCs w:val="32"/>
        </w:rPr>
        <w:t>万元，增长</w:t>
      </w:r>
      <w:r>
        <w:rPr>
          <w:rFonts w:hint="eastAsia" w:ascii="方正仿宋_GBK" w:eastAsia="方正仿宋_GBK"/>
          <w:sz w:val="32"/>
          <w:szCs w:val="32"/>
          <w:lang w:val="en-US" w:eastAsia="zh-CN"/>
        </w:rPr>
        <w:t>145.75</w:t>
      </w:r>
      <w:r>
        <w:rPr>
          <w:rFonts w:hint="eastAsia" w:ascii="方正仿宋_GBK" w:eastAsia="方正仿宋_GBK"/>
          <w:sz w:val="32"/>
          <w:szCs w:val="32"/>
        </w:rPr>
        <w:t>%，主要原因是</w:t>
      </w:r>
      <w:r>
        <w:rPr>
          <w:rFonts w:hint="eastAsia" w:ascii="方正仿宋_GBK" w:eastAsia="方正仿宋_GBK"/>
          <w:sz w:val="32"/>
          <w:szCs w:val="32"/>
          <w:lang w:val="en-US" w:eastAsia="zh-CN"/>
        </w:rPr>
        <w:t>增加了准备期职业年金清缴以及</w:t>
      </w:r>
      <w:r>
        <w:rPr>
          <w:rFonts w:hint="eastAsia" w:ascii="方正仿宋_GBK" w:eastAsia="方正仿宋_GBK"/>
          <w:sz w:val="32"/>
          <w:szCs w:val="32"/>
        </w:rPr>
        <w:t>人员</w:t>
      </w:r>
      <w:r>
        <w:rPr>
          <w:rFonts w:hint="eastAsia" w:ascii="方正仿宋_GBK" w:eastAsia="方正仿宋_GBK"/>
          <w:sz w:val="32"/>
          <w:szCs w:val="32"/>
          <w:lang w:val="en-US" w:eastAsia="zh-CN"/>
        </w:rPr>
        <w:t>增资</w:t>
      </w:r>
      <w:r>
        <w:rPr>
          <w:rFonts w:hint="eastAsia" w:ascii="方正仿宋_GBK" w:eastAsia="方正仿宋_GBK"/>
          <w:sz w:val="32"/>
          <w:szCs w:val="32"/>
        </w:rPr>
        <w:t>后养老保险和职业年金缴费增加。</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w:t>
      </w:r>
      <w:r>
        <w:rPr>
          <w:rFonts w:hint="eastAsia" w:ascii="方正仿宋_GBK" w:eastAsia="方正仿宋_GBK"/>
          <w:sz w:val="32"/>
          <w:szCs w:val="32"/>
          <w:lang w:val="en-US" w:eastAsia="zh-CN"/>
        </w:rPr>
        <w:t>2.96</w:t>
      </w:r>
      <w:r>
        <w:rPr>
          <w:rFonts w:hint="eastAsia" w:ascii="方正仿宋_GBK" w:eastAsia="方正仿宋_GBK"/>
          <w:sz w:val="32"/>
          <w:szCs w:val="32"/>
        </w:rPr>
        <w:t>万元，占</w:t>
      </w:r>
      <w:r>
        <w:rPr>
          <w:rFonts w:hint="eastAsia" w:ascii="方正仿宋_GBK" w:eastAsia="方正仿宋_GBK"/>
          <w:sz w:val="32"/>
          <w:szCs w:val="32"/>
          <w:lang w:val="en-US" w:eastAsia="zh-CN"/>
        </w:rPr>
        <w:t>4.18</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增加0.25</w:t>
      </w:r>
      <w:r>
        <w:rPr>
          <w:rFonts w:hint="eastAsia" w:ascii="方正仿宋_GBK" w:eastAsia="方正仿宋_GBK"/>
          <w:sz w:val="32"/>
          <w:szCs w:val="32"/>
        </w:rPr>
        <w:t>万元，</w:t>
      </w:r>
      <w:r>
        <w:rPr>
          <w:rFonts w:hint="eastAsia" w:ascii="方正仿宋_GBK" w:eastAsia="方正仿宋_GBK"/>
          <w:sz w:val="32"/>
          <w:szCs w:val="32"/>
          <w:lang w:val="en-US" w:eastAsia="zh-CN"/>
        </w:rPr>
        <w:t>增加9.23</w:t>
      </w:r>
      <w:r>
        <w:rPr>
          <w:rFonts w:hint="eastAsia" w:ascii="方正仿宋_GBK" w:eastAsia="方正仿宋_GBK"/>
          <w:sz w:val="32"/>
          <w:szCs w:val="32"/>
        </w:rPr>
        <w:t>%，主要原因是是人员</w:t>
      </w:r>
      <w:r>
        <w:rPr>
          <w:rFonts w:hint="eastAsia" w:ascii="方正仿宋_GBK" w:eastAsia="方正仿宋_GBK"/>
          <w:sz w:val="32"/>
          <w:szCs w:val="32"/>
          <w:lang w:val="en-US" w:eastAsia="zh-CN"/>
        </w:rPr>
        <w:t>增资</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增加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w:t>
      </w:r>
      <w:r>
        <w:rPr>
          <w:rFonts w:hint="eastAsia" w:ascii="方正仿宋_GBK" w:eastAsia="方正仿宋_GBK"/>
          <w:sz w:val="32"/>
          <w:szCs w:val="32"/>
          <w:lang w:val="en-US" w:eastAsia="zh-CN"/>
        </w:rPr>
        <w:t>47.4</w:t>
      </w:r>
      <w:r>
        <w:rPr>
          <w:rFonts w:hint="eastAsia" w:ascii="方正仿宋_GBK" w:eastAsia="方正仿宋_GBK"/>
          <w:sz w:val="32"/>
          <w:szCs w:val="32"/>
        </w:rPr>
        <w:t>万元，占</w:t>
      </w:r>
      <w:r>
        <w:rPr>
          <w:rFonts w:hint="eastAsia" w:ascii="方正仿宋_GBK" w:eastAsia="方正仿宋_GBK"/>
          <w:sz w:val="32"/>
          <w:szCs w:val="32"/>
          <w:lang w:val="en-US" w:eastAsia="zh-CN"/>
        </w:rPr>
        <w:t>67.03</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增加3.12</w:t>
      </w:r>
      <w:r>
        <w:rPr>
          <w:rFonts w:hint="eastAsia" w:ascii="方正仿宋_GBK" w:eastAsia="方正仿宋_GBK"/>
          <w:sz w:val="32"/>
          <w:szCs w:val="32"/>
        </w:rPr>
        <w:t>万元，</w:t>
      </w:r>
      <w:r>
        <w:rPr>
          <w:rFonts w:hint="eastAsia" w:ascii="方正仿宋_GBK" w:eastAsia="方正仿宋_GBK"/>
          <w:sz w:val="32"/>
          <w:szCs w:val="32"/>
          <w:lang w:val="en-US" w:eastAsia="zh-CN"/>
        </w:rPr>
        <w:t>增加7.05</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增资</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w:t>
      </w:r>
      <w:r>
        <w:rPr>
          <w:rFonts w:hint="eastAsia" w:ascii="方正仿宋_GBK" w:eastAsia="方正仿宋_GBK"/>
          <w:sz w:val="32"/>
          <w:szCs w:val="32"/>
          <w:lang w:val="en-US" w:eastAsia="zh-CN"/>
        </w:rPr>
        <w:t>2.73</w:t>
      </w:r>
      <w:r>
        <w:rPr>
          <w:rFonts w:hint="eastAsia" w:ascii="方正仿宋_GBK" w:eastAsia="方正仿宋_GBK"/>
          <w:sz w:val="32"/>
          <w:szCs w:val="32"/>
        </w:rPr>
        <w:t>万元，占</w:t>
      </w:r>
      <w:r>
        <w:rPr>
          <w:rFonts w:hint="eastAsia" w:ascii="方正仿宋_GBK" w:eastAsia="方正仿宋_GBK"/>
          <w:sz w:val="32"/>
          <w:szCs w:val="32"/>
          <w:lang w:val="en-US" w:eastAsia="zh-CN"/>
        </w:rPr>
        <w:t>3.86</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0.3</w:t>
      </w:r>
      <w:r>
        <w:rPr>
          <w:rFonts w:hint="eastAsia" w:ascii="方正仿宋_GBK" w:eastAsia="方正仿宋_GBK"/>
          <w:sz w:val="32"/>
          <w:szCs w:val="32"/>
        </w:rPr>
        <w:t>万元，增长</w:t>
      </w:r>
      <w:r>
        <w:rPr>
          <w:rFonts w:hint="eastAsia" w:ascii="方正仿宋_GBK" w:eastAsia="方正仿宋_GBK"/>
          <w:sz w:val="32"/>
          <w:szCs w:val="32"/>
          <w:lang w:val="en-US" w:eastAsia="zh-CN"/>
        </w:rPr>
        <w:t>12.35</w:t>
      </w:r>
      <w:r>
        <w:rPr>
          <w:rFonts w:hint="eastAsia" w:ascii="方正仿宋_GBK" w:eastAsia="方正仿宋_GBK"/>
          <w:sz w:val="32"/>
          <w:szCs w:val="32"/>
        </w:rPr>
        <w:t>%，主要原因是</w:t>
      </w:r>
      <w:r>
        <w:rPr>
          <w:rFonts w:hint="eastAsia" w:ascii="方正仿宋_GBK" w:eastAsia="方正仿宋_GBK"/>
          <w:sz w:val="32"/>
          <w:szCs w:val="32"/>
          <w:lang w:val="en-US" w:eastAsia="zh-CN"/>
        </w:rPr>
        <w:t>人员增资</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w:t>
      </w:r>
      <w:r>
        <w:rPr>
          <w:rFonts w:hint="eastAsia" w:ascii="方正仿宋_GBK" w:eastAsia="方正仿宋_GBK"/>
          <w:sz w:val="32"/>
          <w:szCs w:val="32"/>
          <w:lang w:val="en-US" w:eastAsia="zh-CN"/>
        </w:rPr>
        <w:t>70.71</w:t>
      </w:r>
      <w:r>
        <w:rPr>
          <w:rFonts w:hint="eastAsia" w:ascii="方正仿宋_GBK" w:eastAsia="方正仿宋_GBK"/>
          <w:sz w:val="32"/>
          <w:szCs w:val="32"/>
        </w:rPr>
        <w:t>万元。其中：人员经费</w:t>
      </w:r>
      <w:r>
        <w:rPr>
          <w:rFonts w:hint="eastAsia" w:ascii="方正仿宋_GBK" w:eastAsia="方正仿宋_GBK"/>
          <w:sz w:val="32"/>
          <w:szCs w:val="32"/>
          <w:lang w:val="en-US" w:eastAsia="zh-CN"/>
        </w:rPr>
        <w:t>62.75</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公用经费</w:t>
      </w:r>
      <w:r>
        <w:rPr>
          <w:rFonts w:hint="eastAsia" w:ascii="方正仿宋_GBK" w:eastAsia="方正仿宋_GBK"/>
          <w:sz w:val="32"/>
          <w:szCs w:val="32"/>
          <w:lang w:val="en-US" w:eastAsia="zh-CN"/>
        </w:rPr>
        <w:t>7.96</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0.05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661E94"/>
    <w:rsid w:val="02A10813"/>
    <w:rsid w:val="02D02F8C"/>
    <w:rsid w:val="031C0AC1"/>
    <w:rsid w:val="03FC01B0"/>
    <w:rsid w:val="0716509F"/>
    <w:rsid w:val="07990616"/>
    <w:rsid w:val="0867217A"/>
    <w:rsid w:val="09B64A77"/>
    <w:rsid w:val="0A081FD4"/>
    <w:rsid w:val="0C80209C"/>
    <w:rsid w:val="0CFF3FC4"/>
    <w:rsid w:val="0DCC74F1"/>
    <w:rsid w:val="0ECF7B8F"/>
    <w:rsid w:val="10B16C32"/>
    <w:rsid w:val="13E7095B"/>
    <w:rsid w:val="14BA7FFD"/>
    <w:rsid w:val="16B73272"/>
    <w:rsid w:val="1721095C"/>
    <w:rsid w:val="17F13D07"/>
    <w:rsid w:val="184D13DD"/>
    <w:rsid w:val="1A7F62E5"/>
    <w:rsid w:val="1B9629C7"/>
    <w:rsid w:val="1D29114D"/>
    <w:rsid w:val="1DC94BBB"/>
    <w:rsid w:val="1E6F1C79"/>
    <w:rsid w:val="1F0828D0"/>
    <w:rsid w:val="21D27575"/>
    <w:rsid w:val="23B60C6B"/>
    <w:rsid w:val="245365B0"/>
    <w:rsid w:val="25437F49"/>
    <w:rsid w:val="2674607E"/>
    <w:rsid w:val="26A2487E"/>
    <w:rsid w:val="271C36F7"/>
    <w:rsid w:val="27834407"/>
    <w:rsid w:val="279942A9"/>
    <w:rsid w:val="282109AF"/>
    <w:rsid w:val="289229E4"/>
    <w:rsid w:val="2A91304F"/>
    <w:rsid w:val="2A9F5694"/>
    <w:rsid w:val="2ABB0155"/>
    <w:rsid w:val="2C19762B"/>
    <w:rsid w:val="2C912511"/>
    <w:rsid w:val="2CA3315D"/>
    <w:rsid w:val="2DB55779"/>
    <w:rsid w:val="331433BF"/>
    <w:rsid w:val="33B940DB"/>
    <w:rsid w:val="34D910F9"/>
    <w:rsid w:val="369938DF"/>
    <w:rsid w:val="396B3311"/>
    <w:rsid w:val="397242E9"/>
    <w:rsid w:val="39D23390"/>
    <w:rsid w:val="3A1529C3"/>
    <w:rsid w:val="3C25052A"/>
    <w:rsid w:val="3C2E2A67"/>
    <w:rsid w:val="3DA626BC"/>
    <w:rsid w:val="3EC915F2"/>
    <w:rsid w:val="3F1D5060"/>
    <w:rsid w:val="3FE31D79"/>
    <w:rsid w:val="4067113D"/>
    <w:rsid w:val="40BA45D2"/>
    <w:rsid w:val="42BA7D55"/>
    <w:rsid w:val="43C27FD1"/>
    <w:rsid w:val="447B4232"/>
    <w:rsid w:val="46A20569"/>
    <w:rsid w:val="47F54F4A"/>
    <w:rsid w:val="48197B4E"/>
    <w:rsid w:val="4A875AD1"/>
    <w:rsid w:val="4AE1577A"/>
    <w:rsid w:val="4B295123"/>
    <w:rsid w:val="4EF15FBB"/>
    <w:rsid w:val="51816CCE"/>
    <w:rsid w:val="52754DA9"/>
    <w:rsid w:val="536B2E30"/>
    <w:rsid w:val="550E7D91"/>
    <w:rsid w:val="55E4084A"/>
    <w:rsid w:val="56C8194B"/>
    <w:rsid w:val="59EB3DB6"/>
    <w:rsid w:val="5A706581"/>
    <w:rsid w:val="5AF17A26"/>
    <w:rsid w:val="5B12588A"/>
    <w:rsid w:val="5BF51C76"/>
    <w:rsid w:val="5C124246"/>
    <w:rsid w:val="5C3A65E4"/>
    <w:rsid w:val="5CD70CB9"/>
    <w:rsid w:val="601D554D"/>
    <w:rsid w:val="623E6F65"/>
    <w:rsid w:val="63640C4D"/>
    <w:rsid w:val="64502F80"/>
    <w:rsid w:val="64780FFD"/>
    <w:rsid w:val="6643192A"/>
    <w:rsid w:val="668E696F"/>
    <w:rsid w:val="671C763C"/>
    <w:rsid w:val="67F2781B"/>
    <w:rsid w:val="689B6B29"/>
    <w:rsid w:val="68EA6F78"/>
    <w:rsid w:val="6AB9362D"/>
    <w:rsid w:val="6E155510"/>
    <w:rsid w:val="6E1E7E79"/>
    <w:rsid w:val="6E6C3E5F"/>
    <w:rsid w:val="70170EF3"/>
    <w:rsid w:val="70871AD7"/>
    <w:rsid w:val="72736DDD"/>
    <w:rsid w:val="735C4507"/>
    <w:rsid w:val="75A60E6F"/>
    <w:rsid w:val="761A419F"/>
    <w:rsid w:val="7674170D"/>
    <w:rsid w:val="78A85F47"/>
    <w:rsid w:val="78D02948"/>
    <w:rsid w:val="7BA67354"/>
    <w:rsid w:val="7BBB61AE"/>
    <w:rsid w:val="7BEC1388"/>
    <w:rsid w:val="7C1F22E2"/>
    <w:rsid w:val="7C920B4B"/>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character" w:customStyle="1" w:styleId="10">
    <w:name w:val="font11"/>
    <w:basedOn w:val="5"/>
    <w:qFormat/>
    <w:uiPriority w:val="0"/>
    <w:rPr>
      <w:rFonts w:hint="eastAsia" w:ascii="宋体" w:hAnsi="宋体" w:eastAsia="宋体" w:cs="宋体"/>
      <w:color w:val="000000"/>
      <w:sz w:val="18"/>
      <w:szCs w:val="18"/>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91"/>
    <w:basedOn w:val="5"/>
    <w:qFormat/>
    <w:uiPriority w:val="0"/>
    <w:rPr>
      <w:rFonts w:hint="eastAsia" w:ascii="宋体" w:hAnsi="宋体" w:eastAsia="宋体" w:cs="宋体"/>
      <w:color w:val="000000"/>
      <w:sz w:val="22"/>
      <w:szCs w:val="22"/>
      <w:u w:val="none"/>
    </w:rPr>
  </w:style>
  <w:style w:type="character" w:customStyle="1" w:styleId="13">
    <w:name w:val="font112"/>
    <w:basedOn w:val="5"/>
    <w:qFormat/>
    <w:uiPriority w:val="0"/>
    <w:rPr>
      <w:rFonts w:hint="eastAsia" w:ascii="宋体" w:hAnsi="宋体" w:eastAsia="宋体" w:cs="宋体"/>
      <w:color w:val="000000"/>
      <w:sz w:val="18"/>
      <w:szCs w:val="18"/>
      <w:u w:val="none"/>
    </w:rPr>
  </w:style>
  <w:style w:type="character" w:customStyle="1" w:styleId="14">
    <w:name w:val="font161"/>
    <w:basedOn w:val="5"/>
    <w:qFormat/>
    <w:uiPriority w:val="0"/>
    <w:rPr>
      <w:rFonts w:hint="eastAsia" w:ascii="宋体" w:hAnsi="宋体" w:eastAsia="宋体" w:cs="宋体"/>
      <w:color w:val="000000"/>
      <w:sz w:val="18"/>
      <w:szCs w:val="18"/>
      <w:u w:val="none"/>
    </w:rPr>
  </w:style>
  <w:style w:type="character" w:customStyle="1" w:styleId="15">
    <w:name w:val="font171"/>
    <w:basedOn w:val="5"/>
    <w:qFormat/>
    <w:uiPriority w:val="0"/>
    <w:rPr>
      <w:rFonts w:hint="default" w:ascii="Arial" w:hAnsi="Arial" w:cs="Arial"/>
      <w:color w:val="000000"/>
      <w:sz w:val="18"/>
      <w:szCs w:val="18"/>
      <w:u w:val="none"/>
    </w:rPr>
  </w:style>
  <w:style w:type="character" w:customStyle="1" w:styleId="16">
    <w:name w:val="font131"/>
    <w:basedOn w:val="5"/>
    <w:qFormat/>
    <w:uiPriority w:val="0"/>
    <w:rPr>
      <w:rFonts w:hint="eastAsia" w:ascii="宋体" w:hAnsi="宋体" w:eastAsia="宋体" w:cs="宋体"/>
      <w:color w:val="000000"/>
      <w:sz w:val="18"/>
      <w:szCs w:val="18"/>
      <w:u w:val="none"/>
    </w:rPr>
  </w:style>
  <w:style w:type="character" w:customStyle="1" w:styleId="17">
    <w:name w:val="font61"/>
    <w:basedOn w:val="5"/>
    <w:qFormat/>
    <w:uiPriority w:val="0"/>
    <w:rPr>
      <w:rFonts w:hint="default" w:ascii="Arial" w:hAnsi="Arial" w:cs="Arial"/>
      <w:color w:val="000000"/>
      <w:sz w:val="20"/>
      <w:szCs w:val="20"/>
      <w:u w:val="none"/>
    </w:rPr>
  </w:style>
  <w:style w:type="character" w:customStyle="1" w:styleId="18">
    <w:name w:val="font151"/>
    <w:basedOn w:val="5"/>
    <w:qFormat/>
    <w:uiPriority w:val="0"/>
    <w:rPr>
      <w:rFonts w:hint="eastAsia" w:ascii="宋体" w:hAnsi="宋体" w:eastAsia="宋体" w:cs="宋体"/>
      <w:color w:val="000000"/>
      <w:sz w:val="18"/>
      <w:szCs w:val="18"/>
      <w:u w:val="none"/>
    </w:rPr>
  </w:style>
  <w:style w:type="character" w:customStyle="1" w:styleId="19">
    <w:name w:val="font13"/>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eastAsia" w:ascii="宋体" w:hAnsi="宋体" w:eastAsia="宋体" w:cs="宋体"/>
      <w:color w:val="000000"/>
      <w:sz w:val="18"/>
      <w:szCs w:val="18"/>
      <w:u w:val="none"/>
    </w:rPr>
  </w:style>
  <w:style w:type="character" w:customStyle="1" w:styleId="21">
    <w:name w:val="font132"/>
    <w:basedOn w:val="5"/>
    <w:qFormat/>
    <w:uiPriority w:val="0"/>
    <w:rPr>
      <w:rFonts w:hint="eastAsia" w:ascii="宋体" w:hAnsi="宋体" w:eastAsia="宋体" w:cs="宋体"/>
      <w:color w:val="000000"/>
      <w:sz w:val="18"/>
      <w:szCs w:val="18"/>
      <w:u w:val="none"/>
    </w:rPr>
  </w:style>
  <w:style w:type="character" w:customStyle="1" w:styleId="22">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3">
    <w:name w:val="font31"/>
    <w:basedOn w:val="5"/>
    <w:qFormat/>
    <w:uiPriority w:val="0"/>
    <w:rPr>
      <w:rFonts w:hint="eastAsia" w:ascii="宋体" w:hAnsi="宋体" w:eastAsia="宋体" w:cs="宋体"/>
      <w:color w:val="000000"/>
      <w:sz w:val="18"/>
      <w:szCs w:val="18"/>
      <w:u w:val="none"/>
    </w:rPr>
  </w:style>
  <w:style w:type="character" w:customStyle="1" w:styleId="24">
    <w:name w:val="font101"/>
    <w:basedOn w:val="5"/>
    <w:qFormat/>
    <w:uiPriority w:val="0"/>
    <w:rPr>
      <w:rFonts w:hint="eastAsia" w:ascii="宋体" w:hAnsi="宋体" w:eastAsia="宋体" w:cs="宋体"/>
      <w:color w:val="000000"/>
      <w:sz w:val="18"/>
      <w:szCs w:val="18"/>
      <w:u w:val="none"/>
    </w:rPr>
  </w:style>
  <w:style w:type="character" w:customStyle="1" w:styleId="25">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3242</Words>
  <Characters>3475</Characters>
  <Lines>45</Lines>
  <Paragraphs>12</Paragraphs>
  <TotalTime>0</TotalTime>
  <ScaleCrop>false</ScaleCrop>
  <LinksUpToDate>false</LinksUpToDate>
  <CharactersWithSpaces>3478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2023-12-01T02:06:31Z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