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center"/>
        <w:rPr>
          <w:rFonts w:ascii="方正小标宋_GBK" w:eastAsia="方正小标宋_GBK"/>
          <w:sz w:val="44"/>
          <w:szCs w:val="44"/>
        </w:rPr>
      </w:pPr>
      <w:r>
        <w:rPr>
          <w:rFonts w:hint="eastAsia" w:ascii="方正小标宋_GBK" w:eastAsia="方正小标宋_GBK"/>
          <w:sz w:val="44"/>
          <w:szCs w:val="44"/>
        </w:rPr>
        <w:t>重庆市云阳县规划和自然资源局</w:t>
      </w:r>
    </w:p>
    <w:p>
      <w:pPr>
        <w:spacing w:line="720" w:lineRule="exact"/>
        <w:jc w:val="center"/>
        <w:rPr>
          <w:rFonts w:ascii="方正小标宋_GBK" w:eastAsia="方正小标宋_GBK"/>
          <w:sz w:val="44"/>
          <w:szCs w:val="44"/>
        </w:rPr>
      </w:pPr>
      <w:r>
        <w:rPr>
          <w:rFonts w:hint="eastAsia" w:ascii="方正小标宋_GBK" w:eastAsia="方正小标宋_GBK"/>
          <w:sz w:val="44"/>
          <w:szCs w:val="44"/>
        </w:rPr>
        <w:t>2021年度部门决算情况说明</w:t>
      </w:r>
    </w:p>
    <w:p>
      <w:pPr>
        <w:spacing w:line="720" w:lineRule="exact"/>
        <w:jc w:val="center"/>
        <w:rPr>
          <w:rFonts w:ascii="方正小标宋_GBK" w:eastAsia="方正小标宋_GBK"/>
          <w:sz w:val="44"/>
          <w:szCs w:val="44"/>
        </w:rPr>
      </w:pPr>
    </w:p>
    <w:p>
      <w:pPr>
        <w:spacing w:line="578" w:lineRule="exact"/>
        <w:ind w:firstLine="640" w:firstLineChars="200"/>
        <w:rPr>
          <w:rFonts w:ascii="方正黑体_GBK" w:eastAsia="方正黑体_GBK"/>
          <w:sz w:val="32"/>
          <w:szCs w:val="32"/>
        </w:rPr>
      </w:pPr>
      <w:r>
        <w:rPr>
          <w:rFonts w:hint="eastAsia" w:ascii="方正黑体_GBK" w:eastAsia="方正黑体_GBK"/>
          <w:sz w:val="32"/>
          <w:szCs w:val="32"/>
        </w:rPr>
        <w:t>一、部门基本情况</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（一）职能职责</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本部门是县政府工作部门，为正科级。本部门贯彻落实党中央、国务院和市委、市政府关于规划和自然资源工作的方针政策、决策部署，贯彻执行县委、县政府的工作部署，在履行职责过程中坚持和加强党对规划和自然资源工作的集中统一领导。主要职责是: 履行全民所有土地、矿产、森林、草原、湿地、水等自然资源资产所有者职责和所有国土空间用途管制职责；负责自然资源调查监测评价；负责自然资源统一确权登记工作；负责自然资源资产有偿使用工作；负责自然资源的合理开发利用；负责建立空间规划体系并监督实施； 建立健全国土空间用途管制制度；负责自然资源文化的挖掘、研究、保护和利用工作；负责统筹国土空间生态修复；负责组织实施耕地保护制度；负责管理地质勘查行业和地质工作；负责落实综合防灾减灾规划相关要求，组织编制全县地质灾害防治规划和防护标准并指导实施；负责矿产资源管理工作；负责测绘地理信息管理工作；促进空间规划和自然资源领域科技发展；承担全县自然资源和空间规划管理、测绘管理的综合执法工作；承担云阳县规划委员会的日常工作，履行县规划委员会办公室的工作职责等。</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（二）机构设置</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本部门共设13个内设机构，主要包括：</w:t>
      </w:r>
      <w:r>
        <w:rPr>
          <w:rFonts w:ascii="方正仿宋_GBK" w:eastAsia="方正仿宋_GBK"/>
          <w:sz w:val="32"/>
          <w:szCs w:val="32"/>
        </w:rPr>
        <w:t>本部门共设13个内设机构：主要包括办公室（党建办）、政策法规科（信访办）、调查登记科（测绘信息科）、权益利用科、用途管制科、空间规划科、村镇规划科、工程规划科、耕保修复科、地质矿产科（安全监管科）、行政审批科、财务审计科和组织人事科</w:t>
      </w:r>
      <w:r>
        <w:rPr>
          <w:rFonts w:hint="eastAsia" w:ascii="方正仿宋_GBK" w:eastAsia="方正仿宋_GBK"/>
          <w:sz w:val="32"/>
          <w:szCs w:val="32"/>
        </w:rPr>
        <w:t>。</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（三）单位构成</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从预算单位构成看，纳入本部门2021年度决算编制的二级预算单位主要包括云阳县规划和自然资源局（本级）、云阳县规划和自然资源综合行政执法支队、云阳县土地征收事务中心、云阳县农村土地整治中心、云阳县地质环境监测站（云阳县地质灾害防治中心）、云阳县不动产登记中心、云阳县土地储备整治中心、云阳县规划和自然资源信息中心以及双江、江口、南溪、凤鸣等11个片区国土所等。</w:t>
      </w:r>
    </w:p>
    <w:p>
      <w:pPr>
        <w:spacing w:line="578" w:lineRule="exact"/>
        <w:ind w:firstLine="640" w:firstLineChars="200"/>
        <w:rPr>
          <w:rFonts w:ascii="方正黑体_GBK" w:eastAsia="方正黑体_GBK"/>
          <w:sz w:val="32"/>
          <w:szCs w:val="32"/>
        </w:rPr>
      </w:pPr>
      <w:r>
        <w:rPr>
          <w:rFonts w:hint="eastAsia" w:ascii="方正黑体_GBK" w:eastAsia="方正黑体_GBK"/>
          <w:sz w:val="32"/>
          <w:szCs w:val="32"/>
        </w:rPr>
        <w:t>二、部门决算情况说明</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（一）收入支出决算总体情况说明</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1.总体情况。2021年度收入总计20,033.15万元，支出总计20,033.15万元。收支较上年决算数减少18,467.64万元、下降48%，主要原因是财政拨款收入减少。</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2.收入情况。2021年度收入合计16,019.36万元，较上年决算数减少20,167.20万元，下降55.7%，主要原因是2021年收储土地项目整治成本费用减少。其中：财政拨款收入16,019.37万元，占100%。此外，年初结转和结余4,013.79万元。</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3.支出情况。2021年度支出合计20,033.15万元，较上年决算数减少11,037.92万元，下降35.5%，主要原因是2021年收储土地项目整治成本费用减少。其中：基本支出4,781.85万元，占23.9%；项目支出15,251.30万元，占76.1%。</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4.结转结余情况。2021年度年末结转和结余0.00万元，较上年决算数减少7,429.73万元，下降100%，主要原因是财政改革将未使用完资金全部收回。</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（二）财政拨款收入支出决算总体情况说明</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2021年度财政拨款收、支总计20,033.15万元。与2020年相比，财政拨款收、支总计各减少18,467.64万元，下降48%。主要原因是2021年收储土地项目整治成本费用减少。</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（三）一般公共预算财政拨款支出决算情况说明</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1.收入情况。2021年度一般公共预算财政拨款收入5,781.58万元，较上年决算数减少5,909.31万元，下降50.5%。主要原因是财政改革将未使用完资金全部收回。较年初预算数减少1,695.56万元，下降22.7%。主要原因是财政改革将未使用完资金全部收回。此外，年初财政拨款结转和结余3,236.14万元。</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2.支出情况。2021年度一般公共预算财政拨款支出9,017.72万元，较上年决算数减少626.78万元，下降6.5%。较年初预算数减少2,136.70万元，下降19.2%。主要原因是财政改革将未使用完资金全部收回。</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3.结转结余情况。2021年度年末一般公共预算财政拨款结转和结余0.00万元，较上年决算数减少3,677.28万元，下降100%，财政改革将未使用完资金全部收回。</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 xml:space="preserve">4.比较情况。本部门2021年度一般公共预算财政拨款支出主要用于以下几个方面： </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（1）社会保障与就业支出501.66万元，占5.6%，较年初预算数增加76.64万元，增长18%，主要原因是人员增加及增资后养老保险和职业年金缴费增加和退休人员增加后相关支出增加。</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（2）卫生健康支出188.54万元，占2.1%，较年初预算数增加2.58万元，增长1.4%，主要原因是人员增加及增资后导致卫生健康支出增加。</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（4）自然资源海洋气象等支出4,411.25万元，占48.9%，较年初预算数减少259.90万元，下降5.6%，主要原因是财政改革将未使用完资金全部收回。</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（5）住房保障支出182.39万元，占2%，较年初预算数增加4.11万元，增长2.3%，主要原因是人员住房公积金基数调高。</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（6）灾害防治及应急管理支出3,733.87万元，占41.4%，较年初预算数减少1,960.13万元，下降34.4%，主要原因是财政改革将未使用完资金全部收回。</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（四）一般公共预算财政拨款基本支出决算情况说明</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 xml:space="preserve"> 2021年度一般公共财政拨款基本支出4,781.85万元。其中：人员经费3,854.52万元，较上年决算数增加105.20万元，增长2.8%，主要原因是人员变动导致人员经费增加。人员经费用途主要包括在职人员的基本工资、绩效工资、养老保险缴费、职业年金缴费、住房公积金等和退休人员的健康休养费等。公用经费927.34万元，较上年决算数增加70.56万元，增长8.2%，主要原因是人员增加致使公用经费增加。公用经费用途主要包括办公费、差旅费、劳务费、通信费、水费、电费、物业管理费、公务接待费、公车运行费等。</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（五）政府性基金预算收支决算情况说明</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2021年度政府性基金预算财政拨款年初结转结余777.65万元，年末结转结余0.00万元。本年收入10,237.79万元，较上年决算数减少14,257.88万元，下降58.2%，主要原因是2021年收储土地项目整治成本费用减少。本年支出11,015.44万元，较上年决算数减少10,411.13万元，下降48.6%，主要原因是2021年收储土地项目整治成本费用减少。</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（六）国有资本经营预算财政拨款支出决算情况说明</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本部门2021年度无国有资本经营预算财政拨款支出。</w:t>
      </w:r>
    </w:p>
    <w:p>
      <w:pPr>
        <w:spacing w:line="578" w:lineRule="exact"/>
        <w:ind w:firstLine="640" w:firstLineChars="200"/>
        <w:rPr>
          <w:rFonts w:ascii="方正黑体_GBK" w:eastAsia="方正黑体_GBK"/>
          <w:sz w:val="32"/>
          <w:szCs w:val="32"/>
        </w:rPr>
      </w:pPr>
      <w:r>
        <w:rPr>
          <w:rFonts w:hint="eastAsia" w:ascii="方正黑体_GBK" w:eastAsia="方正黑体_GBK"/>
          <w:sz w:val="32"/>
          <w:szCs w:val="32"/>
        </w:rPr>
        <w:t>三、“三公”经费情况说明</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（一）“三公”经费支出总体情况说明</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2021年度“三公”经费支出共计27.68万元，较年初预算数减少15.12万元，下降35.3%；较上年支出数减少2.80万元，下降9.2%，主要原因是认真贯彻落实中央八项规定精神，从严控制“三公”经费，费用有所减少。</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（二）“三公”经费分项支出情况</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2021年度本部门因公出国（境）费用0万元，本单位2021年度未发生因公出国（境）支出。费用支出较年初预算数增加0万元，增长0.0%，与上年持平。</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公务车购置费0万元，本单位2021年度未发生公务车购置费。费用支出较年初预算数增加0万元，增长0.0%，与上年持平。较上年支出数增加0万元，增长0.0%，与上年持平。</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公务车运行维护费18.64万元，主要用于市内因公出行等工作所需车辆的燃料费、维修费、过路费、保险费等。费用支出较年初预算数减少2.86万元，下降13.3%，主要原因是认真贯彻落实中央八项规定精神，较上年支出数减少2.77万元，下降12.9%，</w:t>
      </w:r>
      <w:bookmarkStart w:id="0" w:name="_GoBack"/>
      <w:bookmarkEnd w:id="0"/>
      <w:r>
        <w:rPr>
          <w:rFonts w:hint="eastAsia" w:ascii="方正仿宋_GBK" w:eastAsia="方正仿宋_GBK"/>
          <w:sz w:val="32"/>
          <w:szCs w:val="32"/>
        </w:rPr>
        <w:t>主要原因是从严控制“三公”经费，费用有所减少。</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公务接待费9.04万元，主要用于接待市局及区县单位到我单位学习调研指导交流工作，接受相关部门检查指导工作发生的接待支出等 。费用支出较年初预算数减少12.26万元，下降57.6%，主要原因是严格执行中央八项规定，厉行节约，公务接待严格按照相关标准进行安排。较上年支出数减少0.03万元，下降0.3%，主要原因是公务接待次数较上年有所减少、接待人次也有下降。</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（三）“三公”经费实物量情况</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2021年度本部门因公出国（境）共计0个团组，0人；公务用车购置0辆，公务车保有量为8辆；国内公务接待103批次692人，其中：国内外事接待0批次，0人；国（境）外公务接待0批次，0人。21年本部门人均接待费130.66元，车均购置费0.00万元，车均维护费2.33万元。</w:t>
      </w:r>
    </w:p>
    <w:p>
      <w:pPr>
        <w:spacing w:line="578" w:lineRule="exact"/>
        <w:ind w:firstLine="640" w:firstLineChars="200"/>
        <w:rPr>
          <w:rFonts w:ascii="方正黑体_GBK" w:eastAsia="方正黑体_GBK"/>
          <w:sz w:val="32"/>
          <w:szCs w:val="32"/>
        </w:rPr>
      </w:pPr>
      <w:r>
        <w:rPr>
          <w:rFonts w:hint="eastAsia" w:ascii="方正黑体_GBK" w:eastAsia="方正黑体_GBK"/>
          <w:sz w:val="32"/>
          <w:szCs w:val="32"/>
        </w:rPr>
        <w:t>四、其他需要说明的事项</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（一）机关运行经费情况说明</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2021年度本部门机关运行经费支出630.26万元，机关运行经费主要用于开支办公费、公务车运行维护费、差旅费、通信费、劳务费等。机关运行经费较上年决算数增加20.41万元，增长3.3%，主要原因是运行成本及人员增加。</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本年度会议费支出0.77万元，较上年决算数减少0.47万元，下降37.9%，主要原因是会议较上年有所减少。本年度培训费支出1.57万元，较上年决算数增加1.25万元，增长390.6%，主要原因是本年度人员培训场次增加。</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（二）国有资产占用情况说明</w:t>
      </w:r>
    </w:p>
    <w:p>
      <w:pPr>
        <w:spacing w:line="578" w:lineRule="exact"/>
        <w:ind w:firstLine="640" w:firstLineChars="200"/>
        <w:rPr>
          <w:rFonts w:ascii="方正仿宋_GBK" w:eastAsia="方正仿宋_GBK"/>
          <w:sz w:val="32"/>
          <w:szCs w:val="32"/>
        </w:rPr>
      </w:pPr>
      <w:r>
        <w:rPr>
          <w:rFonts w:ascii="方正仿宋_GBK" w:eastAsia="方正仿宋_GBK"/>
          <w:sz w:val="32"/>
          <w:szCs w:val="32"/>
        </w:rPr>
        <w:t>截至2021年12月31日，本部门共有车辆8辆，其中，副部（省）级及以上领导用车0辆、主要领导干部用车0辆、机要通信用车1辆、应急保障用车3辆、执法执勤用车1辆，特种专业技术用车0辆，离退休干部用车0辆，其他用车3辆。</w:t>
      </w:r>
      <w:r>
        <w:rPr>
          <w:rFonts w:hint="eastAsia" w:ascii="方正仿宋_GBK" w:eastAsia="方正仿宋_GBK"/>
          <w:sz w:val="32"/>
          <w:szCs w:val="32"/>
        </w:rPr>
        <w:t>单价50万元（含）以上通用设备0台（套），单价100万元（含）以上专用设备0台（套）。</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（三）政府采购支出情况说明</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2021年度本部门政府采购支出总额4,351.25万元，其中：政府采购货物支出 1.11万元、政府采购工程支出400.00万元、政府采购服务支出3,950.14万元。授予中小企业合同金额3,331.75万元，占政府采购支出总额的76.6%，其中：授予小微企业合同金额334.50万元，占政府采购支出总额的7.7%。</w:t>
      </w:r>
    </w:p>
    <w:p>
      <w:pPr>
        <w:spacing w:line="578" w:lineRule="exact"/>
        <w:ind w:firstLine="640" w:firstLineChars="200"/>
        <w:rPr>
          <w:rFonts w:ascii="方正黑体_GBK" w:eastAsia="方正黑体_GBK"/>
          <w:sz w:val="32"/>
          <w:szCs w:val="32"/>
        </w:rPr>
      </w:pPr>
      <w:r>
        <w:rPr>
          <w:rFonts w:hint="eastAsia" w:ascii="方正黑体_GBK" w:eastAsia="方正黑体_GBK"/>
          <w:sz w:val="32"/>
          <w:szCs w:val="32"/>
        </w:rPr>
        <w:t>五、预算绩效管理情况说明</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(一）预算绩效管理工作开展情况</w:t>
      </w:r>
    </w:p>
    <w:p>
      <w:pPr>
        <w:spacing w:line="578" w:lineRule="exact"/>
        <w:ind w:firstLine="640" w:firstLineChars="200"/>
        <w:rPr>
          <w:rFonts w:ascii="方正仿宋_GBK" w:eastAsia="方正仿宋_GBK"/>
          <w:color w:val="000000" w:themeColor="text1"/>
          <w:sz w:val="32"/>
          <w:szCs w:val="32"/>
        </w:rPr>
      </w:pPr>
      <w:r>
        <w:rPr>
          <w:rFonts w:hint="eastAsia" w:ascii="方正仿宋_GBK" w:eastAsia="方正仿宋_GBK"/>
          <w:color w:val="000000" w:themeColor="text1"/>
          <w:sz w:val="32"/>
          <w:szCs w:val="32"/>
        </w:rPr>
        <w:t>根据预算绩效管理要求，</w:t>
      </w:r>
      <w:r>
        <w:rPr>
          <w:rFonts w:hint="eastAsia" w:ascii="方正仿宋_GBK" w:hAnsi="宋体" w:eastAsia="方正仿宋_GBK" w:cs="宋体"/>
          <w:kern w:val="0"/>
          <w:sz w:val="32"/>
          <w:szCs w:val="32"/>
        </w:rPr>
        <w:t>部门整体绩效和</w:t>
      </w:r>
      <w:r>
        <w:rPr>
          <w:rFonts w:hint="eastAsia" w:ascii="方正仿宋_GBK" w:hAnsi="宋体" w:eastAsia="方正仿宋_GBK" w:cs="宋体"/>
          <w:kern w:val="0"/>
          <w:sz w:val="32"/>
          <w:szCs w:val="32"/>
          <w:lang w:val="en-US" w:eastAsia="zh-CN"/>
        </w:rPr>
        <w:t>1</w:t>
      </w:r>
      <w:r>
        <w:rPr>
          <w:rFonts w:hint="eastAsia" w:ascii="方正仿宋_GBK" w:hAnsi="宋体" w:eastAsia="方正仿宋_GBK" w:cs="宋体"/>
          <w:kern w:val="0"/>
          <w:sz w:val="32"/>
          <w:szCs w:val="32"/>
        </w:rPr>
        <w:t>个项目开展了绩效自评</w:t>
      </w:r>
      <w:r>
        <w:rPr>
          <w:rFonts w:hint="eastAsia" w:ascii="方正仿宋_GBK" w:eastAsia="方正仿宋_GBK"/>
          <w:color w:val="000000" w:themeColor="text1"/>
          <w:sz w:val="32"/>
          <w:szCs w:val="32"/>
        </w:rPr>
        <w:t>，涉及资金</w:t>
      </w:r>
      <w:r>
        <w:rPr>
          <w:rFonts w:hint="eastAsia" w:ascii="方正仿宋_GBK" w:eastAsia="方正仿宋_GBK"/>
          <w:color w:val="000000" w:themeColor="text1"/>
          <w:sz w:val="32"/>
          <w:szCs w:val="32"/>
          <w:lang w:val="en-US" w:eastAsia="zh-CN"/>
        </w:rPr>
        <w:t>16019.36万元。</w:t>
      </w:r>
      <w:r>
        <w:rPr>
          <w:rFonts w:hint="eastAsia" w:ascii="方正仿宋_GBK" w:eastAsia="方正仿宋_GBK"/>
          <w:color w:val="000000" w:themeColor="text1"/>
          <w:sz w:val="32"/>
          <w:szCs w:val="32"/>
        </w:rPr>
        <w:t>其中，</w:t>
      </w:r>
      <w:r>
        <w:rPr>
          <w:rFonts w:hint="eastAsia" w:ascii="方正仿宋_GBK" w:eastAsia="方正仿宋_GBK"/>
          <w:color w:val="000000" w:themeColor="text1"/>
          <w:sz w:val="32"/>
          <w:szCs w:val="32"/>
          <w:lang w:val="en-US" w:eastAsia="zh-CN"/>
        </w:rPr>
        <w:t>项目</w:t>
      </w:r>
      <w:r>
        <w:rPr>
          <w:rFonts w:hint="eastAsia" w:ascii="方正仿宋_GBK" w:eastAsia="方正仿宋_GBK"/>
          <w:color w:val="000000" w:themeColor="text1"/>
          <w:sz w:val="32"/>
          <w:szCs w:val="32"/>
        </w:rPr>
        <w:t>中农智慧冷链物流港项目耕地开垦费以填报目标自评表形式开展自评6项，涉及资金</w:t>
      </w:r>
      <w:r>
        <w:rPr>
          <w:rFonts w:hint="eastAsia" w:ascii="方正仿宋_GBK" w:eastAsia="方正仿宋_GBK"/>
          <w:color w:val="000000" w:themeColor="text1"/>
          <w:sz w:val="32"/>
          <w:szCs w:val="32"/>
          <w:lang w:val="en-US" w:eastAsia="zh-CN"/>
        </w:rPr>
        <w:t>407.67</w:t>
      </w:r>
      <w:r>
        <w:rPr>
          <w:rFonts w:hint="eastAsia" w:ascii="方正仿宋_GBK" w:eastAsia="方正仿宋_GBK"/>
          <w:color w:val="000000" w:themeColor="text1"/>
          <w:sz w:val="32"/>
          <w:szCs w:val="32"/>
        </w:rPr>
        <w:t>万元</w:t>
      </w:r>
      <w:r>
        <w:rPr>
          <w:rFonts w:hint="eastAsia" w:ascii="方正仿宋_GBK" w:eastAsia="方正仿宋_GBK"/>
          <w:color w:val="000000" w:themeColor="text1"/>
          <w:sz w:val="32"/>
          <w:szCs w:val="32"/>
          <w:lang w:eastAsia="zh-CN"/>
        </w:rPr>
        <w:t>，</w:t>
      </w:r>
      <w:r>
        <w:rPr>
          <w:rFonts w:hint="eastAsia" w:ascii="方正仿宋_GBK" w:eastAsia="方正仿宋_GBK"/>
          <w:color w:val="000000" w:themeColor="text1"/>
          <w:sz w:val="32"/>
          <w:szCs w:val="32"/>
        </w:rPr>
        <w:t>完成中农智慧冷链物流港项目耕地开垦项目。</w:t>
      </w:r>
    </w:p>
    <w:p>
      <w:pPr>
        <w:numPr>
          <w:ilvl w:val="0"/>
          <w:numId w:val="1"/>
        </w:numPr>
        <w:spacing w:line="578" w:lineRule="exact"/>
        <w:ind w:left="200" w:leftChars="0" w:firstLine="640" w:firstLineChars="0"/>
        <w:rPr>
          <w:rFonts w:hint="eastAsia" w:ascii="方正楷体_GBK" w:eastAsia="方正楷体_GBK"/>
          <w:color w:val="000000" w:themeColor="text1"/>
          <w:sz w:val="32"/>
          <w:szCs w:val="32"/>
        </w:rPr>
      </w:pPr>
      <w:r>
        <w:rPr>
          <w:rFonts w:hint="eastAsia" w:ascii="方正楷体_GBK" w:eastAsia="方正楷体_GBK"/>
          <w:color w:val="000000" w:themeColor="text1"/>
          <w:sz w:val="32"/>
          <w:szCs w:val="32"/>
        </w:rPr>
        <w:t>绩效自评结果</w:t>
      </w:r>
    </w:p>
    <w:p>
      <w:pPr>
        <w:spacing w:line="578" w:lineRule="exact"/>
        <w:ind w:firstLine="640" w:firstLineChars="200"/>
        <w:rPr>
          <w:rFonts w:hint="eastAsia" w:ascii="方正楷体_GBK" w:eastAsia="方正楷体_GBK"/>
          <w:color w:val="000000" w:themeColor="text1"/>
          <w:sz w:val="32"/>
          <w:szCs w:val="32"/>
        </w:rPr>
      </w:pPr>
      <w:r>
        <w:rPr>
          <w:rFonts w:hint="eastAsia" w:ascii="方正仿宋_GBK" w:eastAsia="方正仿宋_GBK"/>
          <w:sz w:val="32"/>
          <w:szCs w:val="32"/>
          <w:lang w:val="en-US" w:eastAsia="zh-CN"/>
        </w:rPr>
        <w:t>1整体目标自评表</w:t>
      </w:r>
    </w:p>
    <w:tbl>
      <w:tblPr>
        <w:tblStyle w:val="4"/>
        <w:tblpPr w:leftFromText="180" w:rightFromText="180" w:vertAnchor="text" w:horzAnchor="page" w:tblpX="1565" w:tblpY="884"/>
        <w:tblOverlap w:val="never"/>
        <w:tblW w:w="97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50"/>
        <w:gridCol w:w="1016"/>
        <w:gridCol w:w="1016"/>
        <w:gridCol w:w="191"/>
        <w:gridCol w:w="1608"/>
        <w:gridCol w:w="1261"/>
        <w:gridCol w:w="1261"/>
        <w:gridCol w:w="1067"/>
        <w:gridCol w:w="720"/>
        <w:gridCol w:w="8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9736" w:type="dxa"/>
            <w:gridSpan w:val="10"/>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40"/>
                <w:szCs w:val="40"/>
                <w:u w:val="none"/>
              </w:rPr>
            </w:pPr>
            <w:r>
              <w:rPr>
                <w:rFonts w:hint="eastAsia" w:ascii="方正小标宋_GBK" w:hAnsi="方正小标宋_GBK" w:eastAsia="方正小标宋_GBK" w:cs="方正小标宋_GBK"/>
                <w:i w:val="0"/>
                <w:iCs w:val="0"/>
                <w:color w:val="000000"/>
                <w:kern w:val="0"/>
                <w:sz w:val="40"/>
                <w:szCs w:val="40"/>
                <w:u w:val="none"/>
                <w:lang w:val="en-US" w:eastAsia="zh-CN" w:bidi="ar"/>
              </w:rPr>
              <w:t>云阳县2021年部门整体支出绩效自评表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17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单位名称（盖章）</w:t>
            </w:r>
          </w:p>
        </w:tc>
        <w:tc>
          <w:tcPr>
            <w:tcW w:w="797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云阳县规划和自然资源局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76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年度预算安排（万元）</w:t>
            </w:r>
          </w:p>
        </w:tc>
        <w:tc>
          <w:tcPr>
            <w:tcW w:w="12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年初预算数</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全年预算数</w:t>
            </w:r>
          </w:p>
        </w:tc>
        <w:tc>
          <w:tcPr>
            <w:tcW w:w="389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全年执行数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7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18"/>
                <w:szCs w:val="18"/>
                <w:u w:val="none"/>
              </w:rPr>
            </w:pPr>
          </w:p>
        </w:tc>
        <w:tc>
          <w:tcPr>
            <w:tcW w:w="12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年度资金总额</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9386.82</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16019.36</w:t>
            </w:r>
          </w:p>
        </w:tc>
        <w:tc>
          <w:tcPr>
            <w:tcW w:w="389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16019.36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7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18"/>
                <w:szCs w:val="18"/>
                <w:u w:val="none"/>
              </w:rPr>
            </w:pPr>
          </w:p>
        </w:tc>
        <w:tc>
          <w:tcPr>
            <w:tcW w:w="12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其中：基本支出</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3958.5</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4728.57</w:t>
            </w:r>
          </w:p>
        </w:tc>
        <w:tc>
          <w:tcPr>
            <w:tcW w:w="389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4728.57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7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18"/>
                <w:szCs w:val="18"/>
                <w:u w:val="none"/>
              </w:rPr>
            </w:pPr>
          </w:p>
        </w:tc>
        <w:tc>
          <w:tcPr>
            <w:tcW w:w="12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 xml:space="preserve">           项目支出</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5428.32</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11290.79</w:t>
            </w:r>
          </w:p>
        </w:tc>
        <w:tc>
          <w:tcPr>
            <w:tcW w:w="389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11290.79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年度总         体目标</w:t>
            </w:r>
          </w:p>
        </w:tc>
        <w:tc>
          <w:tcPr>
            <w:tcW w:w="509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预期目标</w:t>
            </w:r>
          </w:p>
        </w:tc>
        <w:tc>
          <w:tcPr>
            <w:tcW w:w="389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18"/>
                <w:szCs w:val="18"/>
                <w:u w:val="none"/>
              </w:rPr>
            </w:pPr>
          </w:p>
        </w:tc>
        <w:tc>
          <w:tcPr>
            <w:tcW w:w="509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2021</w:t>
            </w:r>
            <w:r>
              <w:rPr>
                <w:rFonts w:hint="eastAsia" w:ascii="宋体" w:hAnsi="宋体" w:eastAsia="宋体" w:cs="宋体"/>
                <w:i w:val="0"/>
                <w:iCs w:val="0"/>
                <w:color w:val="000000"/>
                <w:kern w:val="0"/>
                <w:sz w:val="18"/>
                <w:szCs w:val="18"/>
                <w:u w:val="none"/>
                <w:lang w:val="en-US" w:eastAsia="zh-CN" w:bidi="ar"/>
              </w:rPr>
              <w:t>年，全县规划自然资源工作，将紧扣</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双</w:t>
            </w:r>
            <w:r>
              <w:rPr>
                <w:rFonts w:hint="default" w:ascii="Times New Roman" w:hAnsi="Times New Roman" w:eastAsia="宋体" w:cs="Times New Roman"/>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双</w:t>
            </w:r>
            <w:r>
              <w:rPr>
                <w:rFonts w:hint="default" w:ascii="Times New Roman" w:hAnsi="Times New Roman" w:eastAsia="宋体" w:cs="Times New Roman"/>
                <w:i w:val="0"/>
                <w:iCs w:val="0"/>
                <w:color w:val="000000"/>
                <w:kern w:val="0"/>
                <w:sz w:val="18"/>
                <w:szCs w:val="18"/>
                <w:u w:val="none"/>
                <w:lang w:val="en-US" w:eastAsia="zh-CN" w:bidi="ar"/>
              </w:rPr>
              <w:t>1000”</w:t>
            </w:r>
            <w:r>
              <w:rPr>
                <w:rFonts w:hint="eastAsia" w:ascii="宋体" w:hAnsi="宋体" w:eastAsia="宋体" w:cs="宋体"/>
                <w:i w:val="0"/>
                <w:iCs w:val="0"/>
                <w:color w:val="000000"/>
                <w:kern w:val="0"/>
                <w:sz w:val="18"/>
                <w:szCs w:val="18"/>
                <w:u w:val="none"/>
                <w:lang w:val="en-US" w:eastAsia="zh-CN" w:bidi="ar"/>
              </w:rPr>
              <w:t>战略、</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五地一支撑</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目标，抓保障、强服务、促发展，深化七方面工作。深化国土空间规划管控；深化土地征转储备供应；深化资源调查监测登记；深化耕保生态修复治理；深化地质环境安全防控；深化综合执法监察监管；深化全面从严管党治党。</w:t>
            </w:r>
          </w:p>
        </w:tc>
        <w:tc>
          <w:tcPr>
            <w:tcW w:w="389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2021年，全县规划自然资源工作，将紧扣“双100双1000”战略、“五地一支撑”目标，抓保障、强服务、促发展，深化七方面工作。深化国土空间规划管控；深化土地征转储备供应；深化资源调查监测登记；深化耕保生态修复治理；深化地质环境安全防控；深化综合执法监察监管；深化全面从严管党治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绩效指标</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一级指标</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二级指标</w:t>
            </w:r>
          </w:p>
        </w:tc>
        <w:tc>
          <w:tcPr>
            <w:tcW w:w="179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三级指标</w:t>
            </w:r>
          </w:p>
        </w:tc>
        <w:tc>
          <w:tcPr>
            <w:tcW w:w="1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年度目标值</w:t>
            </w:r>
          </w:p>
        </w:tc>
        <w:tc>
          <w:tcPr>
            <w:tcW w:w="1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实际完成值</w:t>
            </w:r>
          </w:p>
        </w:tc>
        <w:tc>
          <w:tcPr>
            <w:tcW w:w="10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分值</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得分</w:t>
            </w:r>
          </w:p>
        </w:tc>
        <w:tc>
          <w:tcPr>
            <w:tcW w:w="8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18"/>
                <w:szCs w:val="18"/>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18"/>
                <w:szCs w:val="18"/>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18"/>
                <w:szCs w:val="18"/>
                <w:u w:val="none"/>
              </w:rPr>
            </w:pPr>
          </w:p>
        </w:tc>
        <w:tc>
          <w:tcPr>
            <w:tcW w:w="17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18"/>
                <w:szCs w:val="18"/>
                <w:u w:val="none"/>
              </w:rPr>
            </w:pPr>
          </w:p>
        </w:tc>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18"/>
                <w:szCs w:val="18"/>
                <w:u w:val="none"/>
              </w:rPr>
            </w:pPr>
          </w:p>
        </w:tc>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18"/>
                <w:szCs w:val="18"/>
                <w:u w:val="none"/>
              </w:rPr>
            </w:pPr>
          </w:p>
        </w:tc>
        <w:tc>
          <w:tcPr>
            <w:tcW w:w="10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18"/>
                <w:szCs w:val="18"/>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Unicode MS" w:hAnsi="Arial Unicode MS" w:eastAsia="Arial Unicode MS" w:cs="Arial Unicode MS"/>
                <w:i w:val="0"/>
                <w:iCs w:val="0"/>
                <w:color w:val="000000"/>
                <w:sz w:val="24"/>
                <w:szCs w:val="24"/>
                <w:u w:val="none"/>
              </w:rPr>
            </w:pPr>
            <w:r>
              <w:rPr>
                <w:rFonts w:hint="default" w:ascii="Arial Unicode MS" w:hAnsi="Arial Unicode MS" w:eastAsia="Arial Unicode MS" w:cs="Arial Unicode MS"/>
                <w:i w:val="0"/>
                <w:iCs w:val="0"/>
                <w:color w:val="000000"/>
                <w:kern w:val="0"/>
                <w:sz w:val="24"/>
                <w:szCs w:val="24"/>
                <w:u w:val="none"/>
                <w:lang w:val="en-US" w:eastAsia="zh-CN" w:bidi="ar"/>
              </w:rPr>
              <w:t>年度绩效指标</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一级指标</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二级指标</w:t>
            </w:r>
          </w:p>
        </w:tc>
        <w:tc>
          <w:tcPr>
            <w:tcW w:w="179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三级指标</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18"/>
                <w:szCs w:val="18"/>
                <w:u w:val="none"/>
              </w:rPr>
            </w:pPr>
          </w:p>
        </w:tc>
        <w:tc>
          <w:tcPr>
            <w:tcW w:w="1261"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18"/>
                <w:szCs w:val="18"/>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016"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Arial Unicode MS" w:hAnsi="Arial Unicode MS" w:eastAsia="Arial Unicode MS" w:cs="Arial Unicode MS"/>
                <w:i w:val="0"/>
                <w:iCs w:val="0"/>
                <w:color w:val="000000"/>
                <w:sz w:val="24"/>
                <w:szCs w:val="24"/>
                <w:u w:val="none"/>
              </w:rPr>
            </w:pPr>
            <w:r>
              <w:rPr>
                <w:rFonts w:hint="default" w:ascii="Arial Unicode MS" w:hAnsi="Arial Unicode MS" w:eastAsia="Arial Unicode MS" w:cs="Arial Unicode MS"/>
                <w:i w:val="0"/>
                <w:iCs w:val="0"/>
                <w:color w:val="000000"/>
                <w:kern w:val="0"/>
                <w:sz w:val="24"/>
                <w:szCs w:val="24"/>
                <w:u w:val="none"/>
                <w:lang w:val="en-US" w:eastAsia="zh-CN" w:bidi="ar"/>
              </w:rPr>
              <w:t>产出指标</w:t>
            </w:r>
          </w:p>
        </w:tc>
        <w:tc>
          <w:tcPr>
            <w:tcW w:w="1016"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Arial Unicode MS" w:hAnsi="Arial Unicode MS" w:eastAsia="Arial Unicode MS" w:cs="Arial Unicode MS"/>
                <w:i w:val="0"/>
                <w:iCs w:val="0"/>
                <w:color w:val="000000"/>
                <w:sz w:val="24"/>
                <w:szCs w:val="24"/>
                <w:u w:val="none"/>
              </w:rPr>
            </w:pPr>
            <w:r>
              <w:rPr>
                <w:rFonts w:hint="default" w:ascii="Arial Unicode MS" w:hAnsi="Arial Unicode MS" w:eastAsia="Arial Unicode MS" w:cs="Arial Unicode MS"/>
                <w:i w:val="0"/>
                <w:iCs w:val="0"/>
                <w:color w:val="000000"/>
                <w:kern w:val="0"/>
                <w:sz w:val="24"/>
                <w:szCs w:val="24"/>
                <w:u w:val="none"/>
                <w:lang w:val="en-US" w:eastAsia="zh-CN" w:bidi="ar"/>
              </w:rPr>
              <w:t>数量指标</w:t>
            </w:r>
          </w:p>
        </w:tc>
        <w:tc>
          <w:tcPr>
            <w:tcW w:w="17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指标1：保障机关、事业单位运转（≥**个）</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2</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2</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01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01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7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指标2：办理不动产登记、抵押登记件数</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≧38000件</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40226件</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2</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2</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01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01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7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指标3：新增耕地指标</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≧2625亩</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3200亩</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2</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2</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01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01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7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指标4：云阳县城镇土地级别及基准地价更新（≥**个）</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2</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2</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01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01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7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指标5：云阳县城乡标定地价体系建设（≥**个）</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2</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2</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01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01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7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指标6：云阳县城乡集体建设用地基准地价（≥**个）</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2</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2</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01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01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7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指标7：云阳县农用地基准地价（≥**个）</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2</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2</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01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01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7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180" w:afterAutospacing="0"/>
              <w:jc w:val="left"/>
              <w:textAlignment w:val="center"/>
              <w:rPr>
                <w:rFonts w:hint="eastAsia" w:ascii="宋体" w:hAnsi="宋体" w:eastAsia="宋体" w:cs="宋体"/>
                <w:i w:val="0"/>
                <w:iCs w:val="0"/>
                <w:color w:val="000000"/>
                <w:sz w:val="18"/>
                <w:szCs w:val="18"/>
                <w:u w:val="none"/>
              </w:rPr>
            </w:pPr>
            <w:r>
              <w:rPr>
                <w:rStyle w:val="23"/>
                <w:lang w:val="en-US" w:eastAsia="zh-CN" w:bidi="ar"/>
              </w:rPr>
              <w:t>指标8：全县国土空间规划（≥**个）</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2</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2</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01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01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7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23"/>
                <w:lang w:val="en-US" w:eastAsia="zh-CN" w:bidi="ar"/>
              </w:rPr>
              <w:t>指标9：农民合同工（≥*人）</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2</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2</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01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01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7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指标10：实施地灾治理项目（≥**个）</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2</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2</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01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01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7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指标11：监测地灾点的安全（≥**个）</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902</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933</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2</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2</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01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016"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Arial Unicode MS" w:hAnsi="Arial Unicode MS" w:eastAsia="Arial Unicode MS" w:cs="Arial Unicode MS"/>
                <w:i w:val="0"/>
                <w:iCs w:val="0"/>
                <w:color w:val="000000"/>
                <w:sz w:val="24"/>
                <w:szCs w:val="24"/>
                <w:u w:val="none"/>
              </w:rPr>
            </w:pPr>
            <w:r>
              <w:rPr>
                <w:rFonts w:hint="default" w:ascii="Arial Unicode MS" w:hAnsi="Arial Unicode MS" w:eastAsia="Arial Unicode MS" w:cs="Arial Unicode MS"/>
                <w:i w:val="0"/>
                <w:iCs w:val="0"/>
                <w:color w:val="000000"/>
                <w:kern w:val="0"/>
                <w:sz w:val="24"/>
                <w:szCs w:val="24"/>
                <w:u w:val="none"/>
                <w:lang w:val="en-US" w:eastAsia="zh-CN" w:bidi="ar"/>
              </w:rPr>
              <w:t>质量指标</w:t>
            </w:r>
          </w:p>
        </w:tc>
        <w:tc>
          <w:tcPr>
            <w:tcW w:w="17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指标1：机关、事业单位运转</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正常</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正常</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3.3</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3.3</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01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01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7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指标2：不动产登记登记准确度、发证准确度（%）</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3.3</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3.3</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01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01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7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指标3：新增耕地耕地质量等级   </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提升0.1</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提升0.1</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3.3</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3.3</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01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01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7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指标4：云阳县城镇土地级别及基准地价更新市局验收并备案</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通过</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通过</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3.3</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3.3</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01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01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7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指标5：云阳县城乡标定地价体系建设市局验收并备案</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通过</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通过</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3.3</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3.3</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01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01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7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指标6：云阳县城乡集体建设用地基准地价市局验收并备案</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通过</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通过</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3.3</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3.3</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01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01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7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指标8：云阳县农用地基准地价市局验收并备案</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通过</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通过</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3.3</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3.3</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979"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01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01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7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180" w:afterAutospacing="0"/>
              <w:jc w:val="left"/>
              <w:textAlignment w:val="center"/>
              <w:rPr>
                <w:rFonts w:hint="eastAsia" w:ascii="宋体" w:hAnsi="宋体" w:eastAsia="宋体" w:cs="宋体"/>
                <w:i w:val="0"/>
                <w:iCs w:val="0"/>
                <w:color w:val="000000"/>
                <w:sz w:val="18"/>
                <w:szCs w:val="18"/>
                <w:u w:val="none"/>
              </w:rPr>
            </w:pPr>
            <w:r>
              <w:rPr>
                <w:rStyle w:val="23"/>
                <w:lang w:val="en-US" w:eastAsia="zh-CN" w:bidi="ar"/>
              </w:rPr>
              <w:t>指标9：全县国土空间规划符合《重庆市村规划编制审批办法（试行）》相关要求（≥**%）。</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3.3</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3.3</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01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01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7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指标9：地灾治理项目工程质量合格率</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3.3</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3.3</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01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01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7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w:t>
            </w:r>
            <w:r>
              <w:rPr>
                <w:rStyle w:val="24"/>
                <w:rFonts w:eastAsia="宋体"/>
                <w:lang w:val="en-US" w:eastAsia="zh-CN" w:bidi="ar"/>
              </w:rPr>
              <w:t>0</w:t>
            </w:r>
            <w:r>
              <w:rPr>
                <w:rFonts w:hint="eastAsia" w:ascii="宋体" w:hAnsi="宋体" w:eastAsia="宋体" w:cs="宋体"/>
                <w:i w:val="0"/>
                <w:iCs w:val="0"/>
                <w:color w:val="000000"/>
                <w:kern w:val="0"/>
                <w:sz w:val="18"/>
                <w:szCs w:val="18"/>
                <w:u w:val="none"/>
                <w:lang w:val="en-US" w:eastAsia="zh-CN" w:bidi="ar"/>
              </w:rPr>
              <w:t>：监测信息上报率。负责协助镇、村转移群众。</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3.3</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3.3</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016"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Arial Unicode MS" w:hAnsi="Arial Unicode MS" w:eastAsia="Arial Unicode MS" w:cs="Arial Unicode MS"/>
                <w:i w:val="0"/>
                <w:iCs w:val="0"/>
                <w:color w:val="000000"/>
                <w:sz w:val="24"/>
                <w:szCs w:val="24"/>
                <w:u w:val="none"/>
              </w:rPr>
            </w:pPr>
            <w:r>
              <w:rPr>
                <w:rFonts w:hint="default" w:ascii="Arial Unicode MS" w:hAnsi="Arial Unicode MS" w:eastAsia="Arial Unicode MS" w:cs="Arial Unicode MS"/>
                <w:i w:val="0"/>
                <w:iCs w:val="0"/>
                <w:color w:val="000000"/>
                <w:kern w:val="0"/>
                <w:sz w:val="24"/>
                <w:szCs w:val="24"/>
                <w:u w:val="none"/>
                <w:lang w:val="en-US" w:eastAsia="zh-CN" w:bidi="ar"/>
              </w:rPr>
              <w:t>效益指标</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Unicode MS" w:hAnsi="Arial Unicode MS" w:eastAsia="Arial Unicode MS" w:cs="Arial Unicode MS"/>
                <w:i w:val="0"/>
                <w:iCs w:val="0"/>
                <w:color w:val="000000"/>
                <w:sz w:val="24"/>
                <w:szCs w:val="24"/>
                <w:u w:val="none"/>
              </w:rPr>
            </w:pPr>
            <w:r>
              <w:rPr>
                <w:rFonts w:hint="default" w:ascii="Arial Unicode MS" w:hAnsi="Arial Unicode MS" w:eastAsia="Arial Unicode MS" w:cs="Arial Unicode MS"/>
                <w:i w:val="0"/>
                <w:iCs w:val="0"/>
                <w:color w:val="000000"/>
                <w:kern w:val="0"/>
                <w:sz w:val="24"/>
                <w:szCs w:val="24"/>
                <w:u w:val="none"/>
                <w:lang w:val="en-US" w:eastAsia="zh-CN" w:bidi="ar"/>
              </w:rPr>
              <w:t>经济效益</w:t>
            </w:r>
          </w:p>
        </w:tc>
        <w:tc>
          <w:tcPr>
            <w:tcW w:w="17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指标1：实现土地价款等非税收入（≥**亿元）</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≧13.97</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14.79亿元</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3</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3</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01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7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指标2：通过地灾防治后保护人民生命财产（≥**亿元）</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3</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3</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01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7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指标3：通过土地复垦地票交易增加农民收入（≥**万元）</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3</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3</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01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7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指标4：通过地灾防治、土地整理、土地收储等工程投入增加税收（≥**万元）</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3</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3</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99"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01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Unicode MS" w:hAnsi="Arial Unicode MS" w:eastAsia="Arial Unicode MS" w:cs="Arial Unicode MS"/>
                <w:i w:val="0"/>
                <w:iCs w:val="0"/>
                <w:color w:val="000000"/>
                <w:sz w:val="24"/>
                <w:szCs w:val="24"/>
                <w:u w:val="none"/>
              </w:rPr>
            </w:pPr>
            <w:r>
              <w:rPr>
                <w:rFonts w:hint="default" w:ascii="Arial Unicode MS" w:hAnsi="Arial Unicode MS" w:eastAsia="Arial Unicode MS" w:cs="Arial Unicode MS"/>
                <w:i w:val="0"/>
                <w:iCs w:val="0"/>
                <w:color w:val="000000"/>
                <w:kern w:val="0"/>
                <w:sz w:val="24"/>
                <w:szCs w:val="24"/>
                <w:u w:val="none"/>
                <w:lang w:val="en-US" w:eastAsia="zh-CN" w:bidi="ar"/>
              </w:rPr>
              <w:t>社会效益</w:t>
            </w:r>
          </w:p>
        </w:tc>
        <w:tc>
          <w:tcPr>
            <w:tcW w:w="17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指标1：提高土地、矿产资源管理，遏制乱达乱建，保护耕地减少，制止矿山非法开采（%）</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01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7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指标2：科学规划城市、镇乡、村的国土空间，指导城市建设（≥**%）。</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01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7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指标3：保护不动产权利人合法的财产权，保障不动产交易的安全（%）。</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01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7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指标4：发挥价格杠杆对生态环境保护和资源节约集约利用的引导作用</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02"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01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7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5：有效提升信息惠民程度。积极拥抱“互联网+”时代，采用移动互联、云技术、大数据等新一代信息技术，推行“互联网+”政务服务新模式，推行数据共享新机制，让广大城乡居民切身感受到信息技术带来的实惠和便捷（%）</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9"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01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7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指标6：土地管控、空间规划助推县域经济社会发展</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有效</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有效</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01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7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指标7：群策群防保障人民群众生命财产安全。</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有效</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有效</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01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7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指标8：建筑物信息调查为规划、决策、救援、消防、经济调查提供基础数据  </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及时</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及时</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01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7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指标9：为建设领域提供用地指标（≥</w:t>
            </w:r>
            <w:r>
              <w:rPr>
                <w:rStyle w:val="24"/>
                <w:rFonts w:eastAsia="宋体"/>
                <w:lang w:val="en-US" w:eastAsia="zh-CN" w:bidi="ar"/>
              </w:rPr>
              <w:t>**</w:t>
            </w:r>
            <w:r>
              <w:rPr>
                <w:rFonts w:hint="eastAsia" w:ascii="宋体" w:hAnsi="宋体" w:eastAsia="宋体" w:cs="宋体"/>
                <w:i w:val="0"/>
                <w:iCs w:val="0"/>
                <w:color w:val="000000"/>
                <w:kern w:val="0"/>
                <w:sz w:val="18"/>
                <w:szCs w:val="18"/>
                <w:u w:val="none"/>
                <w:lang w:val="en-US" w:eastAsia="zh-CN" w:bidi="ar"/>
              </w:rPr>
              <w:t>亩）</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2500</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2"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01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7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指标10：有效提升云阳县经济发展动力。激活沉淀资产，显化不动产价值（%）</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01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7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指标11：地灾治理受益人口数量（≥**人）</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3500</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01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016"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可持续影响指标</w:t>
            </w:r>
          </w:p>
        </w:tc>
        <w:tc>
          <w:tcPr>
            <w:tcW w:w="17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指标1：化解不动产登记、土地纠纷、土地征用等领域矛盾纠纷</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长期</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长期</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2</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2</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01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01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指标2：搞好国土空间规划，对县城、乡镇、村社发展持续影响  </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长期</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长期</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2</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2</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2"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01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01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指标3：促进房地产市场更加公平地交易，有利于中央宏观调控的实施， 彻查中国房产数量，有针对性地制定各项政策</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长期</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长期</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2</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2</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01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01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指标4：保护我县生态自然资源</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长期</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长期</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2</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2</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01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01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指标5：保护我县水土流失，提高生态质量。</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长期</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长期</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2</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2</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01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01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指标6：保护我县耕地红线</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长期</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长期</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2</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2</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Unicode MS" w:hAnsi="Arial Unicode MS" w:eastAsia="Arial Unicode MS" w:cs="Arial Unicode MS"/>
                <w:i w:val="0"/>
                <w:iCs w:val="0"/>
                <w:color w:val="000000"/>
                <w:sz w:val="24"/>
                <w:szCs w:val="24"/>
                <w:u w:val="none"/>
              </w:rPr>
            </w:pPr>
            <w:r>
              <w:rPr>
                <w:rFonts w:hint="default" w:ascii="Arial Unicode MS" w:hAnsi="Arial Unicode MS" w:eastAsia="Arial Unicode MS" w:cs="Arial Unicode MS"/>
                <w:i w:val="0"/>
                <w:iCs w:val="0"/>
                <w:color w:val="000000"/>
                <w:kern w:val="0"/>
                <w:sz w:val="24"/>
                <w:szCs w:val="24"/>
                <w:u w:val="none"/>
                <w:lang w:val="en-US" w:eastAsia="zh-CN" w:bidi="ar"/>
              </w:rPr>
              <w:t>满意度目标</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w:t>
            </w:r>
          </w:p>
        </w:tc>
        <w:tc>
          <w:tcPr>
            <w:tcW w:w="17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指标1：为社会提供高效、满意的服务型部门</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1.25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1.25</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指标2：为各级政府部门（发展改革、教育、财政、生态环境、住房城乡建设、城市管理、交通、水利、文化旅游、应急、气象）提供准确的地质灾害防治数据，助推县域经济社会发展。  </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1.25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1.25</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指标3：为房屋建筑控制提供指标  </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1.25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1.25</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9"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指标4：及时消除地灾隐患，保障群众正常生活秩序，保障群众生命财产安全，使人民群众对国家、政府政策的满意   </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r>
              <w:rPr>
                <w:rFonts w:hint="default" w:ascii="Arial" w:hAnsi="Arial" w:eastAsia="宋体" w:cs="Arial"/>
                <w:i w:val="0"/>
                <w:iCs w:val="0"/>
                <w:color w:val="000000"/>
                <w:kern w:val="0"/>
                <w:sz w:val="20"/>
                <w:szCs w:val="20"/>
                <w:u w:val="none"/>
                <w:lang w:val="en-US" w:eastAsia="zh-CN" w:bidi="ar"/>
              </w:rPr>
              <w:t>8</w:t>
            </w:r>
            <w:r>
              <w:rPr>
                <w:rFonts w:hint="eastAsia" w:ascii="宋体" w:hAnsi="宋体" w:eastAsia="宋体" w:cs="宋体"/>
                <w:i w:val="0"/>
                <w:iCs w:val="0"/>
                <w:color w:val="000000"/>
                <w:kern w:val="0"/>
                <w:sz w:val="22"/>
                <w:szCs w:val="22"/>
                <w:u w:val="none"/>
                <w:lang w:val="en-US" w:eastAsia="zh-CN" w:bidi="ar"/>
              </w:rPr>
              <w:t>%</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1.25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1.25</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指标5：通过矿产资源的出让为建筑提供可靠的资源  </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r>
              <w:rPr>
                <w:rFonts w:hint="default" w:ascii="Arial" w:hAnsi="Arial" w:eastAsia="宋体" w:cs="Arial"/>
                <w:i w:val="0"/>
                <w:iCs w:val="0"/>
                <w:color w:val="000000"/>
                <w:kern w:val="0"/>
                <w:sz w:val="20"/>
                <w:szCs w:val="20"/>
                <w:u w:val="none"/>
                <w:lang w:val="en-US" w:eastAsia="zh-CN" w:bidi="ar"/>
              </w:rPr>
              <w:t>8</w:t>
            </w:r>
            <w:r>
              <w:rPr>
                <w:rFonts w:hint="eastAsia" w:ascii="宋体" w:hAnsi="宋体" w:eastAsia="宋体" w:cs="宋体"/>
                <w:i w:val="0"/>
                <w:iCs w:val="0"/>
                <w:color w:val="000000"/>
                <w:kern w:val="0"/>
                <w:sz w:val="22"/>
                <w:szCs w:val="22"/>
                <w:u w:val="none"/>
                <w:lang w:val="en-US" w:eastAsia="zh-CN" w:bidi="ar"/>
              </w:rPr>
              <w:t>%</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1.25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1.25</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指标6：优化不动产登记办理流程，提高服务对象满意度（%）</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1.25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1.25</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指标7：永久基本农田核实整改，保障国家粮食安全和菜篮子工程。</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1.25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1.25</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Unicode MS" w:hAnsi="Arial Unicode MS" w:eastAsia="Arial Unicode MS" w:cs="Arial Unicode MS"/>
                <w:i w:val="0"/>
                <w:iCs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指标8：实现土地资源的合理利用满意度</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1.25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1.25</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710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总分</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bl>
    <w:p>
      <w:pPr>
        <w:spacing w:line="578" w:lineRule="exact"/>
        <w:rPr>
          <w:rFonts w:hint="default" w:ascii="方正仿宋_GBK" w:eastAsia="方正仿宋_GBK"/>
          <w:sz w:val="32"/>
          <w:szCs w:val="32"/>
          <w:lang w:val="en-US" w:eastAsia="zh-CN"/>
        </w:rPr>
      </w:pP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lang w:val="en-US" w:eastAsia="zh-CN"/>
        </w:rPr>
        <w:t>2</w:t>
      </w:r>
      <w:r>
        <w:rPr>
          <w:rFonts w:hint="eastAsia" w:ascii="方正仿宋_GBK" w:eastAsia="方正仿宋_GBK"/>
          <w:sz w:val="32"/>
          <w:szCs w:val="32"/>
        </w:rPr>
        <w:t>.绩效目标自评表</w:t>
      </w:r>
    </w:p>
    <w:p>
      <w:pPr>
        <w:spacing w:line="500" w:lineRule="exact"/>
        <w:jc w:val="center"/>
        <w:rPr>
          <w:rFonts w:ascii="Times New Roman" w:hAnsi="Times New Roman" w:eastAsia="方正小标宋_GBK" w:cs="宋体"/>
          <w:color w:val="000000"/>
          <w:kern w:val="0"/>
          <w:sz w:val="36"/>
          <w:szCs w:val="36"/>
        </w:rPr>
      </w:pPr>
      <w:r>
        <w:rPr>
          <w:rFonts w:hint="eastAsia" w:ascii="Times New Roman" w:hAnsi="Times New Roman" w:eastAsia="方正小标宋_GBK" w:cs="宋体"/>
          <w:color w:val="000000"/>
          <w:kern w:val="0"/>
          <w:sz w:val="36"/>
          <w:szCs w:val="36"/>
        </w:rPr>
        <w:t>项目支出绩效自评表</w:t>
      </w:r>
    </w:p>
    <w:p>
      <w:pPr>
        <w:spacing w:line="300" w:lineRule="exact"/>
        <w:jc w:val="center"/>
        <w:rPr>
          <w:rFonts w:ascii="Times New Roman" w:hAnsi="Times New Roman" w:eastAsia="方正小标宋_GBK" w:cs="宋体"/>
          <w:color w:val="000000"/>
          <w:kern w:val="0"/>
          <w:sz w:val="36"/>
          <w:szCs w:val="36"/>
        </w:rPr>
      </w:pPr>
      <w:r>
        <w:rPr>
          <w:rFonts w:hint="eastAsia" w:ascii="方正楷体_GBK" w:hAnsi="方正楷体_GBK" w:eastAsia="方正楷体_GBK" w:cs="方正楷体_GBK"/>
          <w:kern w:val="0"/>
          <w:sz w:val="28"/>
          <w:szCs w:val="28"/>
        </w:rPr>
        <w:t>（2021年度）</w:t>
      </w:r>
    </w:p>
    <w:tbl>
      <w:tblPr>
        <w:tblStyle w:val="4"/>
        <w:tblpPr w:leftFromText="180" w:rightFromText="180" w:vertAnchor="text" w:horzAnchor="page" w:tblpX="1600" w:tblpY="242"/>
        <w:tblOverlap w:val="never"/>
        <w:tblW w:w="9340" w:type="dxa"/>
        <w:tblInd w:w="0" w:type="dxa"/>
        <w:tblLayout w:type="autofit"/>
        <w:tblCellMar>
          <w:top w:w="0" w:type="dxa"/>
          <w:left w:w="108" w:type="dxa"/>
          <w:bottom w:w="0" w:type="dxa"/>
          <w:right w:w="108" w:type="dxa"/>
        </w:tblCellMar>
      </w:tblPr>
      <w:tblGrid>
        <w:gridCol w:w="659"/>
        <w:gridCol w:w="632"/>
        <w:gridCol w:w="1196"/>
        <w:gridCol w:w="599"/>
        <w:gridCol w:w="735"/>
        <w:gridCol w:w="734"/>
        <w:gridCol w:w="1026"/>
        <w:gridCol w:w="1079"/>
        <w:gridCol w:w="540"/>
        <w:gridCol w:w="270"/>
        <w:gridCol w:w="525"/>
        <w:gridCol w:w="270"/>
        <w:gridCol w:w="520"/>
        <w:gridCol w:w="555"/>
      </w:tblGrid>
      <w:tr>
        <w:tblPrEx>
          <w:tblCellMar>
            <w:top w:w="0" w:type="dxa"/>
            <w:left w:w="108" w:type="dxa"/>
            <w:bottom w:w="0" w:type="dxa"/>
            <w:right w:w="108" w:type="dxa"/>
          </w:tblCellMar>
        </w:tblPrEx>
        <w:trPr>
          <w:trHeight w:val="270" w:hRule="atLeast"/>
        </w:trPr>
        <w:tc>
          <w:tcPr>
            <w:tcW w:w="12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项目名称</w:t>
            </w:r>
          </w:p>
        </w:tc>
        <w:tc>
          <w:tcPr>
            <w:tcW w:w="8049"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中农智慧冷链物流港项目耕地开垦费</w:t>
            </w:r>
          </w:p>
        </w:tc>
      </w:tr>
      <w:tr>
        <w:tblPrEx>
          <w:tblCellMar>
            <w:top w:w="0" w:type="dxa"/>
            <w:left w:w="108" w:type="dxa"/>
            <w:bottom w:w="0" w:type="dxa"/>
            <w:right w:w="108" w:type="dxa"/>
          </w:tblCellMar>
        </w:tblPrEx>
        <w:trPr>
          <w:trHeight w:val="270" w:hRule="atLeast"/>
        </w:trPr>
        <w:tc>
          <w:tcPr>
            <w:tcW w:w="12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主管部门</w:t>
            </w:r>
          </w:p>
        </w:tc>
        <w:tc>
          <w:tcPr>
            <w:tcW w:w="429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18"/>
                <w:szCs w:val="18"/>
              </w:rPr>
            </w:pPr>
          </w:p>
        </w:tc>
        <w:tc>
          <w:tcPr>
            <w:tcW w:w="16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实施单位</w:t>
            </w:r>
          </w:p>
        </w:tc>
        <w:tc>
          <w:tcPr>
            <w:tcW w:w="21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云阳县规划和自然资源局</w:t>
            </w:r>
          </w:p>
        </w:tc>
      </w:tr>
      <w:tr>
        <w:tblPrEx>
          <w:tblCellMar>
            <w:top w:w="0" w:type="dxa"/>
            <w:left w:w="108" w:type="dxa"/>
            <w:bottom w:w="0" w:type="dxa"/>
            <w:right w:w="108" w:type="dxa"/>
          </w:tblCellMar>
        </w:tblPrEx>
        <w:trPr>
          <w:trHeight w:val="480" w:hRule="atLeast"/>
        </w:trPr>
        <w:tc>
          <w:tcPr>
            <w:tcW w:w="129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项目资金（万元）</w:t>
            </w:r>
          </w:p>
        </w:tc>
        <w:tc>
          <w:tcPr>
            <w:tcW w:w="17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年初预算数</w:t>
            </w: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全年预算数</w:t>
            </w:r>
          </w:p>
        </w:tc>
        <w:tc>
          <w:tcPr>
            <w:tcW w:w="16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全年执行数</w:t>
            </w:r>
          </w:p>
        </w:tc>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分值</w:t>
            </w:r>
          </w:p>
        </w:tc>
        <w:tc>
          <w:tcPr>
            <w:tcW w:w="7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预算执行率</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得分</w:t>
            </w:r>
          </w:p>
        </w:tc>
      </w:tr>
      <w:tr>
        <w:tblPrEx>
          <w:tblCellMar>
            <w:top w:w="0" w:type="dxa"/>
            <w:left w:w="108" w:type="dxa"/>
            <w:bottom w:w="0" w:type="dxa"/>
            <w:right w:w="108" w:type="dxa"/>
          </w:tblCellMar>
        </w:tblPrEx>
        <w:trPr>
          <w:trHeight w:val="270" w:hRule="atLeast"/>
        </w:trPr>
        <w:tc>
          <w:tcPr>
            <w:tcW w:w="12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color w:val="000000"/>
                <w:sz w:val="18"/>
                <w:szCs w:val="18"/>
              </w:rPr>
            </w:pPr>
          </w:p>
        </w:tc>
        <w:tc>
          <w:tcPr>
            <w:tcW w:w="17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年度资金总额</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18"/>
                <w:szCs w:val="18"/>
              </w:rPr>
            </w:pP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407.67</w:t>
            </w:r>
          </w:p>
        </w:tc>
        <w:tc>
          <w:tcPr>
            <w:tcW w:w="16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407.67</w:t>
            </w:r>
          </w:p>
        </w:tc>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10</w:t>
            </w:r>
          </w:p>
        </w:tc>
        <w:tc>
          <w:tcPr>
            <w:tcW w:w="7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100%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10</w:t>
            </w:r>
          </w:p>
        </w:tc>
      </w:tr>
      <w:tr>
        <w:tblPrEx>
          <w:tblCellMar>
            <w:top w:w="0" w:type="dxa"/>
            <w:left w:w="108" w:type="dxa"/>
            <w:bottom w:w="0" w:type="dxa"/>
            <w:right w:w="108" w:type="dxa"/>
          </w:tblCellMar>
        </w:tblPrEx>
        <w:trPr>
          <w:trHeight w:val="270" w:hRule="atLeast"/>
        </w:trPr>
        <w:tc>
          <w:tcPr>
            <w:tcW w:w="12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color w:val="000000"/>
                <w:sz w:val="18"/>
                <w:szCs w:val="18"/>
              </w:rPr>
            </w:pPr>
          </w:p>
        </w:tc>
        <w:tc>
          <w:tcPr>
            <w:tcW w:w="17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其中：当年财政拨款</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18"/>
                <w:szCs w:val="18"/>
              </w:rPr>
            </w:pP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407.67</w:t>
            </w:r>
          </w:p>
        </w:tc>
        <w:tc>
          <w:tcPr>
            <w:tcW w:w="16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407.67</w:t>
            </w:r>
          </w:p>
        </w:tc>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w:t>
            </w:r>
          </w:p>
        </w:tc>
        <w:tc>
          <w:tcPr>
            <w:tcW w:w="7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w:t>
            </w:r>
          </w:p>
        </w:tc>
      </w:tr>
      <w:tr>
        <w:tblPrEx>
          <w:tblCellMar>
            <w:top w:w="0" w:type="dxa"/>
            <w:left w:w="108" w:type="dxa"/>
            <w:bottom w:w="0" w:type="dxa"/>
            <w:right w:w="108" w:type="dxa"/>
          </w:tblCellMar>
        </w:tblPrEx>
        <w:trPr>
          <w:trHeight w:val="270" w:hRule="atLeast"/>
        </w:trPr>
        <w:tc>
          <w:tcPr>
            <w:tcW w:w="12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color w:val="000000"/>
                <w:sz w:val="18"/>
                <w:szCs w:val="18"/>
              </w:rPr>
            </w:pPr>
          </w:p>
        </w:tc>
        <w:tc>
          <w:tcPr>
            <w:tcW w:w="17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hint="eastAsia" w:ascii="方正仿宋_GBK" w:hAnsi="方正仿宋_GBK" w:eastAsia="方正仿宋_GBK" w:cs="方正仿宋_GBK"/>
                <w:color w:val="000000"/>
                <w:kern w:val="0"/>
                <w:sz w:val="18"/>
                <w:szCs w:val="18"/>
              </w:rPr>
              <w:t>上年结转资金</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18"/>
                <w:szCs w:val="18"/>
              </w:rPr>
            </w:pP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18"/>
                <w:szCs w:val="18"/>
              </w:rPr>
            </w:pPr>
          </w:p>
        </w:tc>
        <w:tc>
          <w:tcPr>
            <w:tcW w:w="16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18"/>
                <w:szCs w:val="18"/>
              </w:rPr>
            </w:pPr>
          </w:p>
        </w:tc>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w:t>
            </w:r>
          </w:p>
        </w:tc>
        <w:tc>
          <w:tcPr>
            <w:tcW w:w="7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w:t>
            </w:r>
          </w:p>
        </w:tc>
      </w:tr>
      <w:tr>
        <w:tblPrEx>
          <w:tblCellMar>
            <w:top w:w="0" w:type="dxa"/>
            <w:left w:w="108" w:type="dxa"/>
            <w:bottom w:w="0" w:type="dxa"/>
            <w:right w:w="108" w:type="dxa"/>
          </w:tblCellMar>
        </w:tblPrEx>
        <w:trPr>
          <w:trHeight w:val="270" w:hRule="atLeast"/>
        </w:trPr>
        <w:tc>
          <w:tcPr>
            <w:tcW w:w="12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color w:val="000000"/>
                <w:sz w:val="18"/>
                <w:szCs w:val="18"/>
              </w:rPr>
            </w:pPr>
          </w:p>
        </w:tc>
        <w:tc>
          <w:tcPr>
            <w:tcW w:w="17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hint="eastAsia" w:ascii="方正仿宋_GBK" w:hAnsi="方正仿宋_GBK" w:eastAsia="方正仿宋_GBK" w:cs="方正仿宋_GBK"/>
                <w:color w:val="000000"/>
                <w:kern w:val="0"/>
                <w:sz w:val="18"/>
                <w:szCs w:val="18"/>
              </w:rPr>
              <w:t>其他资金</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18"/>
                <w:szCs w:val="18"/>
              </w:rPr>
            </w:pP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18"/>
                <w:szCs w:val="18"/>
              </w:rPr>
            </w:pPr>
          </w:p>
        </w:tc>
        <w:tc>
          <w:tcPr>
            <w:tcW w:w="16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18"/>
                <w:szCs w:val="18"/>
              </w:rPr>
            </w:pPr>
          </w:p>
        </w:tc>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w:t>
            </w:r>
          </w:p>
        </w:tc>
        <w:tc>
          <w:tcPr>
            <w:tcW w:w="7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w:t>
            </w:r>
          </w:p>
        </w:tc>
      </w:tr>
      <w:tr>
        <w:tblPrEx>
          <w:tblCellMar>
            <w:top w:w="0" w:type="dxa"/>
            <w:left w:w="108" w:type="dxa"/>
            <w:bottom w:w="0" w:type="dxa"/>
            <w:right w:w="108" w:type="dxa"/>
          </w:tblCellMar>
        </w:tblPrEx>
        <w:trPr>
          <w:trHeight w:val="270" w:hRule="atLeast"/>
        </w:trPr>
        <w:tc>
          <w:tcPr>
            <w:tcW w:w="6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年度总         体目标</w:t>
            </w:r>
          </w:p>
        </w:tc>
        <w:tc>
          <w:tcPr>
            <w:tcW w:w="492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预期目标</w:t>
            </w:r>
          </w:p>
        </w:tc>
        <w:tc>
          <w:tcPr>
            <w:tcW w:w="3759"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实际完成情况</w:t>
            </w:r>
          </w:p>
        </w:tc>
      </w:tr>
      <w:tr>
        <w:tblPrEx>
          <w:tblCellMar>
            <w:top w:w="0" w:type="dxa"/>
            <w:left w:w="108" w:type="dxa"/>
            <w:bottom w:w="0" w:type="dxa"/>
            <w:right w:w="108" w:type="dxa"/>
          </w:tblCellMar>
        </w:tblPrEx>
        <w:trPr>
          <w:trHeight w:val="645" w:hRule="atLeast"/>
        </w:trPr>
        <w:tc>
          <w:tcPr>
            <w:tcW w:w="6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color w:val="000000"/>
                <w:sz w:val="18"/>
                <w:szCs w:val="18"/>
              </w:rPr>
            </w:pPr>
          </w:p>
        </w:tc>
        <w:tc>
          <w:tcPr>
            <w:tcW w:w="492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中农智慧冷链物流港项目耕地开垦</w:t>
            </w:r>
          </w:p>
        </w:tc>
        <w:tc>
          <w:tcPr>
            <w:tcW w:w="3759"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完成中农智慧冷链物流港项目耕地开垦</w:t>
            </w:r>
          </w:p>
        </w:tc>
      </w:tr>
      <w:tr>
        <w:tblPrEx>
          <w:tblCellMar>
            <w:top w:w="0" w:type="dxa"/>
            <w:left w:w="108" w:type="dxa"/>
            <w:bottom w:w="0" w:type="dxa"/>
            <w:right w:w="108" w:type="dxa"/>
          </w:tblCellMar>
        </w:tblPrEx>
        <w:trPr>
          <w:trHeight w:val="345" w:hRule="atLeast"/>
        </w:trPr>
        <w:tc>
          <w:tcPr>
            <w:tcW w:w="6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绩效指标</w:t>
            </w:r>
          </w:p>
        </w:tc>
        <w:tc>
          <w:tcPr>
            <w:tcW w:w="6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一级指标</w:t>
            </w:r>
          </w:p>
        </w:tc>
        <w:tc>
          <w:tcPr>
            <w:tcW w:w="11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二级指标</w:t>
            </w:r>
          </w:p>
        </w:tc>
        <w:tc>
          <w:tcPr>
            <w:tcW w:w="206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三级指标</w:t>
            </w:r>
          </w:p>
        </w:tc>
        <w:tc>
          <w:tcPr>
            <w:tcW w:w="10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年度目标值</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实际完成值</w:t>
            </w:r>
          </w:p>
        </w:tc>
        <w:tc>
          <w:tcPr>
            <w:tcW w:w="81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分值</w:t>
            </w:r>
          </w:p>
        </w:tc>
        <w:tc>
          <w:tcPr>
            <w:tcW w:w="79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得分</w:t>
            </w:r>
          </w:p>
        </w:tc>
        <w:tc>
          <w:tcPr>
            <w:tcW w:w="10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偏差原因分析及改进措施</w:t>
            </w:r>
          </w:p>
        </w:tc>
      </w:tr>
      <w:tr>
        <w:tblPrEx>
          <w:tblCellMar>
            <w:top w:w="0" w:type="dxa"/>
            <w:left w:w="108" w:type="dxa"/>
            <w:bottom w:w="0" w:type="dxa"/>
            <w:right w:w="108" w:type="dxa"/>
          </w:tblCellMar>
        </w:tblPrEx>
        <w:trPr>
          <w:trHeight w:val="345" w:hRule="atLeast"/>
        </w:trPr>
        <w:tc>
          <w:tcPr>
            <w:tcW w:w="6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color w:val="000000"/>
                <w:sz w:val="18"/>
                <w:szCs w:val="18"/>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color w:val="000000"/>
                <w:sz w:val="18"/>
                <w:szCs w:val="18"/>
              </w:rPr>
            </w:pPr>
          </w:p>
        </w:tc>
        <w:tc>
          <w:tcPr>
            <w:tcW w:w="11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color w:val="000000"/>
                <w:sz w:val="18"/>
                <w:szCs w:val="18"/>
              </w:rPr>
            </w:pPr>
          </w:p>
        </w:tc>
        <w:tc>
          <w:tcPr>
            <w:tcW w:w="206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color w:val="000000"/>
                <w:sz w:val="18"/>
                <w:szCs w:val="18"/>
              </w:rPr>
            </w:pPr>
          </w:p>
        </w:tc>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color w:val="000000"/>
                <w:sz w:val="18"/>
                <w:szCs w:val="18"/>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color w:val="000000"/>
                <w:sz w:val="18"/>
                <w:szCs w:val="18"/>
              </w:rPr>
            </w:pPr>
          </w:p>
        </w:tc>
        <w:tc>
          <w:tcPr>
            <w:tcW w:w="8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color w:val="000000"/>
                <w:sz w:val="18"/>
                <w:szCs w:val="18"/>
              </w:rPr>
            </w:pPr>
          </w:p>
        </w:tc>
        <w:tc>
          <w:tcPr>
            <w:tcW w:w="7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color w:val="000000"/>
                <w:sz w:val="18"/>
                <w:szCs w:val="18"/>
              </w:rPr>
            </w:pPr>
          </w:p>
        </w:tc>
        <w:tc>
          <w:tcPr>
            <w:tcW w:w="10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color w:val="000000"/>
                <w:sz w:val="18"/>
                <w:szCs w:val="18"/>
              </w:rPr>
            </w:pPr>
          </w:p>
        </w:tc>
      </w:tr>
      <w:tr>
        <w:tblPrEx>
          <w:tblCellMar>
            <w:top w:w="0" w:type="dxa"/>
            <w:left w:w="108" w:type="dxa"/>
            <w:bottom w:w="0" w:type="dxa"/>
            <w:right w:w="108" w:type="dxa"/>
          </w:tblCellMar>
        </w:tblPrEx>
        <w:trPr>
          <w:trHeight w:val="345" w:hRule="atLeast"/>
        </w:trPr>
        <w:tc>
          <w:tcPr>
            <w:tcW w:w="6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绩效指标</w:t>
            </w:r>
          </w:p>
        </w:tc>
        <w:tc>
          <w:tcPr>
            <w:tcW w:w="6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一级指标</w:t>
            </w:r>
          </w:p>
        </w:tc>
        <w:tc>
          <w:tcPr>
            <w:tcW w:w="11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二级指标</w:t>
            </w:r>
          </w:p>
        </w:tc>
        <w:tc>
          <w:tcPr>
            <w:tcW w:w="206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三级指标</w:t>
            </w:r>
          </w:p>
        </w:tc>
        <w:tc>
          <w:tcPr>
            <w:tcW w:w="10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年度目标值</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实际完成值</w:t>
            </w:r>
          </w:p>
        </w:tc>
        <w:tc>
          <w:tcPr>
            <w:tcW w:w="81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分值</w:t>
            </w:r>
          </w:p>
        </w:tc>
        <w:tc>
          <w:tcPr>
            <w:tcW w:w="79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得分</w:t>
            </w:r>
          </w:p>
        </w:tc>
        <w:tc>
          <w:tcPr>
            <w:tcW w:w="10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偏差原因分析及改进措施</w:t>
            </w:r>
          </w:p>
        </w:tc>
      </w:tr>
      <w:tr>
        <w:tblPrEx>
          <w:tblCellMar>
            <w:top w:w="0" w:type="dxa"/>
            <w:left w:w="108" w:type="dxa"/>
            <w:bottom w:w="0" w:type="dxa"/>
            <w:right w:w="108" w:type="dxa"/>
          </w:tblCellMar>
        </w:tblPrEx>
        <w:trPr>
          <w:trHeight w:val="345" w:hRule="atLeast"/>
        </w:trPr>
        <w:tc>
          <w:tcPr>
            <w:tcW w:w="6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color w:val="000000"/>
                <w:sz w:val="18"/>
                <w:szCs w:val="18"/>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color w:val="000000"/>
                <w:sz w:val="18"/>
                <w:szCs w:val="18"/>
              </w:rPr>
            </w:pPr>
          </w:p>
        </w:tc>
        <w:tc>
          <w:tcPr>
            <w:tcW w:w="11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color w:val="000000"/>
                <w:sz w:val="18"/>
                <w:szCs w:val="18"/>
              </w:rPr>
            </w:pPr>
          </w:p>
        </w:tc>
        <w:tc>
          <w:tcPr>
            <w:tcW w:w="206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color w:val="000000"/>
                <w:sz w:val="18"/>
                <w:szCs w:val="18"/>
              </w:rPr>
            </w:pPr>
          </w:p>
        </w:tc>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color w:val="000000"/>
                <w:sz w:val="18"/>
                <w:szCs w:val="18"/>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color w:val="000000"/>
                <w:sz w:val="18"/>
                <w:szCs w:val="18"/>
              </w:rPr>
            </w:pPr>
          </w:p>
        </w:tc>
        <w:tc>
          <w:tcPr>
            <w:tcW w:w="8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color w:val="000000"/>
                <w:sz w:val="18"/>
                <w:szCs w:val="18"/>
              </w:rPr>
            </w:pPr>
          </w:p>
        </w:tc>
        <w:tc>
          <w:tcPr>
            <w:tcW w:w="7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color w:val="000000"/>
                <w:sz w:val="18"/>
                <w:szCs w:val="18"/>
              </w:rPr>
            </w:pPr>
          </w:p>
        </w:tc>
        <w:tc>
          <w:tcPr>
            <w:tcW w:w="10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color w:val="000000"/>
                <w:sz w:val="18"/>
                <w:szCs w:val="18"/>
              </w:rPr>
            </w:pPr>
          </w:p>
        </w:tc>
      </w:tr>
      <w:tr>
        <w:tblPrEx>
          <w:tblCellMar>
            <w:top w:w="0" w:type="dxa"/>
            <w:left w:w="108" w:type="dxa"/>
            <w:bottom w:w="0" w:type="dxa"/>
            <w:right w:w="108" w:type="dxa"/>
          </w:tblCellMar>
        </w:tblPrEx>
        <w:trPr>
          <w:trHeight w:val="660" w:hRule="atLeast"/>
        </w:trPr>
        <w:tc>
          <w:tcPr>
            <w:tcW w:w="6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color w:val="000000"/>
                <w:sz w:val="18"/>
                <w:szCs w:val="18"/>
              </w:rPr>
            </w:pPr>
          </w:p>
        </w:tc>
        <w:tc>
          <w:tcPr>
            <w:tcW w:w="6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产出指标</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数量指标</w:t>
            </w:r>
          </w:p>
        </w:tc>
        <w:tc>
          <w:tcPr>
            <w:tcW w:w="20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仿宋_GBK" w:hAnsi="方正仿宋_GBK" w:eastAsia="方正仿宋_GBK" w:cs="方正仿宋_GBK"/>
                <w:color w:val="000000"/>
                <w:sz w:val="18"/>
                <w:szCs w:val="18"/>
              </w:rPr>
            </w:pPr>
            <w:r>
              <w:rPr>
                <w:rStyle w:val="21"/>
                <w:rFonts w:hint="default"/>
              </w:rPr>
              <w:t>指标</w:t>
            </w:r>
            <w:r>
              <w:rPr>
                <w:rFonts w:ascii="Times New Roman" w:hAnsi="Times New Roman" w:eastAsia="方正仿宋_GBK" w:cs="Times New Roman"/>
                <w:color w:val="000000"/>
                <w:kern w:val="0"/>
                <w:sz w:val="18"/>
                <w:szCs w:val="18"/>
              </w:rPr>
              <w:t>1</w:t>
            </w:r>
            <w:r>
              <w:rPr>
                <w:rStyle w:val="21"/>
                <w:rFonts w:hint="default"/>
              </w:rPr>
              <w:t>：中农智慧冷链物流港项目耕地开垦数量</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1</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1</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12.5</w:t>
            </w:r>
          </w:p>
        </w:tc>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12.5</w:t>
            </w:r>
          </w:p>
        </w:tc>
        <w:tc>
          <w:tcPr>
            <w:tcW w:w="1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540" w:hRule="atLeast"/>
        </w:trPr>
        <w:tc>
          <w:tcPr>
            <w:tcW w:w="6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color w:val="000000"/>
                <w:sz w:val="18"/>
                <w:szCs w:val="18"/>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color w:val="000000"/>
                <w:sz w:val="18"/>
                <w:szCs w:val="18"/>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质量指标</w:t>
            </w:r>
          </w:p>
        </w:tc>
        <w:tc>
          <w:tcPr>
            <w:tcW w:w="20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仿宋_GBK" w:hAnsi="方正仿宋_GBK" w:eastAsia="方正仿宋_GBK" w:cs="方正仿宋_GBK"/>
                <w:color w:val="000000"/>
                <w:sz w:val="18"/>
                <w:szCs w:val="18"/>
              </w:rPr>
            </w:pPr>
            <w:r>
              <w:rPr>
                <w:rStyle w:val="21"/>
                <w:rFonts w:hint="default"/>
              </w:rPr>
              <w:t>指标</w:t>
            </w:r>
            <w:r>
              <w:rPr>
                <w:rFonts w:ascii="Times New Roman" w:hAnsi="Times New Roman" w:eastAsia="方正仿宋_GBK" w:cs="Times New Roman"/>
                <w:color w:val="000000"/>
                <w:kern w:val="0"/>
                <w:sz w:val="18"/>
                <w:szCs w:val="18"/>
              </w:rPr>
              <w:t>1</w:t>
            </w:r>
            <w:r>
              <w:rPr>
                <w:rStyle w:val="21"/>
                <w:rFonts w:hint="default"/>
              </w:rPr>
              <w:t>：完成中农智慧冷链物流港项目耕地开垦</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100%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100%</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12.5</w:t>
            </w:r>
          </w:p>
        </w:tc>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12.5</w:t>
            </w:r>
          </w:p>
        </w:tc>
        <w:tc>
          <w:tcPr>
            <w:tcW w:w="1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480" w:hRule="atLeast"/>
        </w:trPr>
        <w:tc>
          <w:tcPr>
            <w:tcW w:w="6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color w:val="000000"/>
                <w:sz w:val="18"/>
                <w:szCs w:val="18"/>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color w:val="000000"/>
                <w:sz w:val="18"/>
                <w:szCs w:val="18"/>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时效指标</w:t>
            </w:r>
          </w:p>
        </w:tc>
        <w:tc>
          <w:tcPr>
            <w:tcW w:w="20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指标1：完成中农智慧冷链物流港项目耕地开垦时间</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2021.12.31</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完成</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12.5</w:t>
            </w:r>
          </w:p>
        </w:tc>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12.5</w:t>
            </w:r>
          </w:p>
        </w:tc>
        <w:tc>
          <w:tcPr>
            <w:tcW w:w="1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345" w:hRule="atLeast"/>
        </w:trPr>
        <w:tc>
          <w:tcPr>
            <w:tcW w:w="6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color w:val="000000"/>
                <w:sz w:val="18"/>
                <w:szCs w:val="18"/>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color w:val="000000"/>
                <w:sz w:val="18"/>
                <w:szCs w:val="18"/>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成本指标</w:t>
            </w:r>
          </w:p>
        </w:tc>
        <w:tc>
          <w:tcPr>
            <w:tcW w:w="20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仿宋_GBK" w:hAnsi="方正仿宋_GBK" w:eastAsia="方正仿宋_GBK" w:cs="方正仿宋_GBK"/>
                <w:color w:val="000000"/>
                <w:sz w:val="18"/>
                <w:szCs w:val="18"/>
              </w:rPr>
            </w:pPr>
            <w:r>
              <w:rPr>
                <w:rStyle w:val="21"/>
                <w:rFonts w:hint="default"/>
              </w:rPr>
              <w:t>指标</w:t>
            </w:r>
            <w:r>
              <w:rPr>
                <w:rFonts w:ascii="Times New Roman" w:hAnsi="Times New Roman" w:eastAsia="方正仿宋_GBK" w:cs="Times New Roman"/>
                <w:color w:val="000000"/>
                <w:kern w:val="0"/>
                <w:sz w:val="18"/>
                <w:szCs w:val="18"/>
              </w:rPr>
              <w:t>1</w:t>
            </w:r>
            <w:r>
              <w:rPr>
                <w:rStyle w:val="21"/>
                <w:rFonts w:hint="default"/>
              </w:rPr>
              <w:t>：征地拆迁资金</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407.67</w:t>
            </w:r>
            <w:r>
              <w:rPr>
                <w:rStyle w:val="22"/>
                <w:rFonts w:hint="default"/>
              </w:rPr>
              <w:t>万≦</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407.67</w:t>
            </w:r>
            <w:r>
              <w:rPr>
                <w:rStyle w:val="22"/>
                <w:rFonts w:hint="default"/>
              </w:rPr>
              <w:t>万</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12.5</w:t>
            </w:r>
          </w:p>
        </w:tc>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12.5</w:t>
            </w:r>
          </w:p>
        </w:tc>
        <w:tc>
          <w:tcPr>
            <w:tcW w:w="1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420" w:hRule="atLeast"/>
        </w:trPr>
        <w:tc>
          <w:tcPr>
            <w:tcW w:w="6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color w:val="000000"/>
                <w:sz w:val="18"/>
                <w:szCs w:val="18"/>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效益指标</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经济效益</w:t>
            </w:r>
          </w:p>
        </w:tc>
        <w:tc>
          <w:tcPr>
            <w:tcW w:w="20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仿宋_GBK" w:hAnsi="方正仿宋_GBK" w:eastAsia="方正仿宋_GBK" w:cs="方正仿宋_GBK"/>
                <w:color w:val="000000"/>
                <w:sz w:val="18"/>
                <w:szCs w:val="18"/>
              </w:rPr>
            </w:pPr>
            <w:r>
              <w:rPr>
                <w:rStyle w:val="21"/>
                <w:rFonts w:hint="default"/>
              </w:rPr>
              <w:t>指标</w:t>
            </w:r>
            <w:r>
              <w:rPr>
                <w:rFonts w:ascii="Times New Roman" w:hAnsi="Times New Roman" w:eastAsia="方正仿宋_GBK" w:cs="Times New Roman"/>
                <w:color w:val="000000"/>
                <w:kern w:val="0"/>
                <w:sz w:val="18"/>
                <w:szCs w:val="18"/>
              </w:rPr>
              <w:t>1</w:t>
            </w:r>
            <w:r>
              <w:rPr>
                <w:rStyle w:val="21"/>
                <w:rFonts w:hint="default"/>
              </w:rPr>
              <w:t>：土地收出投入</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407.67</w:t>
            </w:r>
            <w:r>
              <w:rPr>
                <w:rStyle w:val="22"/>
                <w:rFonts w:hint="default"/>
              </w:rPr>
              <w:t>万≦</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407.67</w:t>
            </w:r>
            <w:r>
              <w:rPr>
                <w:rStyle w:val="22"/>
                <w:rFonts w:hint="default"/>
              </w:rPr>
              <w:t>万</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30</w:t>
            </w:r>
          </w:p>
        </w:tc>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30</w:t>
            </w:r>
          </w:p>
        </w:tc>
        <w:tc>
          <w:tcPr>
            <w:tcW w:w="1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540" w:hRule="atLeast"/>
        </w:trPr>
        <w:tc>
          <w:tcPr>
            <w:tcW w:w="6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color w:val="000000"/>
                <w:sz w:val="18"/>
                <w:szCs w:val="18"/>
              </w:rPr>
            </w:pPr>
          </w:p>
        </w:tc>
        <w:tc>
          <w:tcPr>
            <w:tcW w:w="632"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满意度指标</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服务对象满意度指标</w:t>
            </w:r>
          </w:p>
        </w:tc>
        <w:tc>
          <w:tcPr>
            <w:tcW w:w="20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仿宋_GBK" w:hAnsi="方正仿宋_GBK" w:eastAsia="方正仿宋_GBK" w:cs="方正仿宋_GBK"/>
                <w:color w:val="000000"/>
                <w:sz w:val="18"/>
                <w:szCs w:val="18"/>
              </w:rPr>
            </w:pPr>
            <w:r>
              <w:rPr>
                <w:rStyle w:val="21"/>
                <w:rFonts w:hint="default"/>
              </w:rPr>
              <w:t>指标</w:t>
            </w:r>
            <w:r>
              <w:rPr>
                <w:rFonts w:ascii="Times New Roman" w:hAnsi="Times New Roman" w:eastAsia="方正仿宋_GBK" w:cs="Times New Roman"/>
                <w:color w:val="000000"/>
                <w:kern w:val="0"/>
                <w:sz w:val="18"/>
                <w:szCs w:val="18"/>
              </w:rPr>
              <w:t>1</w:t>
            </w:r>
            <w:r>
              <w:rPr>
                <w:rStyle w:val="21"/>
                <w:rFonts w:hint="default"/>
              </w:rPr>
              <w:t>：拆迁对象满意</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95%≥</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100%</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10</w:t>
            </w:r>
          </w:p>
        </w:tc>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10</w:t>
            </w:r>
          </w:p>
        </w:tc>
        <w:tc>
          <w:tcPr>
            <w:tcW w:w="1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345" w:hRule="atLeast"/>
        </w:trPr>
        <w:tc>
          <w:tcPr>
            <w:tcW w:w="666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总分</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100</w:t>
            </w:r>
          </w:p>
        </w:tc>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100</w:t>
            </w:r>
          </w:p>
        </w:tc>
        <w:tc>
          <w:tcPr>
            <w:tcW w:w="1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r>
    </w:tbl>
    <w:p>
      <w:pPr>
        <w:spacing w:line="578" w:lineRule="exact"/>
        <w:rPr>
          <w:rFonts w:ascii="方正仿宋_GBK" w:eastAsia="方正仿宋_GBK"/>
          <w:sz w:val="32"/>
          <w:szCs w:val="32"/>
        </w:rPr>
      </w:pP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2.绩效自评报告或案例</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无。</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（三）重点绩效评价结果</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无。</w:t>
      </w:r>
    </w:p>
    <w:p>
      <w:pPr>
        <w:spacing w:line="578" w:lineRule="exact"/>
        <w:ind w:firstLine="640" w:firstLineChars="200"/>
        <w:rPr>
          <w:rFonts w:ascii="方正黑体_GBK" w:eastAsia="方正黑体_GBK"/>
          <w:sz w:val="32"/>
          <w:szCs w:val="32"/>
        </w:rPr>
      </w:pPr>
      <w:r>
        <w:rPr>
          <w:rFonts w:hint="eastAsia" w:ascii="方正黑体_GBK" w:eastAsia="方正黑体_GBK"/>
          <w:sz w:val="32"/>
          <w:szCs w:val="32"/>
        </w:rPr>
        <w:t>六、专业名词解释</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（一）财政拨款收入：</w:t>
      </w:r>
      <w:r>
        <w:rPr>
          <w:rFonts w:hint="eastAsia" w:ascii="方正仿宋_GBK" w:eastAsia="方正仿宋_GBK"/>
          <w:sz w:val="32"/>
          <w:szCs w:val="32"/>
        </w:rPr>
        <w:t>指本年度从本级财政部门取得的财政拨款，包括一般公共预算财政拨款和政府性基金预算财政拨款。</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（二）事业收入：</w:t>
      </w:r>
      <w:r>
        <w:rPr>
          <w:rFonts w:hint="eastAsia" w:ascii="方正仿宋_GBK" w:eastAsia="方正仿宋_GBK"/>
          <w:sz w:val="32"/>
          <w:szCs w:val="32"/>
        </w:rPr>
        <w:t>指事业单位开展专业业务活动及其辅助活动取得的现金流入；事业单位收到的财政专户实际核拨的教育收费等资金在此反映。</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（三）经营收入：</w:t>
      </w:r>
      <w:r>
        <w:rPr>
          <w:rFonts w:hint="eastAsia" w:ascii="方正仿宋_GBK" w:eastAsia="方正仿宋_GBK"/>
          <w:sz w:val="32"/>
          <w:szCs w:val="32"/>
        </w:rPr>
        <w:t>指事业单位在专业业务活动及其辅助活动之外开展非独立核算经营活动取得的现金流入。</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（四）其他收入：</w:t>
      </w:r>
      <w:r>
        <w:rPr>
          <w:rFonts w:hint="eastAsia" w:ascii="方正仿宋_GBK" w:eastAsia="方正仿宋_GBK"/>
          <w:sz w:val="32"/>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（五）使用非财政拨款结余：</w:t>
      </w:r>
      <w:r>
        <w:rPr>
          <w:rFonts w:hint="eastAsia" w:ascii="方正仿宋_GBK" w:eastAsia="方正仿宋_GBK"/>
          <w:sz w:val="32"/>
          <w:szCs w:val="32"/>
        </w:rPr>
        <w:t>指单位在当年的“财政拨款收入”、“事业收入”、“经营收入”、“其他收入”等不足以安排当年支出的情况下，使用以前年度积累的非财政拨款结余弥补本年度收支缺口的资金。</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（六）年初结转和结余：</w:t>
      </w:r>
      <w:r>
        <w:rPr>
          <w:rFonts w:hint="eastAsia" w:ascii="方正仿宋_GBK" w:eastAsia="方正仿宋_GBK"/>
          <w:sz w:val="32"/>
          <w:szCs w:val="32"/>
        </w:rPr>
        <w:t>指单位上年结转本年使用的基本支出结转、项目支出结转和结余、经营结余。</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（七）结余分配：</w:t>
      </w:r>
      <w:r>
        <w:rPr>
          <w:rFonts w:hint="eastAsia" w:ascii="方正仿宋_GBK" w:eastAsia="方正仿宋_GBK"/>
          <w:sz w:val="32"/>
          <w:szCs w:val="32"/>
        </w:rPr>
        <w:t>指单位按照国家有关规定，缴纳所得税、提取专用基金、转入非财政拨款结余等当年结余的分配情况。</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（八）年末结转和结余：</w:t>
      </w:r>
      <w:r>
        <w:rPr>
          <w:rFonts w:hint="eastAsia" w:ascii="方正仿宋_GBK" w:eastAsia="方正仿宋_GBK"/>
          <w:sz w:val="32"/>
          <w:szCs w:val="32"/>
        </w:rPr>
        <w:t>指单位结转下年的基本支出结转、项目支出结转和结余、经营结余。</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（九）基本支出：</w:t>
      </w:r>
      <w:r>
        <w:rPr>
          <w:rFonts w:hint="eastAsia" w:ascii="方正仿宋_GBK" w:eastAsia="方正仿宋_GBK"/>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（十）项目支出：</w:t>
      </w:r>
      <w:r>
        <w:rPr>
          <w:rFonts w:hint="eastAsia" w:ascii="方正仿宋_GBK" w:eastAsia="方正仿宋_GBK"/>
          <w:sz w:val="32"/>
          <w:szCs w:val="32"/>
        </w:rPr>
        <w:t>指在基本支出之外为完成特定行政任务和事业发展目标所发生的支出。</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（十一）经营支出：</w:t>
      </w:r>
      <w:r>
        <w:rPr>
          <w:rFonts w:hint="eastAsia" w:ascii="方正仿宋_GBK" w:eastAsia="方正仿宋_GBK"/>
          <w:sz w:val="32"/>
          <w:szCs w:val="32"/>
        </w:rPr>
        <w:t>指事业单位在专业业务活动及其辅助活动之外开展非独立核算经营活动发生的支出。</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（十二）“三公”经费：</w:t>
      </w:r>
      <w:r>
        <w:rPr>
          <w:rFonts w:hint="eastAsia" w:ascii="方正仿宋_GBK" w:eastAsia="方正仿宋_GBK"/>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（十三）机关运行经费：</w:t>
      </w:r>
      <w:r>
        <w:rPr>
          <w:rFonts w:hint="eastAsia" w:ascii="方正仿宋_GBK" w:eastAsia="方正仿宋_GBK"/>
          <w:sz w:val="32"/>
          <w:szCs w:val="32"/>
        </w:rPr>
        <w:t>为保障行政单位（含参照公务员法管理的事业单位）运行用于购买货物和服务等的各项公用经费，包括办公及印刷费、邮电费、差旅费、会议费、福利费、日常维护 费、专用材料及一般设备购置费、办公用房水电费、办公用房取暖费、办公用房物业管理费、公务用车运行维护费以及其他费用。</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（十四）工资福利支出（支出经济分类科目类级）：</w:t>
      </w:r>
      <w:r>
        <w:rPr>
          <w:rFonts w:hint="eastAsia" w:ascii="方正仿宋_GBK" w:eastAsia="方正仿宋_GBK"/>
          <w:sz w:val="32"/>
          <w:szCs w:val="32"/>
        </w:rPr>
        <w:t>反映单位开支的在职职工和编制外长期聘用人员的各类劳动报酬，以及为上述人员缴纳的各项社会保险费等。</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（十五）商品和服务支出（支出经济分类科目类级）：</w:t>
      </w:r>
      <w:r>
        <w:rPr>
          <w:rFonts w:hint="eastAsia" w:ascii="方正仿宋_GBK" w:eastAsia="方正仿宋_GBK"/>
          <w:sz w:val="32"/>
          <w:szCs w:val="32"/>
        </w:rPr>
        <w:t>反映单位购买商品和服务的支出（不包括用于购置固定资产的支出、战略性和应急储备支出）。</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（十六）对个人和家庭的补助（支出经济分类科目类级）：</w:t>
      </w:r>
      <w:r>
        <w:rPr>
          <w:rFonts w:hint="eastAsia" w:ascii="方正仿宋_GBK" w:eastAsia="方正仿宋_GBK"/>
          <w:sz w:val="32"/>
          <w:szCs w:val="32"/>
        </w:rPr>
        <w:t>反映用于对个人和家庭的补助支出。</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（十七）其他资本性支出（支出经济分类科目类级）：</w:t>
      </w:r>
      <w:r>
        <w:rPr>
          <w:rFonts w:hint="eastAsia" w:ascii="方正仿宋_GBK" w:eastAsia="方正仿宋_GBK"/>
          <w:sz w:val="32"/>
          <w:szCs w:val="32"/>
        </w:rPr>
        <w:t>反映非各级发展与改革部门集中安排的用于购置固定资产、战略性和应急性储备、土地和无形资产，以及构建基础设施、大型修缮和财政支持企业更新改造所发生的支出。</w:t>
      </w:r>
    </w:p>
    <w:p>
      <w:pPr>
        <w:spacing w:line="578" w:lineRule="exact"/>
        <w:ind w:firstLine="640" w:firstLineChars="200"/>
        <w:rPr>
          <w:rFonts w:ascii="方正黑体_GBK" w:eastAsia="方正黑体_GBK"/>
          <w:sz w:val="32"/>
          <w:szCs w:val="32"/>
        </w:rPr>
      </w:pPr>
      <w:r>
        <w:rPr>
          <w:rFonts w:hint="eastAsia" w:ascii="方正黑体_GBK" w:eastAsia="方正黑体_GBK"/>
          <w:sz w:val="32"/>
          <w:szCs w:val="32"/>
        </w:rPr>
        <w:t>七、决算公开联系方式及信息反馈渠道</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本单位决算公开信息反馈和联系方式：023-55188179。</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Arial Unicode MS">
    <w:altName w:val="Aria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69A6F8"/>
    <w:multiLevelType w:val="singleLevel"/>
    <w:tmpl w:val="9B69A6F8"/>
    <w:lvl w:ilvl="0" w:tentative="0">
      <w:start w:val="2"/>
      <w:numFmt w:val="chineseCounting"/>
      <w:suff w:val="nothing"/>
      <w:lvlText w:val="（%1）"/>
      <w:lvlJc w:val="left"/>
      <w:pPr>
        <w:ind w:left="2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TRjMjIzNDQ5ZTYyZjc1ZmRhY2VmOGU1MzEzMWI0NjEifQ=="/>
  </w:docVars>
  <w:rsids>
    <w:rsidRoot w:val="00D300F9"/>
    <w:rsid w:val="00024128"/>
    <w:rsid w:val="00057CEA"/>
    <w:rsid w:val="0011397E"/>
    <w:rsid w:val="00113A4D"/>
    <w:rsid w:val="00125C0F"/>
    <w:rsid w:val="0017322C"/>
    <w:rsid w:val="001B1A0F"/>
    <w:rsid w:val="00245EC9"/>
    <w:rsid w:val="003A0490"/>
    <w:rsid w:val="003F5415"/>
    <w:rsid w:val="004332C5"/>
    <w:rsid w:val="004D27CD"/>
    <w:rsid w:val="00525666"/>
    <w:rsid w:val="005E008E"/>
    <w:rsid w:val="005F5A3E"/>
    <w:rsid w:val="00642461"/>
    <w:rsid w:val="006D760E"/>
    <w:rsid w:val="0072273E"/>
    <w:rsid w:val="00723432"/>
    <w:rsid w:val="00727C3F"/>
    <w:rsid w:val="0085575D"/>
    <w:rsid w:val="00855AF7"/>
    <w:rsid w:val="00857122"/>
    <w:rsid w:val="00892D78"/>
    <w:rsid w:val="008C1054"/>
    <w:rsid w:val="0093068E"/>
    <w:rsid w:val="009C3F0C"/>
    <w:rsid w:val="00A45164"/>
    <w:rsid w:val="00A616AD"/>
    <w:rsid w:val="00AC5894"/>
    <w:rsid w:val="00AE218D"/>
    <w:rsid w:val="00AF7191"/>
    <w:rsid w:val="00C71A87"/>
    <w:rsid w:val="00D20A04"/>
    <w:rsid w:val="00D300F9"/>
    <w:rsid w:val="00DB2BE6"/>
    <w:rsid w:val="00E0336C"/>
    <w:rsid w:val="00E17309"/>
    <w:rsid w:val="00EB06C8"/>
    <w:rsid w:val="00F127EA"/>
    <w:rsid w:val="00FA404A"/>
    <w:rsid w:val="02D02F8C"/>
    <w:rsid w:val="03FC01B0"/>
    <w:rsid w:val="0716509F"/>
    <w:rsid w:val="0A081FD4"/>
    <w:rsid w:val="0C80209C"/>
    <w:rsid w:val="0CFF3FC4"/>
    <w:rsid w:val="0DCC74F1"/>
    <w:rsid w:val="0ECF7B8F"/>
    <w:rsid w:val="16B73272"/>
    <w:rsid w:val="1F0828D0"/>
    <w:rsid w:val="245365B0"/>
    <w:rsid w:val="2A91304F"/>
    <w:rsid w:val="2A9F5694"/>
    <w:rsid w:val="2DB55779"/>
    <w:rsid w:val="3C25052A"/>
    <w:rsid w:val="3F1D5060"/>
    <w:rsid w:val="4067113D"/>
    <w:rsid w:val="42BA7D55"/>
    <w:rsid w:val="46A20569"/>
    <w:rsid w:val="48197B4E"/>
    <w:rsid w:val="4AE1577A"/>
    <w:rsid w:val="52754DA9"/>
    <w:rsid w:val="55E4084A"/>
    <w:rsid w:val="6643192A"/>
    <w:rsid w:val="68EA6F78"/>
    <w:rsid w:val="6E1E7E79"/>
    <w:rsid w:val="72736DDD"/>
    <w:rsid w:val="761A419F"/>
    <w:rsid w:val="7BA67354"/>
    <w:rsid w:val="7C1F22E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character" w:customStyle="1" w:styleId="8">
    <w:name w:val="font01"/>
    <w:basedOn w:val="5"/>
    <w:qFormat/>
    <w:uiPriority w:val="0"/>
    <w:rPr>
      <w:rFonts w:hint="default" w:ascii="Times New Roman" w:hAnsi="Times New Roman" w:cs="Times New Roman"/>
      <w:color w:val="000000"/>
      <w:sz w:val="18"/>
      <w:szCs w:val="18"/>
      <w:u w:val="none"/>
    </w:rPr>
  </w:style>
  <w:style w:type="character" w:customStyle="1" w:styleId="9">
    <w:name w:val="font11"/>
    <w:basedOn w:val="5"/>
    <w:qFormat/>
    <w:uiPriority w:val="0"/>
    <w:rPr>
      <w:rFonts w:hint="eastAsia" w:ascii="宋体" w:hAnsi="宋体" w:eastAsia="宋体" w:cs="宋体"/>
      <w:color w:val="000000"/>
      <w:sz w:val="18"/>
      <w:szCs w:val="18"/>
      <w:u w:val="none"/>
    </w:rPr>
  </w:style>
  <w:style w:type="character" w:customStyle="1" w:styleId="10">
    <w:name w:val="font21"/>
    <w:basedOn w:val="5"/>
    <w:qFormat/>
    <w:uiPriority w:val="0"/>
    <w:rPr>
      <w:rFonts w:hint="eastAsia" w:ascii="宋体" w:hAnsi="宋体" w:eastAsia="宋体" w:cs="宋体"/>
      <w:color w:val="000000"/>
      <w:sz w:val="22"/>
      <w:szCs w:val="22"/>
      <w:u w:val="none"/>
    </w:rPr>
  </w:style>
  <w:style w:type="character" w:customStyle="1" w:styleId="11">
    <w:name w:val="font91"/>
    <w:basedOn w:val="5"/>
    <w:qFormat/>
    <w:uiPriority w:val="0"/>
    <w:rPr>
      <w:rFonts w:hint="eastAsia" w:ascii="宋体" w:hAnsi="宋体" w:eastAsia="宋体" w:cs="宋体"/>
      <w:color w:val="000000"/>
      <w:sz w:val="22"/>
      <w:szCs w:val="22"/>
      <w:u w:val="none"/>
    </w:rPr>
  </w:style>
  <w:style w:type="character" w:customStyle="1" w:styleId="12">
    <w:name w:val="font112"/>
    <w:basedOn w:val="5"/>
    <w:qFormat/>
    <w:uiPriority w:val="0"/>
    <w:rPr>
      <w:rFonts w:hint="eastAsia" w:ascii="宋体" w:hAnsi="宋体" w:eastAsia="宋体" w:cs="宋体"/>
      <w:color w:val="000000"/>
      <w:sz w:val="18"/>
      <w:szCs w:val="18"/>
      <w:u w:val="none"/>
    </w:rPr>
  </w:style>
  <w:style w:type="character" w:customStyle="1" w:styleId="13">
    <w:name w:val="font161"/>
    <w:basedOn w:val="5"/>
    <w:qFormat/>
    <w:uiPriority w:val="0"/>
    <w:rPr>
      <w:rFonts w:hint="eastAsia" w:ascii="宋体" w:hAnsi="宋体" w:eastAsia="宋体" w:cs="宋体"/>
      <w:color w:val="000000"/>
      <w:sz w:val="18"/>
      <w:szCs w:val="18"/>
      <w:u w:val="none"/>
    </w:rPr>
  </w:style>
  <w:style w:type="character" w:customStyle="1" w:styleId="14">
    <w:name w:val="font171"/>
    <w:basedOn w:val="5"/>
    <w:qFormat/>
    <w:uiPriority w:val="0"/>
    <w:rPr>
      <w:rFonts w:hint="default" w:ascii="Arial" w:hAnsi="Arial" w:cs="Arial"/>
      <w:color w:val="000000"/>
      <w:sz w:val="18"/>
      <w:szCs w:val="18"/>
      <w:u w:val="none"/>
    </w:rPr>
  </w:style>
  <w:style w:type="character" w:customStyle="1" w:styleId="15">
    <w:name w:val="font131"/>
    <w:basedOn w:val="5"/>
    <w:qFormat/>
    <w:uiPriority w:val="0"/>
    <w:rPr>
      <w:rFonts w:hint="eastAsia" w:ascii="宋体" w:hAnsi="宋体" w:eastAsia="宋体" w:cs="宋体"/>
      <w:color w:val="000000"/>
      <w:sz w:val="18"/>
      <w:szCs w:val="18"/>
      <w:u w:val="none"/>
    </w:rPr>
  </w:style>
  <w:style w:type="character" w:customStyle="1" w:styleId="16">
    <w:name w:val="font61"/>
    <w:basedOn w:val="5"/>
    <w:qFormat/>
    <w:uiPriority w:val="0"/>
    <w:rPr>
      <w:rFonts w:hint="default" w:ascii="Arial" w:hAnsi="Arial" w:cs="Arial"/>
      <w:color w:val="000000"/>
      <w:sz w:val="20"/>
      <w:szCs w:val="20"/>
      <w:u w:val="none"/>
    </w:rPr>
  </w:style>
  <w:style w:type="character" w:customStyle="1" w:styleId="17">
    <w:name w:val="font151"/>
    <w:basedOn w:val="5"/>
    <w:qFormat/>
    <w:uiPriority w:val="0"/>
    <w:rPr>
      <w:rFonts w:hint="eastAsia" w:ascii="宋体" w:hAnsi="宋体" w:eastAsia="宋体" w:cs="宋体"/>
      <w:color w:val="000000"/>
      <w:sz w:val="18"/>
      <w:szCs w:val="18"/>
      <w:u w:val="none"/>
    </w:rPr>
  </w:style>
  <w:style w:type="character" w:customStyle="1" w:styleId="18">
    <w:name w:val="font13"/>
    <w:basedOn w:val="5"/>
    <w:qFormat/>
    <w:uiPriority w:val="0"/>
    <w:rPr>
      <w:rFonts w:hint="eastAsia" w:ascii="宋体" w:hAnsi="宋体" w:eastAsia="宋体" w:cs="宋体"/>
      <w:color w:val="000000"/>
      <w:sz w:val="18"/>
      <w:szCs w:val="18"/>
      <w:u w:val="none"/>
    </w:rPr>
  </w:style>
  <w:style w:type="character" w:customStyle="1" w:styleId="19">
    <w:name w:val="font111"/>
    <w:basedOn w:val="5"/>
    <w:qFormat/>
    <w:uiPriority w:val="0"/>
    <w:rPr>
      <w:rFonts w:hint="eastAsia" w:ascii="宋体" w:hAnsi="宋体" w:eastAsia="宋体" w:cs="宋体"/>
      <w:color w:val="000000"/>
      <w:sz w:val="18"/>
      <w:szCs w:val="18"/>
      <w:u w:val="none"/>
    </w:rPr>
  </w:style>
  <w:style w:type="character" w:customStyle="1" w:styleId="20">
    <w:name w:val="font132"/>
    <w:basedOn w:val="5"/>
    <w:qFormat/>
    <w:uiPriority w:val="0"/>
    <w:rPr>
      <w:rFonts w:hint="eastAsia" w:ascii="宋体" w:hAnsi="宋体" w:eastAsia="宋体" w:cs="宋体"/>
      <w:color w:val="000000"/>
      <w:sz w:val="18"/>
      <w:szCs w:val="18"/>
      <w:u w:val="none"/>
    </w:rPr>
  </w:style>
  <w:style w:type="character" w:customStyle="1" w:styleId="21">
    <w:name w:val="font51"/>
    <w:basedOn w:val="5"/>
    <w:qFormat/>
    <w:uiPriority w:val="0"/>
    <w:rPr>
      <w:rFonts w:hint="eastAsia" w:ascii="方正仿宋_GBK" w:hAnsi="方正仿宋_GBK" w:eastAsia="方正仿宋_GBK" w:cs="方正仿宋_GBK"/>
      <w:color w:val="000000"/>
      <w:sz w:val="18"/>
      <w:szCs w:val="18"/>
      <w:u w:val="none"/>
    </w:rPr>
  </w:style>
  <w:style w:type="character" w:customStyle="1" w:styleId="22">
    <w:name w:val="font31"/>
    <w:basedOn w:val="5"/>
    <w:qFormat/>
    <w:uiPriority w:val="0"/>
    <w:rPr>
      <w:rFonts w:hint="eastAsia" w:ascii="宋体" w:hAnsi="宋体" w:eastAsia="宋体" w:cs="宋体"/>
      <w:color w:val="000000"/>
      <w:sz w:val="18"/>
      <w:szCs w:val="18"/>
      <w:u w:val="none"/>
    </w:rPr>
  </w:style>
  <w:style w:type="character" w:customStyle="1" w:styleId="23">
    <w:name w:val="font101"/>
    <w:basedOn w:val="5"/>
    <w:qFormat/>
    <w:uiPriority w:val="0"/>
    <w:rPr>
      <w:rFonts w:hint="eastAsia" w:ascii="宋体" w:hAnsi="宋体" w:eastAsia="宋体" w:cs="宋体"/>
      <w:color w:val="000000"/>
      <w:sz w:val="18"/>
      <w:szCs w:val="18"/>
      <w:u w:val="none"/>
    </w:rPr>
  </w:style>
  <w:style w:type="character" w:customStyle="1" w:styleId="24">
    <w:name w:val="font181"/>
    <w:basedOn w:val="5"/>
    <w:qFormat/>
    <w:uiPriority w:val="0"/>
    <w:rPr>
      <w:rFonts w:hint="default" w:ascii="Arial" w:hAnsi="Arial" w:cs="Arial"/>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16</Pages>
  <Words>7594</Words>
  <Characters>8697</Characters>
  <Lines>45</Lines>
  <Paragraphs>12</Paragraphs>
  <TotalTime>0</TotalTime>
  <ScaleCrop>false</ScaleCrop>
  <LinksUpToDate>false</LinksUpToDate>
  <CharactersWithSpaces>8750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2021-09-18T03:20:00Z</dcterms:created>
  <dc:creator>Dell</dc:creator>
  <cp:lastModifiedBy>HP</cp:lastModifiedBy>
  <dcterms:modified xsi:type="dcterms:W3CDTF">2022-10-28T00:59:46Z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02C7FEC271D740819D6D953164039583</vt:lpwstr>
  </property>
</Properties>
</file>