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0" w:lineRule="exact"/>
        <w:jc w:val="center"/>
        <w:rPr>
          <w:rFonts w:ascii="宋体"/>
          <w:sz w:val="52"/>
        </w:rPr>
      </w:pPr>
      <w:r>
        <w:rPr>
          <w:rFonts w:hint="eastAsia" w:ascii="宋体"/>
          <w:sz w:val="52"/>
        </w:rPr>
        <w:t>云阳县市场监督管理局</w:t>
      </w:r>
    </w:p>
    <w:p>
      <w:pPr>
        <w:snapToGrid w:val="0"/>
        <w:spacing w:afterLines="50" w:line="1200" w:lineRule="exact"/>
        <w:jc w:val="center"/>
        <w:rPr>
          <w:rFonts w:ascii="黑体" w:eastAsia="黑体"/>
          <w:snapToGrid w:val="0"/>
          <w:spacing w:val="60"/>
          <w:kern w:val="0"/>
          <w:sz w:val="72"/>
        </w:rPr>
      </w:pPr>
      <w:r>
        <w:rPr>
          <w:rFonts w:hint="eastAsia" w:ascii="黑体" w:eastAsia="黑体"/>
          <w:snapToGrid w:val="0"/>
          <w:spacing w:val="60"/>
          <w:kern w:val="0"/>
          <w:sz w:val="72"/>
        </w:rPr>
        <w:t>行政处罚决定书</w:t>
      </w:r>
    </w:p>
    <w:p>
      <w:pPr>
        <w:wordWrap w:val="0"/>
        <w:snapToGrid w:val="0"/>
        <w:spacing w:beforeLines="100" w:afterLines="200" w:line="520" w:lineRule="exact"/>
        <w:jc w:val="center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538480</wp:posOffset>
                </wp:positionV>
                <wp:extent cx="5684520" cy="0"/>
                <wp:effectExtent l="0" t="9525" r="1143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1pt;margin-top:42.4pt;height:0pt;width:447.6pt;z-index:251659264;mso-width-relative:page;mso-height-relative:page;" filled="f" stroked="t" coordsize="21600,21600" o:gfxdata="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GpZy7UAAAACAEAAA8AAAAA&#10;AAAAAQAgAAAAIgAAAGRycy9kb3ducmV2LnhtbFBLAQIUABQAAAAIAIdO4kALhfdA3wEAAKUDAAAO&#10;AAAAAAAAAAEAIAAAACM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60288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14omtoAAAALAQAADwAAAAAAAAABACAAAAAiAAAAZHJzL2Rvd25yZXYueG1sUEsBAhQAFAAAAAgA&#10;h07iQGdAmnnqAQAArgMAAA4AAAAAAAAAAQAgAAAAKQEAAGRycy9lMm9Eb2MueG1sUEsFBgAAAAAG&#10;AAYAWQEAAIUFAAAAAA=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渝云阳市监处字〔202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288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号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当事人：重庆启点餐饮有限公司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主体资格证照名称：营业执照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统一社会信用代码：91500235MACA75JM0K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住所：重庆市云阳县南溪镇天运路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号1-1（自主承诺）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法定代表人：熊春英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联系地址：重庆市云阳县南溪镇天运路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号1-1</w:t>
      </w:r>
    </w:p>
    <w:p>
      <w:pPr>
        <w:spacing w:before="104" w:line="300" w:lineRule="auto"/>
        <w:ind w:right="16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23时许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，云阳县市场监督管理局执法人员依法对位于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重庆市云阳县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南溪镇天运路60号1-1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重庆启点餐饮有限公司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进行了现场检查，当事人现场负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责人张俞在现场并全程陪同检查。经执法人员现场检查，在该店店内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雅一包间内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发现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重庆啤酒1瓶，未开封，呈浑浊状，内有疑似蚊虫的异物若干，底部有白色絮状物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。当事人经营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的预包装食品的行为，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涉嫌违反《中华人民共和国食品安全法》第三十四条第（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）项的规定。202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执法人员经报局分管领导审批，将上述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的预包装食品依法予以扣押，并出具了《实施行政强制措施决定书》（云阳市监强制﹝2023﹞78号）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对现场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情况进行了拍照确认，对实施强制措施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情况进行了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摄像取证。</w:t>
      </w:r>
    </w:p>
    <w:p>
      <w:pPr>
        <w:spacing w:before="104" w:line="300" w:lineRule="auto"/>
        <w:ind w:right="16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经局领导批准，决定立案调查，并指定由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李林、谭青松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承办此案，立案调查期间，执法人员询问了当事人，并提取了当事人的营业执照、身份证复印件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及现场照片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等相关证据材料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现本案已调查终结。</w:t>
      </w:r>
    </w:p>
    <w:p>
      <w:pPr>
        <w:spacing w:before="104" w:line="300" w:lineRule="auto"/>
        <w:ind w:right="16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经查：当事人于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2023年3月14日依法登记取得了《营业执照》，于2023年5月7日依法取得了《食品经营许可证》，在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重庆市云阳县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南溪镇天运路60号1-1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从事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热食类食品制售、冷食类食品制售等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经营活动。</w:t>
      </w:r>
    </w:p>
    <w:p>
      <w:pPr>
        <w:spacing w:before="104" w:line="300" w:lineRule="auto"/>
        <w:ind w:right="16" w:firstLine="640" w:firstLineChars="200"/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23时许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本局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执法人员对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重庆启点餐饮有限公司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进行了现场检查，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当事人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向执法人员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提供了《营业执照》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和《食品经营许可证》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《营业执照》显示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统一社会信用代码：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</w:rPr>
        <w:t>9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1500235MACA75JM0K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,类型：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有限责任公司（自然人独资）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法定代表人：熊春英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住所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重庆市云阳县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南溪镇天运路60号1-1（自主承诺）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</w:rPr>
        <w:t>经营范围：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餐饮服务、住宿服务，餐饮管理，单位后勤管理服务，外卖递送服务，食品销售等；《食品经营许可证》显示：编号：JY25002351055110，经营场所：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重庆市云阳县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南溪镇天运路60号1-1，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主体业态：中型餐馆经营者（含网络经营），经营项目：冷食类食品制售（含肉类冷食）；特殊食品销售（保健品销售）；热食类食品制售。2023年5月7日，有效期至：2028年5月6日。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该店门头为“启点大排档”，经营场所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约500平方米，进门左侧是收银台，中间是堂食就餐区，右侧一排为包间区，最外侧为雅一包间。</w:t>
      </w:r>
    </w:p>
    <w:p>
      <w:pPr>
        <w:spacing w:before="104" w:line="300" w:lineRule="auto"/>
        <w:ind w:right="16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检查时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本局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执法人员在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该店内雅一包间内发现了1瓶重庆啤酒，外包装显示：20230626 08.501#，净含量：468ml，执行标准：GB/T4927（优级），生产日期：见喷码标签，标签喷码末拼音字母代表产地，贮存条件：宜在5°C~25°C避光、干燥贮存，保质期：6个月，生产厂家：嘉士伯重庆啤酒有限公司万州分公司，地址：重庆市万州区五桥街道办事处红星东路489号，产地：重庆市万州区（WZ）SC11550010150157。上述啤酒处于保质期内，未开封，呈浑浊状，内有疑似蚊虫的异物若干，底部有白色絮状物。同时，执法人员依法对该店其他啤酒进行查验，未发现其他疑似混有异物、感官性状异常的啤酒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执法人员经报局分管领导审批，将上述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的预包装食品依法予以扣押，并出具了《实施行政强制措施决定书》（云阳市监强制﹝2023﹞78号）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对现场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情况进行了拍照确认，对实施强制措施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</w:rPr>
        <w:t>情况进行了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摄像取证。</w:t>
      </w:r>
    </w:p>
    <w:p>
      <w:pPr>
        <w:spacing w:before="104" w:line="300" w:lineRule="auto"/>
        <w:ind w:right="16"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经询问当事人，当事人未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auto"/>
          <w:lang w:val="en-US" w:eastAsia="zh-CN"/>
        </w:rPr>
        <w:t>建立食品进货查验记录制度，未如实记录食品的名称、规格、数量、生产日期或者生产批号、保质期、进货日期等所经营的产品信息，但通过保存营业执照和微信的方式记录了供货者名称、地址、联系方式；同时当事人无法提供上述啤酒的进货票据等有关凭证。</w:t>
      </w:r>
    </w:p>
    <w:p>
      <w:pPr>
        <w:spacing w:before="104" w:line="300" w:lineRule="auto"/>
        <w:ind w:right="16"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auto"/>
          <w:lang w:val="en-US" w:eastAsia="zh-CN"/>
        </w:rPr>
        <w:t>经询问当事人和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时许在该店雅一包间消费的顾客，当事人以6元/瓶的价格，已将上述重庆啤酒销售给了该顾客。经现场检查和询问当事人、询问该顾客，该啤酒尚未开封，未被顾客饮用。同时，该顾客称经食用当事人所提供的烧烤、江湖菜、冰啤酒产生了身体不适，但该顾客未到正规医院就医，无法提供相关医学诊断书等证明材料证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晚身体不适的原因。</w:t>
      </w:r>
    </w:p>
    <w:p>
      <w:pPr>
        <w:spacing w:before="104" w:line="300" w:lineRule="auto"/>
        <w:ind w:right="16"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上述混有异物、感官性状异常的预包装食品价格为6元/瓶，数量为1瓶，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故当事人的货值金额为6元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根据《中华人民共和国行政处罚法》第二十八条第二款“……违法所得是指实施违法行为所取得的款项。……”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，故当事人实施违法行为的违法所得为6元。</w:t>
      </w:r>
    </w:p>
    <w:p>
      <w:pPr>
        <w:widowControl/>
        <w:ind w:firstLine="664" w:firstLineChars="200"/>
        <w:jc w:val="lef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上述事实，主要有以下证据证明：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第一组：当事人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营业执照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、身份证复印件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委托代理人身份证复印件、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授权委托书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，证明当事人的主体资格情况；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第二组：《现场笔录》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《询问笔录》及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现场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照片，证明当事人经营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的预包装食品；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第三组：当事人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营业执照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》、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《现场笔录》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《询问笔录》证明当事人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  <w:lang w:val="en-US" w:eastAsia="zh-CN"/>
        </w:rPr>
        <w:t>为有限责任公司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（自然人独资）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  <w:lang w:val="en-US" w:eastAsia="zh-CN"/>
        </w:rPr>
        <w:t>，未建立食品进货查验记录制度如实记录有关信息并保存相关凭证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组：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《询问笔录》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顾客《询问笔录》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现场照片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，证明当事人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经营的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的预包装食品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销售；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组：《现场笔录》《询问笔录》及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现场照片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，证明当事人经营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的预包装食品的货值金额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违法所得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 xml:space="preserve">情况；                       </w:t>
      </w:r>
    </w:p>
    <w:p>
      <w:pPr>
        <w:widowControl/>
        <w:ind w:firstLine="664" w:firstLineChars="200"/>
        <w:jc w:val="lef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日，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局向当事人送达了《行政处罚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听证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告知书》，依法告知了当事人拟作出行政处罚的事实、理由、依据、内容和陈述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申辩的权利，当事人在法定期限内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进行陈述申辩意见。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本局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认为，当事人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作为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  <w:lang w:val="en-US" w:eastAsia="zh-CN"/>
        </w:rPr>
        <w:t>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（自然人独资），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从事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餐饮服务经营活动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未记录经营产品信息、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auto"/>
          <w:lang w:val="en-US" w:eastAsia="zh-CN"/>
        </w:rPr>
        <w:t>并索要并保存进货票据，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其行为违反了《中华人民共和国食品安全法》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</w:rPr>
        <w:t>第五十三条第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</w:rPr>
        <w:t>款“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  <w:lang w:val="en-US" w:eastAsia="zh-CN"/>
        </w:rPr>
        <w:t>食品经营企业应当建立食品进货查验记录制度，如实记录食品的名称、规格、数量、生产日期或者生产批号、保质期、进货日期以及供货者名称、地址、联系方式等内容，并保存相关凭证。记录和凭证保存期限应当符合本法第五十条第二款的规定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</w:rPr>
        <w:t>”的规定，属于未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  <w:lang w:val="en-US" w:eastAsia="zh-CN"/>
        </w:rPr>
        <w:t>建立并履行食品进货查验记录制度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</w:rPr>
        <w:t>的违法行为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</w:rPr>
        <w:t>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同时，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当事人从事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餐饮服务经营活动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没有对经营的预包装食品及时查验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并清理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，导致经营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混有异物、感官性状异常的预包装食品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，其行为违反了《中华人民共和国食品安全法》第三十四条第（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）项“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禁止生产经营下列食品、食品添加剂、食品相关产品：……（六）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腐败变质、油脂酸败、霉变生虫、污秽不洁、混有异物、掺假掺杂或者感官性状异常的食品、食品添加剂；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……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”的规定，属于经营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的食品的违法行为。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在案件调查期间，当事人积极配合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如实陈述违法行为，从调查情况来看，当事人经营的涉案食品货值金额较少，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具有《重庆市市场监督管理行政处罚裁量基准》之&lt;《中华人民共和国食品安全法》行政裁量基准&gt;规定的M00100501：“产品未销售；或者产品已经销售且货值金额不足1000 元”的裁量因素，其裁量等级符合减轻处罚，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根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据《重庆市市场监督管理行政处罚裁量基准》第十四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项“当事人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有下列情形之一的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从轻或者减轻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行政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处罚：（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）涉案财物或违法所得较少”的规定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对当事人给予减轻处罚。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综上，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bidi="ar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“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</w:rPr>
        <w:t>未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u w:val="none"/>
          <w:lang w:val="en-US" w:eastAsia="zh-CN"/>
        </w:rPr>
        <w:t>建立并履行食品进货查验记录制度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”的违法行为，根据《中华人民共和国食品安全法》第一百二十六条第一款第（三）项“违反本法规定，有下列情形之一的，由县级以上人民政府食品安全监督管理部门责令改正，给予警告；拒不改正的，处五千元以上五万元以下罚款；情节严重的，责令停产停业，直至吊销许可证：（三）食品、食品添加剂生产经营者进货时未查验许可证和相关证明文件，或者未按规定建立并遵守进货查验记录、出厂检验记录和销售记录制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”的规定，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责令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当事人立即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改正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做出如下处理：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警告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同时，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对当事人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的食品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的违法行为，根据《中华人民共和国行政处罚法》第二十八条第一款“行政机关实施行政处罚时，应当责令当事人改正或者限期改正违法行为”和《中华人民共和国食品安全法》第一百二十四条第一款第（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）项“违反本法规定，有下列情形之一，尚不构成犯罪的，由县级以上人民政府食品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监督管理部门没收违法所得和违法生产经营的食品、食品添加剂，并可以没收用于违法生产经营的工具、设备、原料等物品；违法生产经营的食品、食品添加剂货值金额不足一万元的，并处五万元以上十万元以下罚款；货值金额一万元以上的，并处货值金额十倍以上二十倍以下罚款；情节严重的，吊销许可证：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）腐败变质、油脂酸败、霉变生虫、污秽不洁、混有异物、掺假掺杂或者感官性状异常的食品、食品添加剂；”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的规定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责令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立即改正违法行为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当事人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作出如下处理：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没收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混有异物、感官性状异常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的预包装食品（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重庆啤酒1瓶）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没收违法所得6元；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>罚款人民币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</w:rPr>
        <w:t xml:space="preserve">000元。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64" w:firstLineChars="200"/>
        <w:jc w:val="lef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当事人应当自收到本处罚决定书之日起十五日内，将罚款缴至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重庆农村商业银行股份有限公司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（账户：云阳县财政局，账号：3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701010120260000017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）；到期不缴纳罚款的，依据《中华人民共和国行政处罚法》第七十五条的规定，本局将每日按罚款数额的百分之三加处罚款，并依法申请人民法院强制执行。</w:t>
      </w:r>
    </w:p>
    <w:p>
      <w:pPr>
        <w:widowControl/>
        <w:ind w:firstLine="664" w:firstLineChars="200"/>
        <w:jc w:val="lef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如不服本处罚决定，可以在收到本行政处罚决定书之日起六十日内，向云阳县人民政府申请行政复议；也可以在六个月内依法向云阳县人民法院提起行政诉讼。申请行政复议或者提起行政诉讼期间，行政处罚不停止执行。</w:t>
      </w:r>
    </w:p>
    <w:p>
      <w:pPr>
        <w:widowControl/>
        <w:ind w:firstLine="664" w:firstLineChars="200"/>
        <w:jc w:val="lef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 </w:t>
      </w: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云阳县市场监督管理局</w:t>
      </w: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印  章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）</w:t>
      </w: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                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 202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 xml:space="preserve">　 </w:t>
      </w:r>
    </w:p>
    <w:p>
      <w:pPr>
        <w:widowControl/>
        <w:ind w:firstLine="664" w:firstLineChars="200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(市场监督管理部门将依法向社会公示本行政处罚决定事项)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方正仿宋_GBK" w:hAnsi="方正仿宋_GBK" w:eastAsia="方正仿宋_GBK" w:cs="方正仿宋_GBK"/>
        <w:sz w:val="24"/>
        <w:szCs w:val="36"/>
        <w:lang w:eastAsia="zh-CN"/>
      </w:rPr>
    </w:pP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t xml:space="preserve">第 </w:t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t>1</w:t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t xml:space="preserve"> 页 共 </w:t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instrText xml:space="preserve"> NUMPAGES  \* MERGEFORMAT </w:instrText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t>9</w:t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36"/>
        <w:lang w:eastAsia="zh-CN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仿宋_GB2312" w:hAnsi="仿宋_GB2312" w:eastAsia="仿宋_GB2312" w:cs="仿宋_GB2312"/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仿宋_GB2312" w:hAnsi="仿宋_GB2312" w:eastAsia="仿宋_GB2312" w:cs="仿宋_GB2312"/>
        <w:sz w:val="24"/>
        <w:szCs w:val="24"/>
      </w:rPr>
    </w:pPr>
    <w:r>
      <w:rPr>
        <w:rFonts w:ascii="仿宋_GB2312" w:hAnsi="仿宋_GB2312" w:eastAsia="仿宋_GB2312" w:cs="仿宋_GB2312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Y1NmYxNjc3YTA0ZjEwM2FhYWE0NjYwMjUxYjEifQ=="/>
    <w:docVar w:name="KSO_WPS_MARK_KEY" w:val="9a234d27-15e1-45cd-a033-08cecdca0180"/>
  </w:docVars>
  <w:rsids>
    <w:rsidRoot w:val="00E6655F"/>
    <w:rsid w:val="00CF5E14"/>
    <w:rsid w:val="00E6655F"/>
    <w:rsid w:val="032A6800"/>
    <w:rsid w:val="06786F90"/>
    <w:rsid w:val="080445D8"/>
    <w:rsid w:val="0D1D6996"/>
    <w:rsid w:val="240D28BD"/>
    <w:rsid w:val="2B37221F"/>
    <w:rsid w:val="2BE01D65"/>
    <w:rsid w:val="2E9E6ABF"/>
    <w:rsid w:val="32AA1A46"/>
    <w:rsid w:val="39EB5EAD"/>
    <w:rsid w:val="479E31E0"/>
    <w:rsid w:val="491C77AC"/>
    <w:rsid w:val="496F0843"/>
    <w:rsid w:val="4CBC76B6"/>
    <w:rsid w:val="4CCB7660"/>
    <w:rsid w:val="4EDC022F"/>
    <w:rsid w:val="50853D33"/>
    <w:rsid w:val="62A36DC8"/>
    <w:rsid w:val="657902F1"/>
    <w:rsid w:val="696E673B"/>
    <w:rsid w:val="6F5C50CB"/>
    <w:rsid w:val="74D8599C"/>
    <w:rsid w:val="755913C0"/>
    <w:rsid w:val="75BD02DB"/>
    <w:rsid w:val="762D1626"/>
    <w:rsid w:val="77D36137"/>
    <w:rsid w:val="78E23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3614</Words>
  <Characters>3851</Characters>
  <Lines>3</Lines>
  <Paragraphs>8</Paragraphs>
  <TotalTime>0</TotalTime>
  <ScaleCrop>false</ScaleCrop>
  <LinksUpToDate>false</LinksUpToDate>
  <CharactersWithSpaces>3896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2022-02-22T11:52:00Z</dcterms:created>
  <dc:creator>cxdn</dc:creator>
  <cp:lastModifiedBy>Administrator</cp:lastModifiedBy>
  <cp:lastPrinted>2023-11-09T03:16:00Z</cp:lastPrinted>
  <dcterms:modified xsi:type="dcterms:W3CDTF">2023-12-07T07:42:32Z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8C3B6CB3D83547779A6795152F9B2B90</vt:lpwstr>
  </property>
</Properties>
</file>