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FDC" w:rsidRDefault="00BC1FDC" w:rsidP="00BC1FDC">
      <w:pPr>
        <w:widowControl/>
        <w:spacing w:line="540" w:lineRule="exact"/>
        <w:jc w:val="center"/>
        <w:rPr>
          <w:rFonts w:ascii="方正小标宋_GBK" w:eastAsia="方正小标宋_GBK" w:hAnsi="Times New Roman" w:cs="宋体" w:hint="eastAsia"/>
          <w:color w:val="000000"/>
          <w:kern w:val="0"/>
          <w:sz w:val="44"/>
          <w:szCs w:val="44"/>
        </w:rPr>
      </w:pPr>
    </w:p>
    <w:p w:rsidR="00BC1FDC" w:rsidRDefault="00BC1FDC" w:rsidP="00BC1FDC">
      <w:pPr>
        <w:widowControl/>
        <w:spacing w:line="540" w:lineRule="exact"/>
        <w:jc w:val="center"/>
        <w:rPr>
          <w:rFonts w:ascii="方正小标宋_GBK" w:eastAsia="方正小标宋_GBK" w:hAnsi="Times New Roman" w:cs="宋体" w:hint="eastAsia"/>
          <w:color w:val="000000"/>
          <w:kern w:val="0"/>
          <w:sz w:val="44"/>
          <w:szCs w:val="44"/>
        </w:rPr>
      </w:pPr>
    </w:p>
    <w:p w:rsidR="00BC1FDC" w:rsidRDefault="00794DCF" w:rsidP="00BC1FDC">
      <w:pPr>
        <w:widowControl/>
        <w:spacing w:line="540" w:lineRule="exact"/>
        <w:jc w:val="center"/>
        <w:rPr>
          <w:rFonts w:ascii="方正小标宋_GBK" w:eastAsia="方正小标宋_GBK" w:hAnsi="Times New Roman" w:cs="宋体" w:hint="eastAsia"/>
          <w:color w:val="000000"/>
          <w:kern w:val="0"/>
          <w:sz w:val="44"/>
          <w:szCs w:val="44"/>
        </w:rPr>
      </w:pPr>
      <w:r>
        <w:rPr>
          <w:rFonts w:ascii="方正小标宋_GBK" w:eastAsia="方正小标宋_GBK" w:hAnsi="Times New Roman" w:cs="宋体" w:hint="eastAsia"/>
          <w:color w:val="000000"/>
          <w:kern w:val="0"/>
          <w:sz w:val="44"/>
          <w:szCs w:val="44"/>
        </w:rPr>
        <w:t>云阳县人民政府</w:t>
      </w:r>
    </w:p>
    <w:p w:rsidR="00BC1FDC" w:rsidRDefault="00794DCF" w:rsidP="00BC1FDC">
      <w:pPr>
        <w:widowControl/>
        <w:spacing w:line="540" w:lineRule="exact"/>
        <w:jc w:val="center"/>
        <w:rPr>
          <w:rFonts w:ascii="方正小标宋_GBK" w:eastAsia="方正小标宋_GBK" w:hAnsi="Times New Roman" w:cs="宋体" w:hint="eastAsia"/>
          <w:color w:val="000000"/>
          <w:kern w:val="0"/>
          <w:sz w:val="44"/>
          <w:szCs w:val="44"/>
        </w:rPr>
      </w:pPr>
      <w:r>
        <w:rPr>
          <w:rFonts w:ascii="方正小标宋_GBK" w:eastAsia="方正小标宋_GBK" w:hAnsi="Times New Roman" w:cs="宋体" w:hint="eastAsia"/>
          <w:color w:val="000000"/>
          <w:kern w:val="0"/>
          <w:sz w:val="44"/>
          <w:szCs w:val="44"/>
        </w:rPr>
        <w:t>关于新形势下推动服务业</w:t>
      </w:r>
      <w:r>
        <w:rPr>
          <w:rFonts w:ascii="方正小标宋_GBK" w:eastAsia="方正小标宋_GBK" w:hAnsi="Times New Roman" w:cs="宋体" w:hint="eastAsia"/>
          <w:color w:val="000000"/>
          <w:kern w:val="0"/>
          <w:sz w:val="44"/>
          <w:szCs w:val="44"/>
        </w:rPr>
        <w:t>高质量发展的</w:t>
      </w:r>
    </w:p>
    <w:p w:rsidR="00F34933" w:rsidRPr="00BC1FDC" w:rsidRDefault="00794DCF" w:rsidP="00BC1FDC">
      <w:pPr>
        <w:widowControl/>
        <w:spacing w:line="540" w:lineRule="exact"/>
        <w:jc w:val="center"/>
        <w:rPr>
          <w:rFonts w:ascii="方正小标宋_GBK" w:eastAsia="方正小标宋_GBK" w:hAnsi="Times New Roman" w:cs="宋体"/>
          <w:color w:val="000000"/>
          <w:kern w:val="0"/>
          <w:sz w:val="44"/>
          <w:szCs w:val="44"/>
        </w:rPr>
      </w:pPr>
      <w:r>
        <w:rPr>
          <w:rFonts w:ascii="方正小标宋_GBK" w:eastAsia="方正小标宋_GBK" w:hAnsi="Times New Roman" w:cs="宋体" w:hint="eastAsia"/>
          <w:color w:val="000000"/>
          <w:kern w:val="0"/>
          <w:sz w:val="44"/>
          <w:szCs w:val="44"/>
        </w:rPr>
        <w:t>意见</w:t>
      </w:r>
    </w:p>
    <w:p w:rsidR="00F34933" w:rsidRDefault="00794DCF">
      <w:pPr>
        <w:widowControl/>
        <w:spacing w:line="570" w:lineRule="atLeast"/>
        <w:ind w:firstLineChars="200" w:firstLine="640"/>
        <w:jc w:val="center"/>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云阳府发</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2020</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21</w:t>
      </w:r>
      <w:r>
        <w:rPr>
          <w:rFonts w:ascii="Times New Roman" w:eastAsia="方正仿宋_GBK" w:hAnsi="Times New Roman" w:cs="宋体" w:hint="eastAsia"/>
          <w:color w:val="000000"/>
          <w:kern w:val="0"/>
          <w:sz w:val="32"/>
          <w:szCs w:val="32"/>
        </w:rPr>
        <w:t>号</w:t>
      </w:r>
    </w:p>
    <w:p w:rsidR="00F34933" w:rsidRDefault="00F34933">
      <w:pPr>
        <w:widowControl/>
        <w:spacing w:line="570" w:lineRule="atLeast"/>
        <w:ind w:firstLineChars="200" w:firstLine="640"/>
        <w:jc w:val="center"/>
        <w:rPr>
          <w:rFonts w:ascii="Times New Roman" w:eastAsia="方正仿宋_GBK" w:hAnsi="Times New Roman" w:cs="宋体"/>
          <w:kern w:val="0"/>
          <w:sz w:val="32"/>
          <w:szCs w:val="32"/>
        </w:rPr>
      </w:pPr>
    </w:p>
    <w:p w:rsidR="00F34933" w:rsidRDefault="00794DCF">
      <w:pPr>
        <w:widowControl/>
        <w:spacing w:line="570" w:lineRule="atLeas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各乡镇政府、街道办事处，县政府各部门，有关单位：</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为贯彻落实全市推动服务业高质量发展大会精神，根据《重庆市人民政府关于新形势下推动服务业高质量发展的意见》要求，现就新形势下推动我县服务业高质量发展提出如下意见。</w:t>
      </w:r>
    </w:p>
    <w:p w:rsidR="00F34933" w:rsidRDefault="00794DCF">
      <w:pPr>
        <w:widowControl/>
        <w:spacing w:line="600" w:lineRule="exact"/>
        <w:ind w:firstLineChars="200" w:firstLine="640"/>
        <w:rPr>
          <w:rFonts w:ascii="方正黑体_GBK" w:eastAsia="方正黑体_GBK" w:hAnsi="Times New Roman" w:cs="宋体"/>
          <w:kern w:val="0"/>
          <w:sz w:val="32"/>
          <w:szCs w:val="32"/>
        </w:rPr>
      </w:pPr>
      <w:r>
        <w:rPr>
          <w:rFonts w:ascii="方正黑体_GBK" w:eastAsia="方正黑体_GBK" w:hAnsi="Times New Roman" w:cs="宋体" w:hint="eastAsia"/>
          <w:color w:val="000000"/>
          <w:kern w:val="0"/>
          <w:sz w:val="32"/>
          <w:szCs w:val="32"/>
        </w:rPr>
        <w:t>一、总体要求</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以习近平新时代中国特色社会主义思想为指导，深化服务业供给侧结构性改革，结合新冠肺炎疫情防控和复工复产经验启示，着力构建优质高效、布局合理、融合共享的现代服务产业体系。围绕成渝地区双城经济圈建设打造成渝地区生态优先示范地、绿色发展先行地、公园城市标杆地、科技创新转化集聚地和三峡城市核心区重要支撑的目标，推动绿色工业和现代服务业集聚区、渝东北创新高地、成渝地区区县级大数据智能化标杆城市、三峡库区综合交通副枢纽、渝东北物流枢纽节点城市、渝东北农</w:t>
      </w:r>
      <w:r>
        <w:rPr>
          <w:rFonts w:ascii="Times New Roman" w:eastAsia="方正仿宋_GBK" w:hAnsi="Times New Roman" w:cs="宋体" w:hint="eastAsia"/>
          <w:color w:val="000000"/>
          <w:kern w:val="0"/>
          <w:sz w:val="32"/>
          <w:szCs w:val="32"/>
        </w:rPr>
        <w:lastRenderedPageBreak/>
        <w:t>产品分拣配送中心、国内外知名文化旅游目的地、三峡健康城和渝东北川东北东</w:t>
      </w:r>
      <w:r>
        <w:rPr>
          <w:rFonts w:ascii="Times New Roman" w:eastAsia="方正仿宋_GBK" w:hAnsi="Times New Roman" w:cs="宋体" w:hint="eastAsia"/>
          <w:color w:val="000000"/>
          <w:kern w:val="0"/>
          <w:sz w:val="32"/>
          <w:szCs w:val="32"/>
        </w:rPr>
        <w:t>向开放“桥头堡”等建设取得显著成效，初步建成渝东北现代服务经济中心。到</w:t>
      </w:r>
      <w:r>
        <w:rPr>
          <w:rFonts w:ascii="Times New Roman" w:eastAsia="方正仿宋_GBK" w:hAnsi="Times New Roman" w:cs="宋体" w:hint="eastAsia"/>
          <w:color w:val="000000"/>
          <w:kern w:val="0"/>
          <w:sz w:val="32"/>
          <w:szCs w:val="32"/>
        </w:rPr>
        <w:t>2025</w:t>
      </w:r>
      <w:r>
        <w:rPr>
          <w:rFonts w:ascii="Times New Roman" w:eastAsia="方正仿宋_GBK" w:hAnsi="Times New Roman" w:cs="宋体" w:hint="eastAsia"/>
          <w:color w:val="000000"/>
          <w:kern w:val="0"/>
          <w:sz w:val="32"/>
          <w:szCs w:val="32"/>
        </w:rPr>
        <w:t>年，服务业增加值规模不断扩大，服务业结构更加优化，吸纳就业能力持续提升，服务业影响力进一步扩大。</w:t>
      </w:r>
    </w:p>
    <w:p w:rsidR="00F34933" w:rsidRDefault="00794DCF">
      <w:pPr>
        <w:widowControl/>
        <w:spacing w:line="600" w:lineRule="exact"/>
        <w:ind w:firstLineChars="200" w:firstLine="640"/>
        <w:rPr>
          <w:rFonts w:ascii="方正黑体_GBK" w:eastAsia="方正黑体_GBK" w:hAnsi="Times New Roman" w:cs="宋体"/>
          <w:kern w:val="0"/>
          <w:sz w:val="32"/>
          <w:szCs w:val="32"/>
        </w:rPr>
      </w:pPr>
      <w:r>
        <w:rPr>
          <w:rFonts w:ascii="方正黑体_GBK" w:eastAsia="方正黑体_GBK" w:hAnsi="Times New Roman" w:cs="宋体" w:hint="eastAsia"/>
          <w:color w:val="000000"/>
          <w:kern w:val="0"/>
          <w:sz w:val="32"/>
          <w:szCs w:val="32"/>
        </w:rPr>
        <w:t>二、发展路径</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（一）坚持创新发展，增强服务动能。</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以大数据智能化为引领，以成渝地区联合创建国家数字经济创新发展试验区为契机，以数智森林小镇为平台，依托新一代信息技术，加快创新技术及场景在云阳落地。深挖服务业跨界价值，推动一二三产业深度融合，强化龙头企业引领作用，激发专精特新中小微企业发展活力，为服务业发展注入新动能。</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（二）坚持协调发展，优化服务布局。</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构建以县城为引领的城市发展核心，着力发展数字经济、现代金融、现代物流、高端商贸、文化旅游、大健康等现代服务业；同时构建以“江口—南溪”为区域性中心的北部增长极和以“龙角—普安”为区域性中心的南部增长极，打造一批以旅游休闲、健康疗养、文化民俗、特色商贸、特色制造为亮点的特色乡镇。</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（三）坚持绿色发展，提升服务水平。</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lastRenderedPageBreak/>
        <w:t>加快建立以产业生态化和生态产业化为主体的生态服务体系。大力发展绿色金融、绿色物流等生产性服务业，做优生态康养、文化旅游等特色服务业，做强“天生云阳”“云阳洋”等</w:t>
      </w:r>
      <w:r>
        <w:rPr>
          <w:rFonts w:ascii="Times New Roman" w:eastAsia="方正仿宋_GBK" w:hAnsi="Times New Roman" w:cs="宋体" w:hint="eastAsia"/>
          <w:color w:val="000000"/>
          <w:kern w:val="0"/>
          <w:sz w:val="32"/>
          <w:szCs w:val="32"/>
        </w:rPr>
        <w:t>本地品牌，加强服务品牌保护力度。</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（四）坚持开放发展，拓展服务空间。</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总结推广国家服务业综合改革试点经验，充分发挥市场配置资源的决定性作用，深入推进“不叫不到、随叫随到、服务周到”服务型政府建设</w:t>
      </w:r>
      <w:r>
        <w:rPr>
          <w:rFonts w:ascii="Times New Roman" w:eastAsia="方正仿宋_GBK" w:hAnsi="Times New Roman" w:cs="宋体"/>
          <w:kern w:val="0"/>
          <w:sz w:val="32"/>
          <w:szCs w:val="32"/>
        </w:rPr>
        <w:t>。培育开放型产业，壮大外向型企业，不断开拓异地市场，推动服务贸易、服务业利用外资持续增加。</w:t>
      </w:r>
      <w:r>
        <w:rPr>
          <w:rFonts w:ascii="Times New Roman" w:eastAsia="方正仿宋_GBK" w:hAnsi="Times New Roman" w:cs="宋体" w:hint="eastAsia"/>
          <w:color w:val="000000"/>
          <w:kern w:val="0"/>
          <w:sz w:val="32"/>
          <w:szCs w:val="32"/>
        </w:rPr>
        <w:t>积极融入“智博会”“西洽会”等平台，加快引进一批产业带动好、市场竞争力强的项目。</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（五）坚持共享发展，强化服务效能。</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大力发展公共服务业，促进基本公共服务均等化，扩充地区优质公共服务资源供给。提档升级医养康养服务，完善生育服务体系和学前教育投入机制，统筹解决“一老一小”问题。</w:t>
      </w:r>
    </w:p>
    <w:p w:rsidR="00F34933" w:rsidRDefault="00794DCF">
      <w:pPr>
        <w:widowControl/>
        <w:spacing w:line="600" w:lineRule="exact"/>
        <w:ind w:firstLineChars="200" w:firstLine="640"/>
        <w:rPr>
          <w:rFonts w:ascii="方正黑体_GBK" w:eastAsia="方正黑体_GBK" w:hAnsi="Times New Roman" w:cs="宋体"/>
          <w:kern w:val="0"/>
          <w:sz w:val="32"/>
          <w:szCs w:val="32"/>
        </w:rPr>
      </w:pPr>
      <w:r>
        <w:rPr>
          <w:rFonts w:ascii="方正黑体_GBK" w:eastAsia="方正黑体_GBK" w:hAnsi="Times New Roman" w:cs="宋体" w:hint="eastAsia"/>
          <w:color w:val="000000"/>
          <w:kern w:val="0"/>
          <w:sz w:val="32"/>
          <w:szCs w:val="32"/>
        </w:rPr>
        <w:t>三、重点任务</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（一）金融服务</w:t>
      </w:r>
      <w:r>
        <w:rPr>
          <w:rFonts w:ascii="方正楷体_GBK" w:eastAsia="方正楷体_GBK" w:hAnsi="Times New Roman" w:cs="宋体" w:hint="eastAsia"/>
          <w:kern w:val="0"/>
          <w:sz w:val="32"/>
          <w:szCs w:val="32"/>
        </w:rPr>
        <w:t>。</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以多元化金融机构、多样化金融产品、多方位金融对接为方向，加强招商引资，进一步扩充金融服务体系。大力发展绿色金融、消费金融、科技金融等，鼓励发展“不见面”金融。加大外</w:t>
      </w:r>
      <w:r>
        <w:rPr>
          <w:rFonts w:ascii="Times New Roman" w:eastAsia="方正仿宋_GBK" w:hAnsi="Times New Roman" w:cs="宋体" w:hint="eastAsia"/>
          <w:color w:val="000000"/>
          <w:kern w:val="0"/>
          <w:sz w:val="32"/>
          <w:szCs w:val="32"/>
        </w:rPr>
        <w:lastRenderedPageBreak/>
        <w:t>汇本地结算服务力度。积极引导各家银行按照“一行一主业、一行一支持重点”实行差异化服务；积极推动保险市场向纵深发展，打造有活力、有竞争、有质量、有保障、多元化</w:t>
      </w:r>
      <w:r>
        <w:rPr>
          <w:rFonts w:ascii="Times New Roman" w:eastAsia="方正仿宋_GBK" w:hAnsi="Times New Roman" w:cs="宋体" w:hint="eastAsia"/>
          <w:color w:val="000000"/>
          <w:kern w:val="0"/>
          <w:sz w:val="32"/>
          <w:szCs w:val="32"/>
        </w:rPr>
        <w:t>、多层次保险市场；积极发展新型金融业，强化对担保公司、小贷公司、典当公司的管理，大力发展证券市场。到</w:t>
      </w:r>
      <w:r>
        <w:rPr>
          <w:rFonts w:ascii="Times New Roman" w:eastAsia="方正仿宋_GBK" w:hAnsi="Times New Roman" w:cs="宋体"/>
          <w:kern w:val="0"/>
          <w:sz w:val="32"/>
          <w:szCs w:val="32"/>
        </w:rPr>
        <w:t>2025</w:t>
      </w:r>
      <w:r>
        <w:rPr>
          <w:rFonts w:ascii="Times New Roman" w:eastAsia="方正仿宋_GBK" w:hAnsi="Times New Roman" w:cs="宋体"/>
          <w:kern w:val="0"/>
          <w:sz w:val="32"/>
          <w:szCs w:val="32"/>
        </w:rPr>
        <w:t>年，全县金融行业发展水平不断壮大，金融业增加值占地区生产总值比重达</w:t>
      </w:r>
      <w:r>
        <w:rPr>
          <w:rFonts w:ascii="Times New Roman" w:eastAsia="方正仿宋_GBK" w:hAnsi="Times New Roman" w:cs="宋体"/>
          <w:kern w:val="0"/>
          <w:sz w:val="32"/>
          <w:szCs w:val="32"/>
        </w:rPr>
        <w:t>5%</w:t>
      </w:r>
      <w:r>
        <w:rPr>
          <w:rFonts w:ascii="Times New Roman" w:eastAsia="方正仿宋_GBK" w:hAnsi="Times New Roman" w:cs="宋体"/>
          <w:kern w:val="0"/>
          <w:sz w:val="32"/>
          <w:szCs w:val="32"/>
        </w:rPr>
        <w:t>左右</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kern w:val="0"/>
          <w:sz w:val="32"/>
          <w:szCs w:val="32"/>
        </w:rPr>
        <w:t>责任单位：县金融工作服务中心</w:t>
      </w:r>
      <w:r>
        <w:rPr>
          <w:rFonts w:ascii="Times New Roman" w:eastAsia="方正仿宋_GBK" w:hAnsi="Times New Roman" w:cs="宋体" w:hint="eastAsia"/>
          <w:color w:val="000000"/>
          <w:kern w:val="0"/>
          <w:sz w:val="32"/>
          <w:szCs w:val="32"/>
        </w:rPr>
        <w:t>）</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（二）软件、数据及信息技术服务。</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kern w:val="0"/>
          <w:sz w:val="32"/>
          <w:szCs w:val="32"/>
        </w:rPr>
        <w:t>围绕</w:t>
      </w:r>
      <w:r>
        <w:rPr>
          <w:rFonts w:ascii="Times New Roman" w:eastAsia="方正仿宋_GBK" w:hAnsi="Times New Roman" w:cs="宋体"/>
          <w:kern w:val="0"/>
          <w:sz w:val="32"/>
          <w:szCs w:val="32"/>
        </w:rPr>
        <w:t>“2+N”</w:t>
      </w:r>
      <w:r>
        <w:rPr>
          <w:rFonts w:ascii="Times New Roman" w:eastAsia="方正仿宋_GBK" w:hAnsi="Times New Roman" w:cs="宋体"/>
          <w:kern w:val="0"/>
          <w:sz w:val="32"/>
          <w:szCs w:val="32"/>
        </w:rPr>
        <w:t>产业方向，打造数据服务全产业链，唱响</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数据加工找云阳</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。建成</w:t>
      </w:r>
      <w:r>
        <w:rPr>
          <w:rFonts w:ascii="Times New Roman" w:eastAsia="方正仿宋_GBK" w:hAnsi="Times New Roman" w:cs="宋体"/>
          <w:kern w:val="0"/>
          <w:sz w:val="32"/>
          <w:szCs w:val="32"/>
        </w:rPr>
        <w:t>3.43</w:t>
      </w:r>
      <w:r>
        <w:rPr>
          <w:rFonts w:ascii="Times New Roman" w:eastAsia="方正仿宋_GBK" w:hAnsi="Times New Roman" w:cs="宋体"/>
          <w:kern w:val="0"/>
          <w:sz w:val="32"/>
          <w:szCs w:val="32"/>
        </w:rPr>
        <w:t>平方公里数智森林小镇，全面布局</w:t>
      </w:r>
      <w:r>
        <w:rPr>
          <w:rFonts w:ascii="Times New Roman" w:eastAsia="方正仿宋_GBK" w:hAnsi="Times New Roman" w:cs="宋体"/>
          <w:kern w:val="0"/>
          <w:sz w:val="32"/>
          <w:szCs w:val="32"/>
        </w:rPr>
        <w:t>5G</w:t>
      </w:r>
      <w:r>
        <w:rPr>
          <w:rFonts w:ascii="Times New Roman" w:eastAsia="方正仿宋_GBK" w:hAnsi="Times New Roman" w:cs="宋体"/>
          <w:kern w:val="0"/>
          <w:sz w:val="32"/>
          <w:szCs w:val="32"/>
        </w:rPr>
        <w:t>、云计算、人工智能等基础设施，加快推进</w:t>
      </w:r>
      <w:r>
        <w:rPr>
          <w:rFonts w:ascii="Times New Roman" w:eastAsia="方正仿宋_GBK" w:hAnsi="Times New Roman" w:cs="宋体"/>
          <w:kern w:val="0"/>
          <w:sz w:val="32"/>
          <w:szCs w:val="32"/>
        </w:rPr>
        <w:t>IPv6</w:t>
      </w:r>
      <w:r>
        <w:rPr>
          <w:rFonts w:ascii="Times New Roman" w:eastAsia="方正仿宋_GBK" w:hAnsi="Times New Roman" w:cs="宋体"/>
          <w:kern w:val="0"/>
          <w:sz w:val="32"/>
          <w:szCs w:val="32"/>
        </w:rPr>
        <w:t>网络改造升级，稳步推进渝东北川东北灾备中心建设，建成渝东北川东北</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产业云</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企业云</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。加快线上业态</w:t>
      </w:r>
      <w:r>
        <w:rPr>
          <w:rFonts w:ascii="Times New Roman" w:eastAsia="方正仿宋_GBK" w:hAnsi="Times New Roman" w:cs="宋体"/>
          <w:kern w:val="0"/>
          <w:sz w:val="32"/>
          <w:szCs w:val="32"/>
        </w:rPr>
        <w:t>、线上服务、线上管理、线上应用发展，培育壮大本地互联网平台，加快建设全国面业大数据中心，做大做强</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云阳面业</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。到</w:t>
      </w:r>
      <w:r>
        <w:rPr>
          <w:rFonts w:ascii="Times New Roman" w:eastAsia="方正仿宋_GBK" w:hAnsi="Times New Roman" w:cs="宋体"/>
          <w:kern w:val="0"/>
          <w:sz w:val="32"/>
          <w:szCs w:val="32"/>
        </w:rPr>
        <w:t>2025</w:t>
      </w:r>
      <w:r>
        <w:rPr>
          <w:rFonts w:ascii="Times New Roman" w:eastAsia="方正仿宋_GBK" w:hAnsi="Times New Roman" w:cs="宋体"/>
          <w:kern w:val="0"/>
          <w:sz w:val="32"/>
          <w:szCs w:val="32"/>
        </w:rPr>
        <w:t>年，全县大数据智能化相关企业达</w:t>
      </w:r>
      <w:r>
        <w:rPr>
          <w:rFonts w:ascii="Times New Roman" w:eastAsia="方正仿宋_GBK" w:hAnsi="Times New Roman" w:cs="宋体"/>
          <w:kern w:val="0"/>
          <w:sz w:val="32"/>
          <w:szCs w:val="32"/>
        </w:rPr>
        <w:t>2000</w:t>
      </w:r>
      <w:r>
        <w:rPr>
          <w:rFonts w:ascii="Times New Roman" w:eastAsia="方正仿宋_GBK" w:hAnsi="Times New Roman" w:cs="宋体"/>
          <w:kern w:val="0"/>
          <w:sz w:val="32"/>
          <w:szCs w:val="32"/>
        </w:rPr>
        <w:t>家以上，产值突破</w:t>
      </w:r>
      <w:r>
        <w:rPr>
          <w:rFonts w:ascii="Times New Roman" w:eastAsia="方正仿宋_GBK" w:hAnsi="Times New Roman" w:cs="宋体"/>
          <w:kern w:val="0"/>
          <w:sz w:val="32"/>
          <w:szCs w:val="32"/>
        </w:rPr>
        <w:t>50</w:t>
      </w:r>
      <w:r>
        <w:rPr>
          <w:rFonts w:ascii="Times New Roman" w:eastAsia="方正仿宋_GBK" w:hAnsi="Times New Roman" w:cs="宋体"/>
          <w:kern w:val="0"/>
          <w:sz w:val="32"/>
          <w:szCs w:val="32"/>
        </w:rPr>
        <w:t>亿元，实现企业上云</w:t>
      </w:r>
      <w:r>
        <w:rPr>
          <w:rFonts w:ascii="Times New Roman" w:eastAsia="方正仿宋_GBK" w:hAnsi="Times New Roman" w:cs="宋体"/>
          <w:kern w:val="0"/>
          <w:sz w:val="32"/>
          <w:szCs w:val="32"/>
        </w:rPr>
        <w:t>100</w:t>
      </w:r>
      <w:r>
        <w:rPr>
          <w:rFonts w:ascii="Times New Roman" w:eastAsia="方正仿宋_GBK" w:hAnsi="Times New Roman" w:cs="宋体"/>
          <w:kern w:val="0"/>
          <w:sz w:val="32"/>
          <w:szCs w:val="32"/>
        </w:rPr>
        <w:t>家。（</w:t>
      </w:r>
      <w:r>
        <w:rPr>
          <w:rFonts w:ascii="Times New Roman" w:eastAsia="方正仿宋_GBK" w:hAnsi="Times New Roman" w:cs="宋体" w:hint="eastAsia"/>
          <w:kern w:val="0"/>
          <w:sz w:val="32"/>
          <w:szCs w:val="32"/>
        </w:rPr>
        <w:t>责任单位：县经济信息委、县大数据发展局）</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（三）科技研发与设计。</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深入实施创新驱动发展战略，积极创建市级技术创新示范企业、企业技术中心、国家高新技术企业，逐步实现规上工业企业</w:t>
      </w:r>
      <w:r>
        <w:rPr>
          <w:rFonts w:ascii="Times New Roman" w:eastAsia="方正仿宋_GBK" w:hAnsi="Times New Roman" w:cs="宋体" w:hint="eastAsia"/>
          <w:kern w:val="0"/>
          <w:sz w:val="32"/>
          <w:szCs w:val="32"/>
        </w:rPr>
        <w:lastRenderedPageBreak/>
        <w:t>内部研发机构全覆盖。深化“产学研”合作，支持县内企业与高校、科研机构联合开展技术攻关等合作，共同申报国家重大科技项目。建设中药材研发中心、重点实验室等科技创新平台。实施“设计</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”工程，重点发展工程勘察设计等专业设计，引导专业设计机构落户我县，支持制造业企业建设工业设计中心。到</w:t>
      </w:r>
      <w:r>
        <w:rPr>
          <w:rFonts w:ascii="Times New Roman" w:eastAsia="方正仿宋_GBK" w:hAnsi="Times New Roman" w:cs="宋体"/>
          <w:kern w:val="0"/>
          <w:sz w:val="32"/>
          <w:szCs w:val="32"/>
        </w:rPr>
        <w:t>2025</w:t>
      </w:r>
      <w:r>
        <w:rPr>
          <w:rFonts w:ascii="Times New Roman" w:eastAsia="方正仿宋_GBK" w:hAnsi="Times New Roman" w:cs="宋体"/>
          <w:kern w:val="0"/>
          <w:sz w:val="32"/>
          <w:szCs w:val="32"/>
        </w:rPr>
        <w:t>年，全县科技研发投入占</w:t>
      </w:r>
      <w:r>
        <w:rPr>
          <w:rFonts w:ascii="Times New Roman" w:eastAsia="方正仿宋_GBK" w:hAnsi="Times New Roman" w:cs="宋体"/>
          <w:kern w:val="0"/>
          <w:sz w:val="32"/>
          <w:szCs w:val="32"/>
        </w:rPr>
        <w:t>GDP</w:t>
      </w:r>
      <w:r>
        <w:rPr>
          <w:rFonts w:ascii="Times New Roman" w:eastAsia="方正仿宋_GBK" w:hAnsi="Times New Roman" w:cs="宋体"/>
          <w:kern w:val="0"/>
          <w:sz w:val="32"/>
          <w:szCs w:val="32"/>
        </w:rPr>
        <w:t>比重高于渝东北平均</w:t>
      </w:r>
      <w:r>
        <w:rPr>
          <w:rFonts w:ascii="Times New Roman" w:eastAsia="方正仿宋_GBK" w:hAnsi="Times New Roman" w:cs="宋体" w:hint="eastAsia"/>
          <w:kern w:val="0"/>
          <w:sz w:val="32"/>
          <w:szCs w:val="32"/>
        </w:rPr>
        <w:t>水平。（责任单位：县经济信息委、县规划自然资源局、县住房城乡建委、县水利局</w:t>
      </w:r>
      <w:r>
        <w:rPr>
          <w:rFonts w:ascii="Times New Roman" w:eastAsia="方正仿宋_GBK" w:hAnsi="Times New Roman" w:cs="宋体" w:hint="eastAsia"/>
          <w:kern w:val="0"/>
          <w:sz w:val="32"/>
          <w:szCs w:val="32"/>
        </w:rPr>
        <w:t>、县交通局等行业部门）</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（四）现代物流服务。</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构建集通道、枢纽、网络、平台于一体的物流运行体系，推动物流降本增效。高标准建设铁路运输干线、高速公路、通用机场，构建公铁水空多式联运物流体系。加快推进复兴港（黄岭综合物流园）、黄石现代物流园以及应急物流体系建设。加快建设长江航运物流公共信息服务平台，引导航运企业多元化融合发展，促进骨干航运企业强强联合，塑造“云阳航运”品牌，打造长江上游第一航运强县。提升电商快递物流整合服务水平。建设交运公共物流配送中心、邮政区域分拨中心，推动城乡配送网络向末端延伸。推动冷链物流</w:t>
      </w:r>
      <w:r>
        <w:rPr>
          <w:rFonts w:ascii="Times New Roman" w:eastAsia="方正仿宋_GBK" w:hAnsi="Times New Roman" w:cs="宋体" w:hint="eastAsia"/>
          <w:color w:val="000000"/>
          <w:kern w:val="0"/>
          <w:sz w:val="32"/>
          <w:szCs w:val="32"/>
        </w:rPr>
        <w:t>全链条融合发展，支持商贸流通企业完善冷链设施和发展公共冷链物流业务。到</w:t>
      </w:r>
      <w:r>
        <w:rPr>
          <w:rFonts w:ascii="Times New Roman" w:eastAsia="方正仿宋_GBK" w:hAnsi="Times New Roman" w:cs="宋体"/>
          <w:kern w:val="0"/>
          <w:sz w:val="32"/>
          <w:szCs w:val="32"/>
        </w:rPr>
        <w:t>2025</w:t>
      </w:r>
      <w:r>
        <w:rPr>
          <w:rFonts w:ascii="Times New Roman" w:eastAsia="方正仿宋_GBK" w:hAnsi="Times New Roman" w:cs="宋体"/>
          <w:kern w:val="0"/>
          <w:sz w:val="32"/>
          <w:szCs w:val="32"/>
        </w:rPr>
        <w:t>年，全县社会</w:t>
      </w:r>
      <w:r>
        <w:rPr>
          <w:rFonts w:ascii="Times New Roman" w:eastAsia="方正仿宋_GBK" w:hAnsi="Times New Roman" w:cs="宋体"/>
          <w:kern w:val="0"/>
          <w:sz w:val="32"/>
          <w:szCs w:val="32"/>
        </w:rPr>
        <w:lastRenderedPageBreak/>
        <w:t>物流总费用占地区生产总值比重下降至</w:t>
      </w:r>
      <w:r>
        <w:rPr>
          <w:rFonts w:ascii="Times New Roman" w:eastAsia="方正仿宋_GBK" w:hAnsi="Times New Roman" w:cs="宋体"/>
          <w:kern w:val="0"/>
          <w:sz w:val="32"/>
          <w:szCs w:val="32"/>
        </w:rPr>
        <w:t>14%</w:t>
      </w:r>
      <w:r>
        <w:rPr>
          <w:rFonts w:ascii="Times New Roman" w:eastAsia="方正仿宋_GBK" w:hAnsi="Times New Roman" w:cs="宋体"/>
          <w:kern w:val="0"/>
          <w:sz w:val="32"/>
          <w:szCs w:val="32"/>
        </w:rPr>
        <w:t>左</w:t>
      </w:r>
      <w:r>
        <w:rPr>
          <w:rFonts w:ascii="Times New Roman" w:eastAsia="方正仿宋_GBK" w:hAnsi="Times New Roman" w:cs="宋体" w:hint="eastAsia"/>
          <w:color w:val="000000"/>
          <w:kern w:val="0"/>
          <w:sz w:val="32"/>
          <w:szCs w:val="32"/>
        </w:rPr>
        <w:t>右。（</w:t>
      </w:r>
      <w:r>
        <w:rPr>
          <w:rFonts w:ascii="Times New Roman" w:eastAsia="方正仿宋_GBK" w:hAnsi="Times New Roman" w:cs="宋体" w:hint="eastAsia"/>
          <w:kern w:val="0"/>
          <w:sz w:val="32"/>
          <w:szCs w:val="32"/>
        </w:rPr>
        <w:t>责任单位：县商务委、县交通局）</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（五）电子商务。</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做大电子商务产业集群，做强电子商务产业园区。推进电子商务进农村综合示范县“升级版”建设，引导支持传统商贸企业拓展线上销售新渠道，大力发展直播电商、社交电商等新业态。培育一批本地电商知名平台和龙头企业，打造一批网货基地和田园直播间，创建全国淘宝直播电商样板县。支持外贸企业加大产品开发和线上推广力度，发展跨境电商业务。</w:t>
      </w:r>
      <w:r>
        <w:rPr>
          <w:rFonts w:ascii="Times New Roman" w:eastAsia="方正仿宋_GBK" w:hAnsi="Times New Roman" w:cs="宋体"/>
          <w:kern w:val="0"/>
          <w:sz w:val="32"/>
          <w:szCs w:val="32"/>
        </w:rPr>
        <w:t>到</w:t>
      </w:r>
      <w:r>
        <w:rPr>
          <w:rFonts w:ascii="Times New Roman" w:eastAsia="方正仿宋_GBK" w:hAnsi="Times New Roman" w:cs="宋体"/>
          <w:kern w:val="0"/>
          <w:sz w:val="32"/>
          <w:szCs w:val="32"/>
        </w:rPr>
        <w:t>202</w:t>
      </w:r>
      <w:r>
        <w:rPr>
          <w:rFonts w:ascii="Times New Roman" w:eastAsia="方正仿宋_GBK" w:hAnsi="Times New Roman" w:cs="宋体"/>
          <w:kern w:val="0"/>
          <w:sz w:val="32"/>
          <w:szCs w:val="32"/>
        </w:rPr>
        <w:t>5</w:t>
      </w:r>
      <w:r>
        <w:rPr>
          <w:rFonts w:ascii="Times New Roman" w:eastAsia="方正仿宋_GBK" w:hAnsi="Times New Roman" w:cs="宋体"/>
          <w:kern w:val="0"/>
          <w:sz w:val="32"/>
          <w:szCs w:val="32"/>
        </w:rPr>
        <w:t>年，全县网络零售额达</w:t>
      </w:r>
      <w:r>
        <w:rPr>
          <w:rFonts w:ascii="Times New Roman" w:eastAsia="方正仿宋_GBK" w:hAnsi="Times New Roman" w:cs="宋体"/>
          <w:kern w:val="0"/>
          <w:sz w:val="32"/>
          <w:szCs w:val="32"/>
        </w:rPr>
        <w:t>50</w:t>
      </w:r>
      <w:r>
        <w:rPr>
          <w:rFonts w:ascii="Times New Roman" w:eastAsia="方正仿宋_GBK" w:hAnsi="Times New Roman" w:cs="宋体"/>
          <w:kern w:val="0"/>
          <w:sz w:val="32"/>
          <w:szCs w:val="32"/>
        </w:rPr>
        <w:t>亿</w:t>
      </w:r>
      <w:r>
        <w:rPr>
          <w:rFonts w:ascii="Times New Roman" w:eastAsia="方正仿宋_GBK" w:hAnsi="Times New Roman" w:cs="宋体" w:hint="eastAsia"/>
          <w:color w:val="000000"/>
          <w:kern w:val="0"/>
          <w:sz w:val="32"/>
          <w:szCs w:val="32"/>
        </w:rPr>
        <w:t>元以上。</w:t>
      </w:r>
      <w:r>
        <w:rPr>
          <w:rFonts w:ascii="Times New Roman" w:eastAsia="方正仿宋_GBK" w:hAnsi="Times New Roman" w:cs="宋体" w:hint="eastAsia"/>
          <w:kern w:val="0"/>
          <w:sz w:val="32"/>
          <w:szCs w:val="32"/>
        </w:rPr>
        <w:t>（责任单位：县商务委）</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（六）服务贸易。</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深入实施市场多元化战略，推动国际旅游、劳务外派等服务贸易创新发展。围绕“万开云”板块、“万达开”川渝统筹发展示范区等开放平台，依托大数据、云计算、跨境电商等新业态新模式，推动建设“一带一路”进出口商品体系。</w:t>
      </w:r>
      <w:r>
        <w:rPr>
          <w:rFonts w:ascii="Times New Roman" w:eastAsia="方正仿宋_GBK" w:hAnsi="Times New Roman" w:cs="宋体" w:hint="eastAsia"/>
          <w:kern w:val="0"/>
          <w:sz w:val="32"/>
          <w:szCs w:val="32"/>
        </w:rPr>
        <w:t>到</w:t>
      </w:r>
      <w:r>
        <w:rPr>
          <w:rFonts w:ascii="Times New Roman" w:eastAsia="方正仿宋_GBK" w:hAnsi="Times New Roman" w:cs="宋体"/>
          <w:kern w:val="0"/>
          <w:sz w:val="32"/>
          <w:szCs w:val="32"/>
        </w:rPr>
        <w:t>2025</w:t>
      </w:r>
      <w:r>
        <w:rPr>
          <w:rFonts w:ascii="Times New Roman" w:eastAsia="方正仿宋_GBK" w:hAnsi="Times New Roman" w:cs="宋体"/>
          <w:kern w:val="0"/>
          <w:sz w:val="32"/>
          <w:szCs w:val="32"/>
        </w:rPr>
        <w:t>年，全县年服务贸易总额达</w:t>
      </w:r>
      <w:r>
        <w:rPr>
          <w:rFonts w:ascii="Times New Roman" w:eastAsia="方正仿宋_GBK" w:hAnsi="Times New Roman" w:cs="宋体"/>
          <w:kern w:val="0"/>
          <w:sz w:val="32"/>
          <w:szCs w:val="32"/>
        </w:rPr>
        <w:t>200</w:t>
      </w:r>
      <w:r>
        <w:rPr>
          <w:rFonts w:ascii="Times New Roman" w:eastAsia="方正仿宋_GBK" w:hAnsi="Times New Roman" w:cs="宋体" w:hint="eastAsia"/>
          <w:kern w:val="0"/>
          <w:sz w:val="32"/>
          <w:szCs w:val="32"/>
        </w:rPr>
        <w:t>万美元。（责任单位：县商务委）</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（七）会展服务。</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以特色产品、美食、房产、汽车、文化交流为核心，每年策划举办</w:t>
      </w:r>
      <w:r>
        <w:rPr>
          <w:rFonts w:ascii="Times New Roman" w:eastAsia="方正仿宋_GBK" w:hAnsi="Times New Roman" w:cs="宋体"/>
          <w:kern w:val="0"/>
          <w:sz w:val="32"/>
          <w:szCs w:val="32"/>
        </w:rPr>
        <w:t>3—5</w:t>
      </w:r>
      <w:r>
        <w:rPr>
          <w:rFonts w:ascii="Times New Roman" w:eastAsia="方正仿宋_GBK" w:hAnsi="Times New Roman" w:cs="宋体" w:hint="eastAsia"/>
          <w:color w:val="000000"/>
          <w:kern w:val="0"/>
          <w:sz w:val="32"/>
          <w:szCs w:val="32"/>
        </w:rPr>
        <w:t>次区域性大型会展，打造特色专业会展，积极申办大型会议和展览活动。培育本地会</w:t>
      </w:r>
      <w:r>
        <w:rPr>
          <w:rFonts w:ascii="Times New Roman" w:eastAsia="方正仿宋_GBK" w:hAnsi="Times New Roman" w:cs="宋体" w:hint="eastAsia"/>
          <w:color w:val="000000"/>
          <w:kern w:val="0"/>
          <w:sz w:val="32"/>
          <w:szCs w:val="32"/>
        </w:rPr>
        <w:t>展品牌，高水平创办三峡健康</w:t>
      </w:r>
      <w:r>
        <w:rPr>
          <w:rFonts w:ascii="Times New Roman" w:eastAsia="方正仿宋_GBK" w:hAnsi="Times New Roman" w:cs="宋体" w:hint="eastAsia"/>
          <w:color w:val="000000"/>
          <w:kern w:val="0"/>
          <w:sz w:val="32"/>
          <w:szCs w:val="32"/>
        </w:rPr>
        <w:lastRenderedPageBreak/>
        <w:t>产业博览会。探索打造线上智慧展会。筹备区域性会展场馆，配套打造周边区域交通、物流、餐饮、住宿和娱乐等业态。到</w:t>
      </w:r>
      <w:r>
        <w:rPr>
          <w:rFonts w:ascii="Times New Roman" w:eastAsia="方正仿宋_GBK" w:hAnsi="Times New Roman" w:cs="宋体"/>
          <w:kern w:val="0"/>
          <w:sz w:val="32"/>
          <w:szCs w:val="32"/>
        </w:rPr>
        <w:t>2025</w:t>
      </w:r>
      <w:r>
        <w:rPr>
          <w:rFonts w:ascii="Times New Roman" w:eastAsia="方正仿宋_GBK" w:hAnsi="Times New Roman" w:cs="宋体"/>
          <w:kern w:val="0"/>
          <w:sz w:val="32"/>
          <w:szCs w:val="32"/>
        </w:rPr>
        <w:t>年，会展业拉动消费达</w:t>
      </w:r>
      <w:r>
        <w:rPr>
          <w:rFonts w:ascii="Times New Roman" w:eastAsia="方正仿宋_GBK" w:hAnsi="Times New Roman" w:cs="宋体"/>
          <w:kern w:val="0"/>
          <w:sz w:val="32"/>
          <w:szCs w:val="32"/>
        </w:rPr>
        <w:t>5</w:t>
      </w:r>
      <w:r>
        <w:rPr>
          <w:rFonts w:ascii="Times New Roman" w:eastAsia="方正仿宋_GBK" w:hAnsi="Times New Roman" w:cs="宋体" w:hint="eastAsia"/>
          <w:color w:val="000000"/>
          <w:kern w:val="0"/>
          <w:sz w:val="32"/>
          <w:szCs w:val="32"/>
        </w:rPr>
        <w:t>亿元。</w:t>
      </w:r>
      <w:r>
        <w:rPr>
          <w:rFonts w:ascii="Times New Roman" w:eastAsia="方正仿宋_GBK" w:hAnsi="Times New Roman" w:cs="宋体" w:hint="eastAsia"/>
          <w:kern w:val="0"/>
          <w:sz w:val="32"/>
          <w:szCs w:val="32"/>
        </w:rPr>
        <w:t>（责任单位：县商务委）</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（八）检验检测服务。</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升级现有检验检测机构设备和业务水平，鼓励机构多领域取得资质认证，走综合发展之路。大力实施“品牌培育”战略。围绕服务县内主导产业发展建设第三方检验检测机构。培育引进融合分析试验、标准研制、技术研发等多功能检验检测服务机构，鼓励建设公益性检验检测机构和平台，大力发展线上检验检测服务。到</w:t>
      </w:r>
      <w:r>
        <w:rPr>
          <w:rFonts w:ascii="Times New Roman" w:eastAsia="方正仿宋_GBK" w:hAnsi="Times New Roman" w:cs="宋体"/>
          <w:kern w:val="0"/>
          <w:sz w:val="32"/>
          <w:szCs w:val="32"/>
        </w:rPr>
        <w:t>2025</w:t>
      </w:r>
      <w:r>
        <w:rPr>
          <w:rFonts w:ascii="Times New Roman" w:eastAsia="方正仿宋_GBK" w:hAnsi="Times New Roman" w:cs="宋体"/>
          <w:kern w:val="0"/>
          <w:sz w:val="32"/>
          <w:szCs w:val="32"/>
        </w:rPr>
        <w:t>年，全</w:t>
      </w:r>
      <w:r>
        <w:rPr>
          <w:rFonts w:ascii="Times New Roman" w:eastAsia="方正仿宋_GBK" w:hAnsi="Times New Roman" w:cs="宋体"/>
          <w:kern w:val="0"/>
          <w:sz w:val="32"/>
          <w:szCs w:val="32"/>
        </w:rPr>
        <w:t>县检验检测机构达</w:t>
      </w:r>
      <w:r>
        <w:rPr>
          <w:rFonts w:ascii="Times New Roman" w:eastAsia="方正仿宋_GBK" w:hAnsi="Times New Roman" w:cs="宋体"/>
          <w:kern w:val="0"/>
          <w:sz w:val="32"/>
          <w:szCs w:val="32"/>
        </w:rPr>
        <w:t>14</w:t>
      </w:r>
      <w:r>
        <w:rPr>
          <w:rFonts w:ascii="Times New Roman" w:eastAsia="方正仿宋_GBK" w:hAnsi="Times New Roman" w:cs="宋体"/>
          <w:kern w:val="0"/>
          <w:sz w:val="32"/>
          <w:szCs w:val="32"/>
        </w:rPr>
        <w:t>家，营业收入达</w:t>
      </w:r>
      <w:r>
        <w:rPr>
          <w:rFonts w:ascii="Times New Roman" w:eastAsia="方正仿宋_GBK" w:hAnsi="Times New Roman" w:cs="宋体"/>
          <w:kern w:val="0"/>
          <w:sz w:val="32"/>
          <w:szCs w:val="32"/>
        </w:rPr>
        <w:t>6200</w:t>
      </w:r>
      <w:r>
        <w:rPr>
          <w:rFonts w:ascii="Times New Roman" w:eastAsia="方正仿宋_GBK" w:hAnsi="Times New Roman" w:cs="宋体" w:hint="eastAsia"/>
          <w:kern w:val="0"/>
          <w:sz w:val="32"/>
          <w:szCs w:val="32"/>
        </w:rPr>
        <w:t>万元。（责任单位：县市场监管局）</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（九）教育培训服务。</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整合各行业部门培训资源，打造职业培训公共服务平台。引进培育多元化市场供给主体，构建以公办为主、民办为辅的两大职业培训体系。鼓励高校、知名培训机构在我县建立人力资源服务培训基地、实训基地或分支机构。依托云阳教师进修学院打造渝东北教师培训高地；依托云阳职教中心建立公办职业培训集团。</w:t>
      </w:r>
      <w:r>
        <w:rPr>
          <w:rFonts w:ascii="Times New Roman" w:eastAsia="方正仿宋_GBK" w:hAnsi="Times New Roman" w:cs="宋体"/>
          <w:kern w:val="0"/>
          <w:sz w:val="32"/>
          <w:szCs w:val="32"/>
        </w:rPr>
        <w:t>到</w:t>
      </w:r>
      <w:r>
        <w:rPr>
          <w:rFonts w:ascii="Times New Roman" w:eastAsia="方正仿宋_GBK" w:hAnsi="Times New Roman" w:cs="宋体"/>
          <w:kern w:val="0"/>
          <w:sz w:val="32"/>
          <w:szCs w:val="32"/>
        </w:rPr>
        <w:t>2025</w:t>
      </w:r>
      <w:r>
        <w:rPr>
          <w:rFonts w:ascii="Times New Roman" w:eastAsia="方正仿宋_GBK" w:hAnsi="Times New Roman" w:cs="宋体"/>
          <w:kern w:val="0"/>
          <w:sz w:val="32"/>
          <w:szCs w:val="32"/>
        </w:rPr>
        <w:t>年，建</w:t>
      </w:r>
      <w:r>
        <w:rPr>
          <w:rFonts w:ascii="Times New Roman" w:eastAsia="方正仿宋_GBK" w:hAnsi="Times New Roman" w:cs="宋体" w:hint="eastAsia"/>
          <w:kern w:val="0"/>
          <w:sz w:val="32"/>
          <w:szCs w:val="32"/>
        </w:rPr>
        <w:t>成面向全龄段人群，涵盖职前职后的终身教育和职业培训服务体系，基本实现教育培训信息化、现代化。</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kern w:val="0"/>
          <w:sz w:val="32"/>
          <w:szCs w:val="32"/>
        </w:rPr>
        <w:t>责任单位：县教委、县人力社</w:t>
      </w:r>
      <w:r>
        <w:rPr>
          <w:rFonts w:ascii="Times New Roman" w:eastAsia="方正仿宋_GBK" w:hAnsi="Times New Roman" w:cs="宋体" w:hint="eastAsia"/>
          <w:kern w:val="0"/>
          <w:sz w:val="32"/>
          <w:szCs w:val="32"/>
        </w:rPr>
        <w:t>保局）</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lastRenderedPageBreak/>
        <w:t>（十）专业中介服务。</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大力发展人力资源、会计评估、法律服务等与产业发展转型升级紧密相关的专业服务业。推进人力资源服务信息化建设，搭建智能就业服务平台，加快发展供求信息查询、人才测评等线上人力资源服务。组织法律服务团为规模以上服务业企业提供法治体检、纠纷化解等综合性法律服务。健全企业法律顾问、公司律师制度机制，把律师专业意见作为特定市场经济活动的必备法律文书。</w:t>
      </w:r>
      <w:r>
        <w:rPr>
          <w:rFonts w:ascii="Times New Roman" w:eastAsia="方正仿宋_GBK" w:hAnsi="Times New Roman" w:cs="宋体"/>
          <w:kern w:val="0"/>
          <w:sz w:val="32"/>
          <w:szCs w:val="32"/>
        </w:rPr>
        <w:t>到</w:t>
      </w:r>
      <w:r>
        <w:rPr>
          <w:rFonts w:ascii="Times New Roman" w:eastAsia="方正仿宋_GBK" w:hAnsi="Times New Roman" w:cs="宋体"/>
          <w:kern w:val="0"/>
          <w:sz w:val="32"/>
          <w:szCs w:val="32"/>
        </w:rPr>
        <w:t>2025</w:t>
      </w:r>
      <w:r>
        <w:rPr>
          <w:rFonts w:ascii="Times New Roman" w:eastAsia="方正仿宋_GBK" w:hAnsi="Times New Roman" w:cs="宋体"/>
          <w:kern w:val="0"/>
          <w:sz w:val="32"/>
          <w:szCs w:val="32"/>
        </w:rPr>
        <w:t>年</w:t>
      </w:r>
      <w:r>
        <w:rPr>
          <w:rFonts w:ascii="Times New Roman" w:eastAsia="方正仿宋_GBK" w:hAnsi="Times New Roman" w:cs="宋体" w:hint="eastAsia"/>
          <w:color w:val="000000"/>
          <w:kern w:val="0"/>
          <w:sz w:val="32"/>
          <w:szCs w:val="32"/>
        </w:rPr>
        <w:t>，专业服务体系更加完善，服务水平显著提升。</w:t>
      </w:r>
      <w:r>
        <w:rPr>
          <w:rFonts w:ascii="Times New Roman" w:eastAsia="方正仿宋_GBK" w:hAnsi="Times New Roman" w:cs="宋体" w:hint="eastAsia"/>
          <w:kern w:val="0"/>
          <w:sz w:val="32"/>
          <w:szCs w:val="32"/>
        </w:rPr>
        <w:t>（责任单位：县人力社保局、县司法局、县财政局）</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（十一）健康服务。</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推进重大疫情应急救治体系建设，提升医疗卫生行业平战转换能力。把学科建设摆在优先发展的战略地位，重点提升心血管科、肺癌等学科水平，建设渝东北区域性分子检测中心。加快发展智慧医疗，建设智慧医院，打造县人民医院、县中医院、县妇女儿童医院“三足鼎立”的特色医学城。加强基层医疗卫生服务体系建设，持续推进以家庭医生签约服务统揽公共卫生工作。发挥中医药特色优势，打造渝东北中医药治疗高地。推动健康服务与旅游、养老、体育融合发展。到</w:t>
      </w:r>
      <w:r>
        <w:rPr>
          <w:rFonts w:ascii="Times New Roman" w:eastAsia="方正仿宋_GBK" w:hAnsi="Times New Roman" w:cs="宋体"/>
          <w:kern w:val="0"/>
          <w:sz w:val="32"/>
          <w:szCs w:val="32"/>
        </w:rPr>
        <w:t>2025</w:t>
      </w:r>
      <w:r>
        <w:rPr>
          <w:rFonts w:ascii="Times New Roman" w:eastAsia="方正仿宋_GBK" w:hAnsi="Times New Roman" w:cs="宋体"/>
          <w:kern w:val="0"/>
          <w:sz w:val="32"/>
          <w:szCs w:val="32"/>
        </w:rPr>
        <w:t>年，全县健康服务业增加值占服务业增加值比重达</w:t>
      </w:r>
      <w:r>
        <w:rPr>
          <w:rFonts w:ascii="Times New Roman" w:eastAsia="方正仿宋_GBK" w:hAnsi="Times New Roman" w:cs="宋体"/>
          <w:kern w:val="0"/>
          <w:sz w:val="32"/>
          <w:szCs w:val="32"/>
        </w:rPr>
        <w:t>10%</w:t>
      </w:r>
      <w:r>
        <w:rPr>
          <w:rFonts w:ascii="Times New Roman" w:eastAsia="方正仿宋_GBK" w:hAnsi="Times New Roman" w:cs="宋体"/>
          <w:kern w:val="0"/>
          <w:sz w:val="32"/>
          <w:szCs w:val="32"/>
        </w:rPr>
        <w:t>左</w:t>
      </w:r>
      <w:r>
        <w:rPr>
          <w:rFonts w:ascii="Times New Roman" w:eastAsia="方正仿宋_GBK" w:hAnsi="Times New Roman" w:cs="宋体" w:hint="eastAsia"/>
          <w:kern w:val="0"/>
          <w:sz w:val="32"/>
          <w:szCs w:val="32"/>
        </w:rPr>
        <w:t>右。（责任单位：县卫生健康委）</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lastRenderedPageBreak/>
        <w:t>（</w:t>
      </w:r>
      <w:r>
        <w:rPr>
          <w:rFonts w:ascii="方正楷体_GBK" w:eastAsia="方正楷体_GBK" w:hAnsi="Times New Roman" w:cs="宋体" w:hint="eastAsia"/>
          <w:color w:val="000000"/>
          <w:kern w:val="0"/>
          <w:sz w:val="32"/>
          <w:szCs w:val="32"/>
        </w:rPr>
        <w:t>十二）文化旅游体育服务。</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提档升级文化旅游体育服务，打响“万里长江·天生云阳”旅游品牌。加快推进一批重点项目建设，积极创建国家全域旅游示范区。强化“旅游</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旅游”，推动体旅、城旅、农旅、商旅、工旅、康旅融合发展。加快打造</w:t>
      </w:r>
      <w:r>
        <w:rPr>
          <w:rFonts w:ascii="Times New Roman" w:eastAsia="方正仿宋_GBK" w:hAnsi="Times New Roman" w:cs="宋体"/>
          <w:kern w:val="0"/>
          <w:sz w:val="32"/>
          <w:szCs w:val="32"/>
        </w:rPr>
        <w:t>4</w:t>
      </w:r>
      <w:r>
        <w:rPr>
          <w:rFonts w:ascii="Times New Roman" w:eastAsia="方正仿宋_GBK" w:hAnsi="Times New Roman" w:cs="宋体" w:hint="eastAsia"/>
          <w:kern w:val="0"/>
          <w:sz w:val="32"/>
          <w:szCs w:val="32"/>
        </w:rPr>
        <w:t>个十亿级文旅消费集聚区，发展农业观光体验游、水上游乐体验项目，推动“一机游云阳”。培育数字景区、数字文化馆、数字图书馆、数字博物馆等“线上文体游娱”新业态。支持文旅影视艺术创作。发挥各体育单项协会（俱乐部）引领作用，录制并推广健身示范培训小视频，高水准打造各类品牌赛事。到</w:t>
      </w:r>
      <w:r>
        <w:rPr>
          <w:rFonts w:ascii="Times New Roman" w:eastAsia="方正仿宋_GBK" w:hAnsi="Times New Roman" w:cs="宋体"/>
          <w:kern w:val="0"/>
          <w:sz w:val="32"/>
          <w:szCs w:val="32"/>
        </w:rPr>
        <w:t>2025</w:t>
      </w:r>
      <w:r>
        <w:rPr>
          <w:rFonts w:ascii="Times New Roman" w:eastAsia="方正仿宋_GBK" w:hAnsi="Times New Roman" w:cs="宋体"/>
          <w:kern w:val="0"/>
          <w:sz w:val="32"/>
          <w:szCs w:val="32"/>
        </w:rPr>
        <w:t>年，全</w:t>
      </w:r>
      <w:r>
        <w:rPr>
          <w:rFonts w:ascii="Times New Roman" w:eastAsia="方正仿宋_GBK" w:hAnsi="Times New Roman" w:cs="宋体"/>
          <w:kern w:val="0"/>
          <w:sz w:val="32"/>
          <w:szCs w:val="32"/>
        </w:rPr>
        <w:t>县实现旅游综合收入</w:t>
      </w:r>
      <w:r>
        <w:rPr>
          <w:rFonts w:ascii="Times New Roman" w:eastAsia="方正仿宋_GBK" w:hAnsi="Times New Roman" w:cs="宋体"/>
          <w:kern w:val="0"/>
          <w:sz w:val="32"/>
          <w:szCs w:val="32"/>
        </w:rPr>
        <w:t>270</w:t>
      </w:r>
      <w:r>
        <w:rPr>
          <w:rFonts w:ascii="Times New Roman" w:eastAsia="方正仿宋_GBK" w:hAnsi="Times New Roman" w:cs="宋体" w:hint="eastAsia"/>
          <w:kern w:val="0"/>
          <w:sz w:val="32"/>
          <w:szCs w:val="32"/>
        </w:rPr>
        <w:t>亿元。</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kern w:val="0"/>
          <w:sz w:val="32"/>
          <w:szCs w:val="32"/>
        </w:rPr>
        <w:t>责任单位：县文化旅游委）</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（十三）养老托育服务。</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积极培育区域示范养老服务品牌机构，依托长江黄金水道和城区环湖绿道规划布局生态养老和社区养老服务设施。稳妥推进</w:t>
      </w:r>
      <w:r>
        <w:rPr>
          <w:rFonts w:ascii="Times New Roman" w:eastAsia="方正仿宋_GBK" w:hAnsi="Times New Roman" w:cs="宋体"/>
          <w:kern w:val="0"/>
          <w:sz w:val="32"/>
          <w:szCs w:val="32"/>
        </w:rPr>
        <w:t>42</w:t>
      </w:r>
      <w:r>
        <w:rPr>
          <w:rFonts w:ascii="Times New Roman" w:eastAsia="方正仿宋_GBK" w:hAnsi="Times New Roman" w:cs="宋体"/>
          <w:kern w:val="0"/>
          <w:sz w:val="32"/>
          <w:szCs w:val="32"/>
        </w:rPr>
        <w:t>个乡镇（街道）养老服务中心、</w:t>
      </w:r>
      <w:r>
        <w:rPr>
          <w:rFonts w:ascii="Times New Roman" w:eastAsia="方正仿宋_GBK" w:hAnsi="Times New Roman" w:cs="宋体"/>
          <w:kern w:val="0"/>
          <w:sz w:val="32"/>
          <w:szCs w:val="32"/>
        </w:rPr>
        <w:t>98</w:t>
      </w:r>
      <w:r>
        <w:rPr>
          <w:rFonts w:ascii="Times New Roman" w:eastAsia="方正仿宋_GBK" w:hAnsi="Times New Roman" w:cs="宋体"/>
          <w:kern w:val="0"/>
          <w:sz w:val="32"/>
          <w:szCs w:val="32"/>
        </w:rPr>
        <w:t>个社区养老服务站、</w:t>
      </w:r>
      <w:r>
        <w:rPr>
          <w:rFonts w:ascii="Times New Roman" w:eastAsia="方正仿宋_GBK" w:hAnsi="Times New Roman" w:cs="宋体"/>
          <w:kern w:val="0"/>
          <w:sz w:val="32"/>
          <w:szCs w:val="32"/>
        </w:rPr>
        <w:t>380</w:t>
      </w:r>
      <w:r>
        <w:rPr>
          <w:rFonts w:ascii="Times New Roman" w:eastAsia="方正仿宋_GBK" w:hAnsi="Times New Roman" w:cs="宋体" w:hint="eastAsia"/>
          <w:color w:val="000000"/>
          <w:kern w:val="0"/>
          <w:sz w:val="32"/>
          <w:szCs w:val="32"/>
        </w:rPr>
        <w:t>个村级养老互助点建设，开展农村特困人员供养服务设施升级改造工程。建设智慧养老社区居家养老服务大数据平台。大力发展公办幼儿园，有效扶持普惠性民办幼儿园。推动建设一批具有示范效应的婴幼儿照护服务机构，支持有条件的幼儿园提供托幼服务，支持用人单位增设婴幼儿照护服务设</w:t>
      </w:r>
      <w:r>
        <w:rPr>
          <w:rFonts w:ascii="Times New Roman" w:eastAsia="方正仿宋_GBK" w:hAnsi="Times New Roman" w:cs="宋体"/>
          <w:kern w:val="0"/>
          <w:sz w:val="32"/>
          <w:szCs w:val="32"/>
        </w:rPr>
        <w:t>施</w:t>
      </w:r>
      <w:r>
        <w:rPr>
          <w:rFonts w:ascii="Times New Roman" w:eastAsia="方正仿宋_GBK" w:hAnsi="Times New Roman" w:cs="宋体"/>
          <w:kern w:val="0"/>
          <w:sz w:val="32"/>
          <w:szCs w:val="32"/>
        </w:rPr>
        <w:t>。到</w:t>
      </w:r>
      <w:r>
        <w:rPr>
          <w:rFonts w:ascii="Times New Roman" w:eastAsia="方正仿宋_GBK" w:hAnsi="Times New Roman" w:cs="宋体"/>
          <w:kern w:val="0"/>
          <w:sz w:val="32"/>
          <w:szCs w:val="32"/>
        </w:rPr>
        <w:t>2025</w:t>
      </w:r>
      <w:r>
        <w:rPr>
          <w:rFonts w:ascii="Times New Roman" w:eastAsia="方正仿宋_GBK" w:hAnsi="Times New Roman" w:cs="宋体"/>
          <w:kern w:val="0"/>
          <w:sz w:val="32"/>
          <w:szCs w:val="32"/>
        </w:rPr>
        <w:t>年，全县</w:t>
      </w:r>
      <w:r>
        <w:rPr>
          <w:rFonts w:ascii="Times New Roman" w:eastAsia="方正仿宋_GBK" w:hAnsi="Times New Roman" w:cs="宋体"/>
          <w:kern w:val="0"/>
          <w:sz w:val="32"/>
          <w:szCs w:val="32"/>
        </w:rPr>
        <w:lastRenderedPageBreak/>
        <w:t>建成</w:t>
      </w:r>
      <w:r>
        <w:rPr>
          <w:rFonts w:ascii="Times New Roman" w:eastAsia="方正仿宋_GBK" w:hAnsi="Times New Roman" w:cs="宋体"/>
          <w:kern w:val="0"/>
          <w:sz w:val="32"/>
          <w:szCs w:val="32"/>
        </w:rPr>
        <w:t>2—3</w:t>
      </w:r>
      <w:r>
        <w:rPr>
          <w:rFonts w:ascii="Times New Roman" w:eastAsia="方正仿宋_GBK" w:hAnsi="Times New Roman" w:cs="宋体"/>
          <w:kern w:val="0"/>
          <w:sz w:val="32"/>
          <w:szCs w:val="32"/>
        </w:rPr>
        <w:t>家</w:t>
      </w:r>
      <w:r>
        <w:rPr>
          <w:rFonts w:ascii="Times New Roman" w:eastAsia="方正仿宋_GBK" w:hAnsi="Times New Roman" w:cs="宋体"/>
          <w:kern w:val="0"/>
          <w:sz w:val="32"/>
          <w:szCs w:val="32"/>
        </w:rPr>
        <w:t>4</w:t>
      </w:r>
      <w:r>
        <w:rPr>
          <w:rFonts w:ascii="Times New Roman" w:eastAsia="方正仿宋_GBK" w:hAnsi="Times New Roman" w:cs="宋体"/>
          <w:kern w:val="0"/>
          <w:sz w:val="32"/>
          <w:szCs w:val="32"/>
        </w:rPr>
        <w:t>星级养老机构，实现城乡养老服务</w:t>
      </w:r>
      <w:r>
        <w:rPr>
          <w:rFonts w:ascii="Times New Roman" w:eastAsia="方正仿宋_GBK" w:hAnsi="Times New Roman" w:cs="宋体" w:hint="eastAsia"/>
          <w:color w:val="000000"/>
          <w:kern w:val="0"/>
          <w:sz w:val="32"/>
          <w:szCs w:val="32"/>
        </w:rPr>
        <w:t>设施全覆盖。（</w:t>
      </w:r>
      <w:r>
        <w:rPr>
          <w:rFonts w:ascii="Times New Roman" w:eastAsia="方正仿宋_GBK" w:hAnsi="Times New Roman" w:cs="宋体" w:hint="eastAsia"/>
          <w:kern w:val="0"/>
          <w:sz w:val="32"/>
          <w:szCs w:val="32"/>
        </w:rPr>
        <w:t>责任单位：县民政局、县教委）</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（十四）高端商业。</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建设高端消费核心区，推动智慧商圈示范试点，构筑“中环路</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城中城</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彩云梯”核心商圈空间布局，高品位建设云阳商业航母。培育“首店经济”，引进国内外知名品牌旗舰店、体验店和连锁店。围绕“夜品、夜游、夜购、夜娱、夜健”五大重点措施发展夜间经济。鼓励企业通过小程序、直播、微信、短视频等社交平台，提供“云逛街”体验式服务场景。到</w:t>
      </w:r>
      <w:r>
        <w:rPr>
          <w:rFonts w:ascii="Times New Roman" w:eastAsia="方正仿宋_GBK" w:hAnsi="Times New Roman" w:cs="宋体"/>
          <w:kern w:val="0"/>
          <w:sz w:val="32"/>
          <w:szCs w:val="32"/>
        </w:rPr>
        <w:t>2025</w:t>
      </w:r>
      <w:r>
        <w:rPr>
          <w:rFonts w:ascii="Times New Roman" w:eastAsia="方正仿宋_GBK" w:hAnsi="Times New Roman" w:cs="宋体"/>
          <w:kern w:val="0"/>
          <w:sz w:val="32"/>
          <w:szCs w:val="32"/>
        </w:rPr>
        <w:t>年，全县商业增加值达</w:t>
      </w:r>
      <w:r>
        <w:rPr>
          <w:rFonts w:ascii="Times New Roman" w:eastAsia="方正仿宋_GBK" w:hAnsi="Times New Roman" w:cs="宋体"/>
          <w:kern w:val="0"/>
          <w:sz w:val="32"/>
          <w:szCs w:val="32"/>
        </w:rPr>
        <w:t>90</w:t>
      </w:r>
      <w:r>
        <w:rPr>
          <w:rFonts w:ascii="Times New Roman" w:eastAsia="方正仿宋_GBK" w:hAnsi="Times New Roman" w:cs="宋体"/>
          <w:kern w:val="0"/>
          <w:sz w:val="32"/>
          <w:szCs w:val="32"/>
        </w:rPr>
        <w:t>亿</w:t>
      </w:r>
      <w:r>
        <w:rPr>
          <w:rFonts w:ascii="Times New Roman" w:eastAsia="方正仿宋_GBK" w:hAnsi="Times New Roman" w:cs="宋体" w:hint="eastAsia"/>
          <w:color w:val="000000"/>
          <w:kern w:val="0"/>
          <w:sz w:val="32"/>
          <w:szCs w:val="32"/>
        </w:rPr>
        <w:t>元左右。（</w:t>
      </w:r>
      <w:r>
        <w:rPr>
          <w:rFonts w:ascii="Times New Roman" w:eastAsia="方正仿宋_GBK" w:hAnsi="Times New Roman" w:cs="宋体" w:hint="eastAsia"/>
          <w:kern w:val="0"/>
          <w:sz w:val="32"/>
          <w:szCs w:val="32"/>
        </w:rPr>
        <w:t>责任单位：县商务委）</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（十五）批零住餐服务。</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推动传统批发市场“触网”升级，打造集交易支付、信息撮合、供应链整合等于一体的综合市场。构建由农产品批发市场、零售市场和社区菜店为主的公益性农产品市场体系。培育品牌连锁便利店，创新发展无人商店、智能商超等新零售。鼓励零售企业使用移动支付技术和智能设备，推广“无接触”配送模式。支持平台型企业联合线下餐饮门店拓展外卖业务。以环湖绿岛和大型景区为重点，布局一批餐饮住宿企业，加大对餐饮住宿企业、平台服务企业的安全、卫生和服务标准监管。到</w:t>
      </w:r>
      <w:r>
        <w:rPr>
          <w:rFonts w:ascii="Times New Roman" w:eastAsia="方正仿宋_GBK" w:hAnsi="Times New Roman" w:cs="宋体"/>
          <w:kern w:val="0"/>
          <w:sz w:val="32"/>
          <w:szCs w:val="32"/>
        </w:rPr>
        <w:t>2025</w:t>
      </w:r>
      <w:r>
        <w:rPr>
          <w:rFonts w:ascii="Times New Roman" w:eastAsia="方正仿宋_GBK" w:hAnsi="Times New Roman" w:cs="宋体"/>
          <w:kern w:val="0"/>
          <w:sz w:val="32"/>
          <w:szCs w:val="32"/>
        </w:rPr>
        <w:t>年</w:t>
      </w:r>
      <w:r>
        <w:rPr>
          <w:rFonts w:ascii="Times New Roman" w:eastAsia="方正仿宋_GBK" w:hAnsi="Times New Roman" w:cs="宋体" w:hint="eastAsia"/>
          <w:color w:val="000000"/>
          <w:kern w:val="0"/>
          <w:sz w:val="32"/>
          <w:szCs w:val="32"/>
        </w:rPr>
        <w:t>，全县培育</w:t>
      </w:r>
      <w:r>
        <w:rPr>
          <w:rFonts w:ascii="Times New Roman" w:eastAsia="方正仿宋_GBK" w:hAnsi="Times New Roman" w:cs="宋体"/>
          <w:kern w:val="0"/>
          <w:sz w:val="32"/>
          <w:szCs w:val="32"/>
        </w:rPr>
        <w:t>2</w:t>
      </w:r>
      <w:r>
        <w:rPr>
          <w:rFonts w:ascii="Times New Roman" w:eastAsia="方正仿宋_GBK" w:hAnsi="Times New Roman" w:cs="宋体"/>
          <w:kern w:val="0"/>
          <w:sz w:val="32"/>
          <w:szCs w:val="32"/>
        </w:rPr>
        <w:t>个</w:t>
      </w:r>
      <w:r>
        <w:rPr>
          <w:rFonts w:ascii="Times New Roman" w:eastAsia="方正仿宋_GBK" w:hAnsi="Times New Roman" w:cs="宋体" w:hint="eastAsia"/>
          <w:color w:val="000000"/>
          <w:kern w:val="0"/>
          <w:sz w:val="32"/>
          <w:szCs w:val="32"/>
        </w:rPr>
        <w:t>十亿级市场集群。</w:t>
      </w:r>
      <w:r>
        <w:rPr>
          <w:rFonts w:ascii="Times New Roman" w:eastAsia="方正仿宋_GBK" w:hAnsi="Times New Roman" w:cs="宋体" w:hint="eastAsia"/>
          <w:kern w:val="0"/>
          <w:sz w:val="32"/>
          <w:szCs w:val="32"/>
        </w:rPr>
        <w:t>（责任单位：县商务</w:t>
      </w:r>
      <w:r>
        <w:rPr>
          <w:rFonts w:ascii="Times New Roman" w:eastAsia="方正仿宋_GBK" w:hAnsi="Times New Roman" w:cs="宋体" w:hint="eastAsia"/>
          <w:kern w:val="0"/>
          <w:sz w:val="32"/>
          <w:szCs w:val="32"/>
        </w:rPr>
        <w:t>委）</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lastRenderedPageBreak/>
        <w:t>（十六）社区及家政服务。</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kern w:val="0"/>
          <w:sz w:val="32"/>
          <w:szCs w:val="32"/>
        </w:rPr>
        <w:t>充分调动</w:t>
      </w:r>
      <w:hyperlink r:id="rId7" w:history="1">
        <w:r>
          <w:rPr>
            <w:rFonts w:ascii="Times New Roman" w:eastAsia="方正仿宋_GBK" w:hAnsi="Times New Roman" w:cs="宋体"/>
            <w:color w:val="0000FF"/>
            <w:kern w:val="0"/>
            <w:sz w:val="32"/>
            <w:u w:val="single"/>
          </w:rPr>
          <w:t>社区</w:t>
        </w:r>
      </w:hyperlink>
      <w:r>
        <w:rPr>
          <w:rFonts w:ascii="Times New Roman" w:eastAsia="方正仿宋_GBK" w:hAnsi="Times New Roman" w:cs="宋体"/>
          <w:kern w:val="0"/>
          <w:sz w:val="32"/>
          <w:szCs w:val="32"/>
        </w:rPr>
        <w:t>各方力量参与社区建设，最大限度实现社区</w:t>
      </w:r>
      <w:hyperlink r:id="rId8" w:history="1">
        <w:r>
          <w:rPr>
            <w:rFonts w:ascii="Times New Roman" w:eastAsia="方正仿宋_GBK" w:hAnsi="Times New Roman" w:cs="宋体"/>
            <w:color w:val="0000FF"/>
            <w:kern w:val="0"/>
            <w:sz w:val="32"/>
            <w:u w:val="single"/>
          </w:rPr>
          <w:t>资源</w:t>
        </w:r>
      </w:hyperlink>
      <w:r>
        <w:rPr>
          <w:rFonts w:ascii="Times New Roman" w:eastAsia="方正仿宋_GBK" w:hAnsi="Times New Roman" w:cs="宋体"/>
          <w:kern w:val="0"/>
          <w:sz w:val="32"/>
          <w:szCs w:val="32"/>
        </w:rPr>
        <w:t>共有共享。搭建智慧社区服务平台，打造集生活服务和社区治理于一体的社区生活格局。推动家政服务业提质扩容，培育家政服务品牌和龙头企业，支持中小家政服务企业专业化、特色化发展。支持家政企业举办职业教育，实施岗前培训。加强家政服务标准化和价格规范化，开展家政服务质量认证评价，建设家政服务信用体系。到</w:t>
      </w:r>
      <w:r>
        <w:rPr>
          <w:rFonts w:ascii="Times New Roman" w:eastAsia="方正仿宋_GBK" w:hAnsi="Times New Roman" w:cs="宋体"/>
          <w:color w:val="000000"/>
          <w:kern w:val="0"/>
          <w:sz w:val="32"/>
          <w:szCs w:val="32"/>
        </w:rPr>
        <w:t>2025</w:t>
      </w:r>
      <w:r>
        <w:rPr>
          <w:rFonts w:ascii="Times New Roman" w:eastAsia="方正仿宋_GBK" w:hAnsi="Times New Roman" w:cs="宋体"/>
          <w:color w:val="000000"/>
          <w:kern w:val="0"/>
          <w:sz w:val="32"/>
          <w:szCs w:val="32"/>
        </w:rPr>
        <w:t>年，全县实现消费者家政服务满意度评价</w:t>
      </w:r>
      <w:r>
        <w:rPr>
          <w:rFonts w:ascii="Times New Roman" w:eastAsia="方正仿宋_GBK" w:hAnsi="Times New Roman" w:cs="宋体"/>
          <w:color w:val="000000"/>
          <w:kern w:val="0"/>
          <w:sz w:val="32"/>
          <w:szCs w:val="32"/>
        </w:rPr>
        <w:t>85%</w:t>
      </w:r>
      <w:r>
        <w:rPr>
          <w:rFonts w:ascii="Times New Roman" w:eastAsia="方正仿宋_GBK" w:hAnsi="Times New Roman" w:cs="宋体"/>
          <w:color w:val="000000"/>
          <w:kern w:val="0"/>
          <w:sz w:val="32"/>
          <w:szCs w:val="32"/>
        </w:rPr>
        <w:t>以</w:t>
      </w:r>
      <w:r>
        <w:rPr>
          <w:rFonts w:ascii="Times New Roman" w:eastAsia="方正仿宋_GBK" w:hAnsi="Times New Roman" w:cs="宋体"/>
          <w:kern w:val="0"/>
          <w:sz w:val="32"/>
          <w:szCs w:val="32"/>
        </w:rPr>
        <w:t>上。</w:t>
      </w:r>
      <w:r>
        <w:rPr>
          <w:rFonts w:ascii="Times New Roman" w:eastAsia="方正仿宋_GBK" w:hAnsi="Times New Roman" w:cs="宋体" w:hint="eastAsia"/>
          <w:kern w:val="0"/>
          <w:sz w:val="32"/>
          <w:szCs w:val="32"/>
        </w:rPr>
        <w:t>（责任单位：县民政局、县商务委）</w:t>
      </w:r>
    </w:p>
    <w:p w:rsidR="00F34933" w:rsidRDefault="00794DCF">
      <w:pPr>
        <w:widowControl/>
        <w:spacing w:line="600" w:lineRule="exact"/>
        <w:ind w:firstLineChars="200" w:firstLine="640"/>
        <w:rPr>
          <w:rFonts w:ascii="方正黑体_GBK" w:eastAsia="方正黑体_GBK" w:hAnsi="Times New Roman" w:cs="宋体"/>
          <w:kern w:val="0"/>
          <w:sz w:val="32"/>
          <w:szCs w:val="32"/>
        </w:rPr>
      </w:pPr>
      <w:r>
        <w:rPr>
          <w:rFonts w:ascii="方正黑体_GBK" w:eastAsia="方正黑体_GBK" w:hAnsi="Times New Roman" w:cs="宋体" w:hint="eastAsia"/>
          <w:color w:val="000000"/>
          <w:kern w:val="0"/>
          <w:sz w:val="32"/>
          <w:szCs w:val="32"/>
        </w:rPr>
        <w:t>四、保障</w:t>
      </w:r>
      <w:r>
        <w:rPr>
          <w:rFonts w:ascii="方正黑体_GBK" w:eastAsia="方正黑体_GBK" w:hAnsi="Times New Roman" w:cs="宋体" w:hint="eastAsia"/>
          <w:color w:val="000000"/>
          <w:kern w:val="0"/>
          <w:sz w:val="32"/>
          <w:szCs w:val="32"/>
        </w:rPr>
        <w:t>措施</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（一）加强组织领导。</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建立由县政府常务副县长任第一召集人，各分管副县长任第二召集人，县发展改革委、县商务委等相关部门为成员单位的云阳县服务业高质量发展工作联席会议制度。各分管副县长负责分管领域工作统筹调度。联席会议下设办公室在县发展改革委，负责定期组织召开联席会议，加强具体工作分析、研究及调度，牵头实施服务业发展成效县级督查评估。联席会议成员单位各司其职、密切配合，形成推进服务业高质量发展合力。</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（二）优化营商环境</w:t>
      </w:r>
      <w:r>
        <w:rPr>
          <w:rFonts w:ascii="方正楷体_GBK" w:eastAsia="方正楷体_GBK" w:hAnsi="Times New Roman" w:cs="宋体" w:hint="eastAsia"/>
          <w:kern w:val="0"/>
          <w:sz w:val="32"/>
          <w:szCs w:val="32"/>
        </w:rPr>
        <w:t>。</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lastRenderedPageBreak/>
        <w:t>全面实施市场准入负面清单制度，坚持政策支持优先倾斜、资金扶持优先安排、资源要素优先保障、工作谋划优先考虑，不断健全服务业高质量发展政策支撑体系。加强服务业市场监管，推进服务市场诚信体系建设，及时查处消费侵权等问题。</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（三）加强市场主体培育。</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持续实施“大众创业、万众创新”，大幅增加一批市场主体，推动市场主体规模扩大、品质提升，鼓励优质市场主体专业化、规模化、品牌化发展。</w:t>
      </w:r>
    </w:p>
    <w:p w:rsidR="00F34933" w:rsidRDefault="00794DCF">
      <w:pPr>
        <w:widowControl/>
        <w:spacing w:line="600" w:lineRule="exact"/>
        <w:ind w:firstLineChars="200" w:firstLine="640"/>
        <w:rPr>
          <w:rFonts w:ascii="方正楷体_GBK" w:eastAsia="方正楷体_GBK" w:hAnsi="Times New Roman" w:cs="宋体"/>
          <w:kern w:val="0"/>
          <w:sz w:val="32"/>
          <w:szCs w:val="32"/>
        </w:rPr>
      </w:pPr>
      <w:r>
        <w:rPr>
          <w:rFonts w:ascii="方正楷体_GBK" w:eastAsia="方正楷体_GBK" w:hAnsi="Times New Roman" w:cs="宋体" w:hint="eastAsia"/>
          <w:color w:val="000000"/>
          <w:kern w:val="0"/>
          <w:sz w:val="32"/>
          <w:szCs w:val="32"/>
        </w:rPr>
        <w:t>（四）完善统计监测。</w:t>
      </w: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以国民经济行业分类标准为基础，探索建立更加符合服务业高质量发展要求的服务业统计调查制度。建立服务业发展形势分析制度，</w:t>
      </w:r>
      <w:r>
        <w:rPr>
          <w:rFonts w:ascii="Times New Roman" w:eastAsia="方正仿宋_GBK" w:hAnsi="Times New Roman" w:cs="宋体" w:hint="eastAsia"/>
          <w:color w:val="000000"/>
          <w:kern w:val="0"/>
          <w:sz w:val="32"/>
          <w:szCs w:val="32"/>
        </w:rPr>
        <w:t>完善服务业和重点企业运行监测分析。</w:t>
      </w:r>
    </w:p>
    <w:p w:rsidR="00F34933" w:rsidRDefault="00F34933">
      <w:pPr>
        <w:widowControl/>
        <w:spacing w:line="600" w:lineRule="exact"/>
        <w:ind w:firstLineChars="200" w:firstLine="640"/>
        <w:rPr>
          <w:rFonts w:ascii="Times New Roman" w:eastAsia="方正仿宋_GBK" w:hAnsi="Times New Roman" w:cs="宋体"/>
          <w:kern w:val="0"/>
          <w:sz w:val="32"/>
          <w:szCs w:val="32"/>
        </w:rPr>
      </w:pPr>
    </w:p>
    <w:p w:rsidR="00F34933" w:rsidRDefault="00794DCF">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附件：关于新形势下推动服务业高质量发展扶持政策汇总</w:t>
      </w:r>
    </w:p>
    <w:p w:rsidR="00F34933" w:rsidRDefault="00F34933">
      <w:pPr>
        <w:widowControl/>
        <w:spacing w:line="600" w:lineRule="exact"/>
        <w:ind w:firstLineChars="200" w:firstLine="640"/>
        <w:rPr>
          <w:rFonts w:ascii="Times New Roman" w:eastAsia="方正仿宋_GBK" w:hAnsi="Times New Roman" w:cs="宋体"/>
          <w:kern w:val="0"/>
          <w:sz w:val="32"/>
          <w:szCs w:val="32"/>
        </w:rPr>
      </w:pPr>
    </w:p>
    <w:p w:rsidR="00F34933" w:rsidRDefault="00794DCF">
      <w:pPr>
        <w:widowControl/>
        <w:spacing w:line="600" w:lineRule="exact"/>
        <w:ind w:rightChars="200" w:right="420" w:firstLineChars="200" w:firstLine="640"/>
        <w:jc w:val="righ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云阳县人民政府</w:t>
      </w:r>
    </w:p>
    <w:p w:rsidR="00F34933" w:rsidRDefault="00794DCF">
      <w:pPr>
        <w:widowControl/>
        <w:spacing w:line="600" w:lineRule="exact"/>
        <w:ind w:rightChars="150" w:right="315" w:firstLineChars="200" w:firstLine="640"/>
        <w:jc w:val="right"/>
        <w:rPr>
          <w:rFonts w:ascii="Times New Roman" w:eastAsia="方正仿宋_GBK" w:hAnsi="Times New Roman" w:cs="宋体"/>
          <w:kern w:val="0"/>
          <w:sz w:val="32"/>
          <w:szCs w:val="32"/>
        </w:rPr>
      </w:pPr>
      <w:r>
        <w:rPr>
          <w:rFonts w:ascii="Times New Roman" w:eastAsia="方正仿宋_GBK" w:hAnsi="Times New Roman" w:cs="宋体"/>
          <w:color w:val="000000"/>
          <w:kern w:val="0"/>
          <w:sz w:val="32"/>
          <w:szCs w:val="32"/>
        </w:rPr>
        <w:t>2020</w:t>
      </w:r>
      <w:r>
        <w:rPr>
          <w:rFonts w:ascii="Times New Roman" w:eastAsia="方正仿宋_GBK" w:hAnsi="Times New Roman" w:cs="宋体"/>
          <w:color w:val="000000"/>
          <w:kern w:val="0"/>
          <w:sz w:val="32"/>
          <w:szCs w:val="32"/>
        </w:rPr>
        <w:t>年</w:t>
      </w:r>
      <w:r>
        <w:rPr>
          <w:rFonts w:ascii="Times New Roman" w:eastAsia="方正仿宋_GBK" w:hAnsi="Times New Roman" w:cs="宋体"/>
          <w:color w:val="000000"/>
          <w:kern w:val="0"/>
          <w:sz w:val="32"/>
          <w:szCs w:val="32"/>
        </w:rPr>
        <w:t>6</w:t>
      </w:r>
      <w:r>
        <w:rPr>
          <w:rFonts w:ascii="Times New Roman" w:eastAsia="方正仿宋_GBK" w:hAnsi="Times New Roman" w:cs="宋体"/>
          <w:color w:val="000000"/>
          <w:kern w:val="0"/>
          <w:sz w:val="32"/>
          <w:szCs w:val="32"/>
        </w:rPr>
        <w:t>月</w:t>
      </w:r>
      <w:r>
        <w:rPr>
          <w:rFonts w:ascii="Times New Roman" w:eastAsia="方正仿宋_GBK" w:hAnsi="Times New Roman" w:cs="宋体"/>
          <w:color w:val="000000"/>
          <w:kern w:val="0"/>
          <w:sz w:val="32"/>
          <w:szCs w:val="32"/>
        </w:rPr>
        <w:t>23</w:t>
      </w:r>
      <w:r>
        <w:rPr>
          <w:rFonts w:ascii="Times New Roman" w:eastAsia="方正仿宋_GBK" w:hAnsi="Times New Roman" w:cs="宋体"/>
          <w:color w:val="000000"/>
          <w:kern w:val="0"/>
          <w:sz w:val="32"/>
          <w:szCs w:val="32"/>
        </w:rPr>
        <w:t>日</w:t>
      </w:r>
      <w:r>
        <w:rPr>
          <w:rFonts w:ascii="Times New Roman" w:eastAsia="方正仿宋_GBK" w:hAnsi="Times New Roman" w:cs="宋体"/>
          <w:color w:val="000000"/>
          <w:kern w:val="0"/>
          <w:sz w:val="32"/>
          <w:szCs w:val="32"/>
        </w:rPr>
        <w:t xml:space="preserve"> </w:t>
      </w:r>
    </w:p>
    <w:p w:rsidR="00F34933" w:rsidRDefault="00F34933">
      <w:pPr>
        <w:widowControl/>
        <w:ind w:firstLineChars="200" w:firstLine="640"/>
        <w:jc w:val="left"/>
        <w:rPr>
          <w:rFonts w:ascii="Times New Roman" w:eastAsia="方正仿宋_GBK" w:hAnsi="Times New Roman" w:cs="宋体"/>
          <w:kern w:val="0"/>
          <w:sz w:val="32"/>
        </w:rPr>
      </w:pPr>
    </w:p>
    <w:p w:rsidR="00F34933" w:rsidRDefault="00F34933">
      <w:pPr>
        <w:widowControl/>
        <w:spacing w:line="570" w:lineRule="atLeast"/>
        <w:ind w:firstLineChars="200" w:firstLine="640"/>
        <w:rPr>
          <w:rFonts w:ascii="Times New Roman" w:eastAsia="方正仿宋_GBK" w:hAnsi="Times New Roman" w:cs="宋体"/>
          <w:kern w:val="0"/>
          <w:sz w:val="32"/>
          <w:szCs w:val="32"/>
        </w:rPr>
      </w:pPr>
    </w:p>
    <w:p w:rsidR="00F34933" w:rsidRDefault="00F34933">
      <w:pPr>
        <w:widowControl/>
        <w:spacing w:line="570" w:lineRule="atLeast"/>
        <w:ind w:firstLineChars="200" w:firstLine="640"/>
        <w:jc w:val="left"/>
        <w:rPr>
          <w:rFonts w:ascii="Times New Roman" w:eastAsia="方正仿宋_GBK" w:hAnsi="Times New Roman" w:cs="宋体"/>
          <w:kern w:val="0"/>
          <w:sz w:val="32"/>
          <w:szCs w:val="32"/>
        </w:rPr>
      </w:pPr>
    </w:p>
    <w:p w:rsidR="00F34933" w:rsidRDefault="00794DCF">
      <w:pPr>
        <w:widowControl/>
        <w:spacing w:line="570" w:lineRule="atLeast"/>
        <w:jc w:val="left"/>
        <w:rPr>
          <w:rFonts w:ascii="方正黑体_GBK" w:eastAsia="方正黑体_GBK" w:hAnsi="Times New Roman" w:cs="宋体"/>
          <w:kern w:val="0"/>
          <w:sz w:val="32"/>
          <w:szCs w:val="32"/>
        </w:rPr>
      </w:pPr>
      <w:r>
        <w:rPr>
          <w:rFonts w:ascii="方正黑体_GBK" w:eastAsia="方正黑体_GBK" w:hAnsi="Times New Roman" w:cs="宋体" w:hint="eastAsia"/>
          <w:kern w:val="0"/>
          <w:sz w:val="32"/>
          <w:szCs w:val="32"/>
        </w:rPr>
        <w:lastRenderedPageBreak/>
        <w:t>附件</w:t>
      </w:r>
    </w:p>
    <w:p w:rsidR="00DB5175" w:rsidRDefault="00794DCF" w:rsidP="00DB5175">
      <w:pPr>
        <w:widowControl/>
        <w:spacing w:line="540" w:lineRule="exact"/>
        <w:ind w:firstLineChars="200" w:firstLine="880"/>
        <w:jc w:val="center"/>
        <w:rPr>
          <w:rFonts w:ascii="方正小标宋_GBK" w:eastAsia="方正小标宋_GBK" w:hAnsi="Times New Roman" w:cs="宋体" w:hint="eastAsia"/>
          <w:kern w:val="0"/>
          <w:sz w:val="44"/>
          <w:szCs w:val="44"/>
        </w:rPr>
      </w:pPr>
      <w:r>
        <w:rPr>
          <w:rFonts w:ascii="方正小标宋_GBK" w:eastAsia="方正小标宋_GBK" w:hAnsi="Times New Roman" w:cs="宋体" w:hint="eastAsia"/>
          <w:kern w:val="0"/>
          <w:sz w:val="44"/>
          <w:szCs w:val="44"/>
        </w:rPr>
        <w:t>关于新形势下推动服务业高质量发展</w:t>
      </w:r>
    </w:p>
    <w:p w:rsidR="00F34933" w:rsidRDefault="00794DCF" w:rsidP="00DB5175">
      <w:pPr>
        <w:widowControl/>
        <w:spacing w:line="540" w:lineRule="exact"/>
        <w:ind w:firstLineChars="200" w:firstLine="880"/>
        <w:jc w:val="center"/>
        <w:rPr>
          <w:rFonts w:ascii="方正小标宋_GBK" w:eastAsia="方正小标宋_GBK" w:hAnsi="Times New Roman" w:cs="宋体"/>
          <w:kern w:val="0"/>
          <w:sz w:val="44"/>
          <w:szCs w:val="44"/>
        </w:rPr>
      </w:pPr>
      <w:r>
        <w:rPr>
          <w:rFonts w:ascii="方正小标宋_GBK" w:eastAsia="方正小标宋_GBK" w:hAnsi="Times New Roman" w:cs="宋体" w:hint="eastAsia"/>
          <w:kern w:val="0"/>
          <w:sz w:val="44"/>
          <w:szCs w:val="44"/>
        </w:rPr>
        <w:t>扶持政策汇总</w:t>
      </w:r>
    </w:p>
    <w:p w:rsidR="00F34933" w:rsidRDefault="00F34933">
      <w:pPr>
        <w:widowControl/>
        <w:spacing w:line="570" w:lineRule="atLeast"/>
        <w:ind w:firstLineChars="200" w:firstLine="640"/>
        <w:jc w:val="center"/>
        <w:rPr>
          <w:rFonts w:ascii="Times New Roman" w:eastAsia="方正仿宋_GBK" w:hAnsi="Times New Roman" w:cs="宋体"/>
          <w:kern w:val="0"/>
          <w:sz w:val="32"/>
          <w:szCs w:val="32"/>
        </w:rPr>
      </w:pPr>
    </w:p>
    <w:tbl>
      <w:tblPr>
        <w:tblW w:w="9356" w:type="dxa"/>
        <w:tblInd w:w="-269" w:type="dxa"/>
        <w:tblCellMar>
          <w:top w:w="15" w:type="dxa"/>
          <w:left w:w="15" w:type="dxa"/>
          <w:bottom w:w="15" w:type="dxa"/>
          <w:right w:w="15" w:type="dxa"/>
        </w:tblCellMar>
        <w:tblLook w:val="04A0"/>
      </w:tblPr>
      <w:tblGrid>
        <w:gridCol w:w="1418"/>
        <w:gridCol w:w="7938"/>
      </w:tblGrid>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一</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优化政府服务</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1</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加大政府购买公共服务力度。适合采取市场化方式提供、社会力量能够承担的公共服务和管理事项，可通过政府采购、特许经营、委托等方式向社会购买。扩大政府购买范围，优化政府购买服务指导目录，加强购买服务绩效评价。</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2</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破除社会资本参与政府公共服务的制度性障碍，支持民营企业、社会组织平等参与提供公共服务。健全公开遴选、评估体制机制，加强市场监管，建立健全公共服务市场化保障措施。</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二</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加大财税和价格支持</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3</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加大财税精准投入力度，用足用好各类中央专项资金和政府引导基金，支持发展服务业关键领域、重点行业和新兴产业。</w:t>
            </w:r>
          </w:p>
        </w:tc>
      </w:tr>
      <w:tr w:rsidR="00F34933">
        <w:trPr>
          <w:trHeight w:val="871"/>
        </w:trPr>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4</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凡符合条件的服务业企业，可享受西部大开发税收优</w:t>
            </w:r>
            <w:r>
              <w:rPr>
                <w:rFonts w:ascii="Times New Roman" w:eastAsia="方正仿宋_GBK" w:hAnsi="Times New Roman" w:cs="宋体" w:hint="eastAsia"/>
                <w:color w:val="000000"/>
                <w:kern w:val="0"/>
                <w:sz w:val="32"/>
                <w:szCs w:val="32"/>
              </w:rPr>
              <w:lastRenderedPageBreak/>
              <w:t>惠政策减按</w:t>
            </w:r>
            <w:r>
              <w:rPr>
                <w:rFonts w:ascii="Times New Roman" w:eastAsia="方正仿宋_GBK" w:hAnsi="Times New Roman" w:cs="宋体" w:hint="eastAsia"/>
                <w:kern w:val="0"/>
                <w:sz w:val="32"/>
                <w:szCs w:val="32"/>
              </w:rPr>
              <w:t>15%</w:t>
            </w:r>
            <w:r>
              <w:rPr>
                <w:rFonts w:ascii="Times New Roman" w:eastAsia="方正仿宋_GBK" w:hAnsi="Times New Roman" w:cs="宋体" w:hint="eastAsia"/>
                <w:kern w:val="0"/>
                <w:sz w:val="32"/>
                <w:szCs w:val="32"/>
              </w:rPr>
              <w:t>缴</w:t>
            </w:r>
            <w:r>
              <w:rPr>
                <w:rFonts w:ascii="Times New Roman" w:eastAsia="方正仿宋_GBK" w:hAnsi="Times New Roman" w:cs="宋体" w:hint="eastAsia"/>
                <w:color w:val="000000"/>
                <w:kern w:val="0"/>
                <w:sz w:val="32"/>
                <w:szCs w:val="32"/>
              </w:rPr>
              <w:t>纳企业所得税。</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lastRenderedPageBreak/>
              <w:t>5</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落实好生活性服务业增值税加计抵减政策，对符合条件的生活性服务业纳税人按照当期可抵扣进项税额加计</w:t>
            </w:r>
            <w:r>
              <w:rPr>
                <w:rFonts w:ascii="Times New Roman" w:eastAsia="方正仿宋_GBK" w:hAnsi="Times New Roman" w:cs="宋体" w:hint="eastAsia"/>
                <w:kern w:val="0"/>
                <w:sz w:val="32"/>
                <w:szCs w:val="32"/>
              </w:rPr>
              <w:t>15%</w:t>
            </w:r>
            <w:r>
              <w:rPr>
                <w:rFonts w:ascii="Times New Roman" w:eastAsia="方正仿宋_GBK" w:hAnsi="Times New Roman" w:cs="宋体" w:hint="eastAsia"/>
                <w:kern w:val="0"/>
                <w:sz w:val="32"/>
                <w:szCs w:val="32"/>
              </w:rPr>
              <w:t>，</w:t>
            </w:r>
            <w:r>
              <w:rPr>
                <w:rFonts w:ascii="Times New Roman" w:eastAsia="方正仿宋_GBK" w:hAnsi="Times New Roman" w:cs="宋体" w:hint="eastAsia"/>
                <w:color w:val="000000"/>
                <w:kern w:val="0"/>
                <w:sz w:val="32"/>
                <w:szCs w:val="32"/>
              </w:rPr>
              <w:t>抵减增值税应纳税额。</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6</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落实好小微企业普惠性税收减免政策，对增值税小规模纳税人减按</w:t>
            </w:r>
            <w:r>
              <w:rPr>
                <w:rFonts w:ascii="Times New Roman" w:eastAsia="方正仿宋_GBK" w:hAnsi="Times New Roman" w:cs="宋体" w:hint="eastAsia"/>
                <w:color w:val="000000"/>
                <w:kern w:val="0"/>
                <w:sz w:val="32"/>
                <w:szCs w:val="32"/>
              </w:rPr>
              <w:t>50%</w:t>
            </w:r>
            <w:r>
              <w:rPr>
                <w:rFonts w:ascii="Times New Roman" w:eastAsia="方正仿宋_GBK" w:hAnsi="Times New Roman" w:cs="宋体" w:hint="eastAsia"/>
                <w:color w:val="000000"/>
                <w:kern w:val="0"/>
                <w:sz w:val="32"/>
                <w:szCs w:val="32"/>
              </w:rPr>
              <w:t>征收资源税、城市维护建设税、房产税、城镇土地使用税、印花税（不含证券交易印花税）、耕地占用税和教育费附加、地方教育附加。</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7</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落实提高企业研发费用加计扣除政策、股权激励递延纳税和技术成果投资入股选择性税收优惠等政策。</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8</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认真落实《财政部税务总局商务部海关总署关于跨境电子商务综合试验区零售出口货物税收政策的通知》（财税〔</w:t>
            </w:r>
            <w:r>
              <w:rPr>
                <w:rFonts w:ascii="Times New Roman" w:eastAsia="方正仿宋_GBK" w:hAnsi="Times New Roman" w:cs="宋体" w:hint="eastAsia"/>
                <w:kern w:val="0"/>
                <w:sz w:val="32"/>
                <w:szCs w:val="32"/>
              </w:rPr>
              <w:t>2018</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103</w:t>
            </w:r>
            <w:r>
              <w:rPr>
                <w:rFonts w:ascii="Times New Roman" w:eastAsia="方正仿宋_GBK" w:hAnsi="Times New Roman" w:cs="宋体" w:hint="eastAsia"/>
                <w:color w:val="000000"/>
                <w:kern w:val="0"/>
                <w:sz w:val="32"/>
                <w:szCs w:val="32"/>
              </w:rPr>
              <w:t>号），对符合条件的电子商务出口企业货物实行增值税、消费税免税政策。</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9</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全面落实工商用电同价政策，加快推动落实服务业与工业用气、用水同价政策；支持服务业企业参与电力市场交易。</w:t>
            </w:r>
          </w:p>
        </w:tc>
      </w:tr>
      <w:tr w:rsidR="00F34933">
        <w:trPr>
          <w:trHeight w:val="847"/>
        </w:trPr>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三</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强化金融要素支撑</w:t>
            </w:r>
          </w:p>
        </w:tc>
      </w:tr>
      <w:tr w:rsidR="00F34933">
        <w:trPr>
          <w:trHeight w:val="883"/>
        </w:trPr>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lastRenderedPageBreak/>
              <w:t>10</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支持发展动产融资，大力推动商业价值信用贷款试点。</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11</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引导有条件的服务业企业利用主板、中小板、创业板、科创板、“新三板”、私募股权和创业投资基金开展股权融资。</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12</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提高企业信用贷款和中长期贷款比重，更好满足中小企业融资需求。做大小微企业融资担保规模。</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13</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积极发挥政策性银行作用，加大对新冠肺炎疫情后市场化融资有困难的企业和单位信贷支持力度。</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四</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保障用地需求</w:t>
            </w:r>
          </w:p>
        </w:tc>
      </w:tr>
      <w:tr w:rsidR="00F34933">
        <w:trPr>
          <w:trHeight w:val="1333"/>
        </w:trPr>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14</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按照集约节约利用土地的原则，优化用地结构和土地供应调控机制，保障重大服务业功能性载体和重大项目建设用地。</w:t>
            </w:r>
          </w:p>
        </w:tc>
      </w:tr>
      <w:tr w:rsidR="00F34933">
        <w:trPr>
          <w:trHeight w:val="1279"/>
        </w:trPr>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15</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对符合条件的工业企业利用存量房产、土地兴办生产性服务业的，经批准可在</w:t>
            </w:r>
            <w:r>
              <w:rPr>
                <w:rFonts w:ascii="Times New Roman" w:eastAsia="方正仿宋_GBK" w:hAnsi="Times New Roman" w:cs="宋体" w:hint="eastAsia"/>
                <w:color w:val="000000"/>
                <w:kern w:val="0"/>
                <w:sz w:val="32"/>
                <w:szCs w:val="32"/>
              </w:rPr>
              <w:t>5</w:t>
            </w:r>
            <w:r>
              <w:rPr>
                <w:rFonts w:ascii="Times New Roman" w:eastAsia="方正仿宋_GBK" w:hAnsi="Times New Roman" w:cs="宋体" w:hint="eastAsia"/>
                <w:color w:val="000000"/>
                <w:kern w:val="0"/>
                <w:sz w:val="32"/>
                <w:szCs w:val="32"/>
              </w:rPr>
              <w:t>年过渡期内继续按原用途和土地权利类型使用土地。加强历史建筑的活化利用，有效发挥建筑服务功能。</w:t>
            </w:r>
          </w:p>
        </w:tc>
      </w:tr>
      <w:tr w:rsidR="00F34933">
        <w:trPr>
          <w:trHeight w:val="798"/>
        </w:trPr>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五</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提升消费能力</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lastRenderedPageBreak/>
              <w:t>16</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加大电子产品、汽车等消费促进力度，严格落实国家新能源汽车购置补贴和免征车辆购置税政策。鼓励金融机构丰富消费信贷金融产品，根据个人消费者征信评估和消费能力，合理放宽消费信贷期限，降低消费信贷利率；鼓励银行合理延长个人信贷、信用卡等免息还款期限，进一步刺激消费增长。</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17</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探索制定发放实物消费和服务消费券政策，激发释放被抑制、被冻结的零售、旅游、娱乐、餐饮、住宿消费活力。适时推出重点景区门票减免，制定系列文旅消费优惠措施。</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六</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扩大开放合作</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18</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依托推动成渝地区双城经济圈建设，加强与周边区县在发展经验上互学互鉴，在基础设施上互联互通，在产业发展上互融互补，在公共服务上共建共享，在生态环保上联防联控，构建高效分工、功能协调、错位发展、相互融合的现代服务产业体系。</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19</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对接重庆自由贸易试验区、中新项目管理局、重庆外经贸集团等平台，持续扩大开放型经济生态圈。充分发挥中国银行云阳支行外贸结算等功能，大力发展外贸中介服</w:t>
            </w:r>
            <w:r>
              <w:rPr>
                <w:rFonts w:ascii="Times New Roman" w:eastAsia="方正仿宋_GBK" w:hAnsi="Times New Roman" w:cs="宋体" w:hint="eastAsia"/>
                <w:color w:val="000000"/>
                <w:kern w:val="0"/>
                <w:sz w:val="32"/>
                <w:szCs w:val="32"/>
              </w:rPr>
              <w:lastRenderedPageBreak/>
              <w:t>务，加快投用云阳保税仓，力争在云阳设立海关口岸。</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lastRenderedPageBreak/>
              <w:t>20</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积极引进国内外优质服务资源，以共建“一带一路”为重点，增强教育、文化、体育、人才</w:t>
            </w:r>
            <w:r>
              <w:rPr>
                <w:rFonts w:ascii="Times New Roman" w:eastAsia="方正仿宋_GBK" w:hAnsi="Times New Roman" w:cs="宋体" w:hint="eastAsia"/>
                <w:color w:val="000000"/>
                <w:kern w:val="0"/>
                <w:sz w:val="32"/>
                <w:szCs w:val="32"/>
              </w:rPr>
              <w:t>、友好城市等领域对外交流合作。瞄准新亚欧、中蒙俄、中孟印缅、中国—中南半岛等重点区域，选择来料加工、外派劳务、文旅交流等重点领域，着力培养一批特色突出、外向度高的开放主体。积极引导云阳面工、建筑工到“一带一路”沿线国家发展。</w:t>
            </w:r>
          </w:p>
        </w:tc>
      </w:tr>
      <w:tr w:rsidR="00F34933">
        <w:tc>
          <w:tcPr>
            <w:tcW w:w="141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21</w:t>
            </w:r>
          </w:p>
        </w:tc>
        <w:tc>
          <w:tcPr>
            <w:tcW w:w="7938" w:type="dxa"/>
            <w:tcBorders>
              <w:top w:val="single" w:sz="6" w:space="0" w:color="000000"/>
              <w:left w:val="single" w:sz="6" w:space="0" w:color="000000"/>
              <w:bottom w:val="single" w:sz="6" w:space="0" w:color="000000"/>
              <w:right w:val="single" w:sz="6" w:space="0" w:color="000000"/>
            </w:tcBorders>
            <w:vAlign w:val="center"/>
          </w:tcPr>
          <w:p w:rsidR="00F34933" w:rsidRDefault="00794DCF">
            <w:pPr>
              <w:widowControl/>
              <w:spacing w:line="570" w:lineRule="atLeast"/>
              <w:ind w:firstLineChars="200" w:firstLine="640"/>
              <w:jc w:val="left"/>
              <w:rPr>
                <w:rFonts w:ascii="Times New Roman" w:eastAsia="方正仿宋_GBK" w:hAnsi="Times New Roman" w:cs="宋体"/>
                <w:kern w:val="0"/>
                <w:sz w:val="32"/>
                <w:szCs w:val="32"/>
              </w:rPr>
            </w:pPr>
            <w:r>
              <w:rPr>
                <w:rFonts w:ascii="Times New Roman" w:eastAsia="方正仿宋_GBK" w:hAnsi="Times New Roman" w:cs="宋体" w:hint="eastAsia"/>
                <w:color w:val="000000"/>
                <w:kern w:val="0"/>
                <w:sz w:val="32"/>
                <w:szCs w:val="32"/>
              </w:rPr>
              <w:t>稳步推动金融、电信、教育、医疗、文化等重点服务业领域扩大开放，扩大外资投资服务业的经营范围。</w:t>
            </w:r>
          </w:p>
        </w:tc>
      </w:tr>
    </w:tbl>
    <w:p w:rsidR="00F34933" w:rsidRDefault="00F34933">
      <w:pPr>
        <w:pStyle w:val="a7"/>
        <w:widowControl/>
        <w:shd w:val="clear" w:color="auto" w:fill="FFFFFF"/>
        <w:spacing w:beforeAutospacing="0" w:afterAutospacing="0" w:line="400" w:lineRule="exact"/>
        <w:rPr>
          <w:rFonts w:ascii="Times New Roman" w:eastAsia="方正仿宋_GBK" w:hAnsi="Times New Roman"/>
          <w:sz w:val="32"/>
        </w:rPr>
      </w:pPr>
    </w:p>
    <w:sectPr w:rsidR="00F34933" w:rsidSect="00F34933">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DCF" w:rsidRDefault="00794DCF" w:rsidP="00F34933">
      <w:r>
        <w:separator/>
      </w:r>
    </w:p>
  </w:endnote>
  <w:endnote w:type="continuationSeparator" w:id="1">
    <w:p w:rsidR="00794DCF" w:rsidRDefault="00794DCF" w:rsidP="00F34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33" w:rsidRDefault="00F34933">
    <w:pPr>
      <w:pStyle w:val="a6"/>
      <w:ind w:leftChars="2280" w:left="4788" w:firstLineChars="2000" w:firstLine="6400"/>
      <w:rPr>
        <w:rFonts w:eastAsia="仿宋"/>
        <w:sz w:val="32"/>
        <w:szCs w:val="48"/>
      </w:rPr>
    </w:pPr>
    <w:r w:rsidRPr="00F34933">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F34933" w:rsidRDefault="00F34933">
                <w:pPr>
                  <w:pStyle w:val="a5"/>
                </w:pPr>
                <w:r>
                  <w:rPr>
                    <w:rFonts w:ascii="宋体" w:eastAsia="宋体" w:hAnsi="宋体" w:cs="宋体" w:hint="eastAsia"/>
                    <w:sz w:val="28"/>
                    <w:szCs w:val="28"/>
                  </w:rPr>
                  <w:fldChar w:fldCharType="begin"/>
                </w:r>
                <w:r w:rsidR="00794DCF">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517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F34933" w:rsidRDefault="00F34933">
    <w:pPr>
      <w:pStyle w:val="a6"/>
      <w:wordWrap w:val="0"/>
      <w:ind w:leftChars="1803" w:left="3786" w:firstLineChars="2312" w:firstLine="7398"/>
      <w:jc w:val="right"/>
      <w:rPr>
        <w:rFonts w:ascii="宋体" w:eastAsia="宋体" w:hAnsi="宋体" w:cs="宋体"/>
        <w:b/>
        <w:bCs/>
        <w:color w:val="005192"/>
        <w:sz w:val="28"/>
        <w:szCs w:val="44"/>
      </w:rPr>
    </w:pPr>
    <w:r w:rsidRPr="00F34933">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794DCF">
      <w:rPr>
        <w:rFonts w:ascii="宋体" w:eastAsia="宋体" w:hAnsi="宋体" w:cs="宋体" w:hint="eastAsia"/>
        <w:b/>
        <w:bCs/>
        <w:color w:val="005192"/>
        <w:sz w:val="28"/>
        <w:szCs w:val="44"/>
      </w:rPr>
      <w:t>云</w:t>
    </w:r>
    <w:r w:rsidR="00794DCF">
      <w:rPr>
        <w:rFonts w:ascii="宋体" w:eastAsia="宋体" w:hAnsi="宋体" w:cs="宋体" w:hint="eastAsia"/>
        <w:b/>
        <w:bCs/>
        <w:color w:val="005192"/>
        <w:sz w:val="28"/>
        <w:szCs w:val="44"/>
      </w:rPr>
      <w:t>云</w:t>
    </w:r>
    <w:r w:rsidR="00794DCF">
      <w:rPr>
        <w:rFonts w:ascii="宋体" w:eastAsia="宋体" w:hAnsi="宋体" w:cs="宋体" w:hint="eastAsia"/>
        <w:b/>
        <w:bCs/>
        <w:color w:val="005192"/>
        <w:sz w:val="28"/>
        <w:szCs w:val="44"/>
      </w:rPr>
      <w:t>阳县人民政府办公室发布</w:t>
    </w:r>
    <w:r w:rsidR="00794DCF">
      <w:rPr>
        <w:rFonts w:ascii="宋体" w:eastAsia="宋体" w:hAnsi="宋体" w:cs="宋体" w:hint="eastAsia"/>
        <w:b/>
        <w:bCs/>
        <w:color w:val="005192"/>
        <w:sz w:val="28"/>
        <w:szCs w:val="44"/>
      </w:rPr>
      <w:t xml:space="preserve">     </w:t>
    </w:r>
  </w:p>
  <w:p w:rsidR="00F34933" w:rsidRDefault="00F34933">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DCF" w:rsidRDefault="00794DCF" w:rsidP="00F34933">
      <w:r>
        <w:separator/>
      </w:r>
    </w:p>
  </w:footnote>
  <w:footnote w:type="continuationSeparator" w:id="1">
    <w:p w:rsidR="00794DCF" w:rsidRDefault="00794DCF" w:rsidP="00F34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33" w:rsidRDefault="00F34933">
    <w:pPr>
      <w:pStyle w:val="a6"/>
      <w:textAlignment w:val="center"/>
      <w:rPr>
        <w:rFonts w:ascii="方正仿宋_GBK" w:eastAsia="方正仿宋_GBK" w:hAnsi="方正仿宋_GBK" w:cs="方正仿宋_GBK"/>
        <w:b/>
        <w:bCs/>
        <w:color w:val="000000" w:themeColor="text1"/>
        <w:sz w:val="32"/>
      </w:rPr>
    </w:pPr>
    <w:bookmarkStart w:id="0" w:name="_GoBack"/>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bookmarkEnd w:id="0"/>
  </w:p>
  <w:p w:rsidR="00F34933" w:rsidRDefault="00794DCF">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U5YmRmY2ZlZTI3ZWMxYTcyNzBkNzZjMzVmZDFkZjkifQ=="/>
  </w:docVars>
  <w:rsids>
    <w:rsidRoot w:val="00172A27"/>
    <w:rsid w:val="F05B4F69"/>
    <w:rsid w:val="F97D9566"/>
    <w:rsid w:val="FDFF411C"/>
    <w:rsid w:val="000231DF"/>
    <w:rsid w:val="00172A27"/>
    <w:rsid w:val="00757F53"/>
    <w:rsid w:val="00794DCF"/>
    <w:rsid w:val="009B4CAA"/>
    <w:rsid w:val="00B60C7E"/>
    <w:rsid w:val="00BC1FDC"/>
    <w:rsid w:val="00DB5175"/>
    <w:rsid w:val="00F34933"/>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7D3309E"/>
    <w:rsid w:val="79C65162"/>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933"/>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F34933"/>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34933"/>
    <w:pPr>
      <w:jc w:val="left"/>
    </w:pPr>
  </w:style>
  <w:style w:type="paragraph" w:styleId="a4">
    <w:name w:val="Balloon Text"/>
    <w:basedOn w:val="a"/>
    <w:link w:val="Char"/>
    <w:qFormat/>
    <w:rsid w:val="00F34933"/>
    <w:rPr>
      <w:sz w:val="18"/>
      <w:szCs w:val="18"/>
    </w:rPr>
  </w:style>
  <w:style w:type="paragraph" w:styleId="a5">
    <w:name w:val="footer"/>
    <w:basedOn w:val="a"/>
    <w:qFormat/>
    <w:rsid w:val="00F34933"/>
    <w:pPr>
      <w:tabs>
        <w:tab w:val="center" w:pos="4153"/>
        <w:tab w:val="right" w:pos="8306"/>
      </w:tabs>
      <w:snapToGrid w:val="0"/>
      <w:jc w:val="left"/>
    </w:pPr>
    <w:rPr>
      <w:sz w:val="18"/>
    </w:rPr>
  </w:style>
  <w:style w:type="paragraph" w:styleId="a6">
    <w:name w:val="header"/>
    <w:basedOn w:val="a"/>
    <w:qFormat/>
    <w:rsid w:val="00F3493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F34933"/>
    <w:pPr>
      <w:spacing w:beforeAutospacing="1" w:afterAutospacing="1"/>
      <w:jc w:val="left"/>
    </w:pPr>
    <w:rPr>
      <w:rFonts w:cs="Times New Roman"/>
      <w:kern w:val="0"/>
      <w:sz w:val="24"/>
    </w:rPr>
  </w:style>
  <w:style w:type="character" w:styleId="a8">
    <w:name w:val="Strong"/>
    <w:basedOn w:val="a0"/>
    <w:qFormat/>
    <w:rsid w:val="00F34933"/>
    <w:rPr>
      <w:b/>
      <w:bCs/>
    </w:rPr>
  </w:style>
  <w:style w:type="paragraph" w:customStyle="1" w:styleId="p0">
    <w:name w:val="p0"/>
    <w:basedOn w:val="a"/>
    <w:qFormat/>
    <w:rsid w:val="00F34933"/>
    <w:pPr>
      <w:widowControl/>
    </w:pPr>
    <w:rPr>
      <w:rFonts w:ascii="Calibri" w:eastAsia="宋体" w:hAnsi="Calibri" w:cs="宋体"/>
      <w:kern w:val="0"/>
      <w:szCs w:val="32"/>
    </w:rPr>
  </w:style>
  <w:style w:type="character" w:customStyle="1" w:styleId="Char">
    <w:name w:val="批注框文本 Char"/>
    <w:basedOn w:val="a0"/>
    <w:link w:val="a4"/>
    <w:qFormat/>
    <w:rsid w:val="00F3493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o.com/s?q=%E8%B5%84%E6%BA%90&amp;ie=utf-8&amp;src=internal_wenda_recommend_textn%22%20\t%20%22_blank" TargetMode="External"/><Relationship Id="rId3" Type="http://schemas.openxmlformats.org/officeDocument/2006/relationships/settings" Target="settings.xml"/><Relationship Id="rId7" Type="http://schemas.openxmlformats.org/officeDocument/2006/relationships/hyperlink" Target="http://www.so.com/s?q=%E7%A4%BE%E5%8C%BA&amp;ie=utf-8&amp;src=internal_wenda_recommend_textn%22%20\t%20%22_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1128</Words>
  <Characters>6430</Characters>
  <Application>Microsoft Office Word</Application>
  <DocSecurity>0</DocSecurity>
  <Lines>53</Lines>
  <Paragraphs>15</Paragraphs>
  <ScaleCrop>false</ScaleCrop>
  <Company/>
  <LinksUpToDate>false</LinksUpToDate>
  <CharactersWithSpaces>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5</cp:revision>
  <cp:lastPrinted>2022-05-12T00:46:00Z</cp:lastPrinted>
  <dcterms:created xsi:type="dcterms:W3CDTF">2021-09-11T02:41:00Z</dcterms:created>
  <dcterms:modified xsi:type="dcterms:W3CDTF">2022-06-10T16:06:00Z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