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C0744">
      <w:pPr>
        <w:pStyle w:val="6"/>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40" w:lineRule="atLeast"/>
        <w:ind w:left="0" w:right="0"/>
        <w:jc w:val="center"/>
        <w:textAlignment w:val="auto"/>
        <w:rPr>
          <w:rStyle w:val="9"/>
          <w:rFonts w:hint="default" w:ascii="Times New Roman" w:hAnsi="Times New Roman" w:eastAsia="方正小标宋_GBK" w:cs="Times New Roman"/>
          <w:b w:val="0"/>
          <w:kern w:val="2"/>
          <w:sz w:val="44"/>
          <w:szCs w:val="44"/>
          <w:shd w:val="clear" w:color="auto" w:fill="FFFFFF"/>
          <w:lang w:val="en-US" w:eastAsia="zh-CN" w:bidi="ar-SA"/>
        </w:rPr>
      </w:pPr>
    </w:p>
    <w:p w14:paraId="27554C8F">
      <w:pPr>
        <w:pStyle w:val="6"/>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40" w:lineRule="atLeast"/>
        <w:ind w:left="0" w:right="0"/>
        <w:jc w:val="center"/>
        <w:textAlignment w:val="auto"/>
        <w:rPr>
          <w:rStyle w:val="9"/>
          <w:rFonts w:hint="default" w:ascii="Times New Roman" w:hAnsi="Times New Roman" w:eastAsia="方正小标宋_GBK" w:cs="Times New Roman"/>
          <w:b w:val="0"/>
          <w:kern w:val="2"/>
          <w:sz w:val="44"/>
          <w:szCs w:val="44"/>
          <w:shd w:val="clear" w:color="auto" w:fill="FFFFFF"/>
          <w:lang w:val="en-US" w:eastAsia="zh-CN" w:bidi="ar-SA"/>
        </w:rPr>
      </w:pPr>
    </w:p>
    <w:p w14:paraId="14D1876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_GBK" w:cs="Times New Roman"/>
          <w:bCs/>
          <w:snapToGrid w:val="0"/>
          <w:kern w:val="0"/>
          <w:sz w:val="44"/>
        </w:rPr>
      </w:pPr>
      <w:r>
        <w:rPr>
          <w:rStyle w:val="9"/>
          <w:rFonts w:hint="default" w:ascii="Times New Roman" w:hAnsi="Times New Roman" w:eastAsia="方正小标宋_GBK" w:cs="Times New Roman"/>
          <w:b w:val="0"/>
          <w:kern w:val="2"/>
          <w:sz w:val="44"/>
          <w:szCs w:val="44"/>
          <w:shd w:val="clear" w:color="auto" w:fill="FFFFFF"/>
          <w:lang w:val="en-US" w:eastAsia="zh-CN" w:bidi="ar-SA"/>
        </w:rPr>
        <w:tab/>
      </w:r>
      <w:r>
        <w:rPr>
          <w:rFonts w:hint="default" w:ascii="Times New Roman" w:hAnsi="Times New Roman" w:eastAsia="方正小标宋_GBK" w:cs="Times New Roman"/>
          <w:bCs/>
          <w:snapToGrid w:val="0"/>
          <w:kern w:val="0"/>
          <w:sz w:val="44"/>
        </w:rPr>
        <w:t>云阳县人民政府办公室</w:t>
      </w:r>
    </w:p>
    <w:p w14:paraId="20136E8F">
      <w:pPr>
        <w:keepNext w:val="0"/>
        <w:keepLines w:val="0"/>
        <w:pageBreakBefore w:val="0"/>
        <w:widowControl w:val="0"/>
        <w:kinsoku/>
        <w:wordWrap/>
        <w:overflowPunct/>
        <w:topLinePunct w:val="0"/>
        <w:autoSpaceDE/>
        <w:autoSpaceDN/>
        <w:bidi w:val="0"/>
        <w:spacing w:line="540" w:lineRule="exact"/>
        <w:jc w:val="center"/>
        <w:textAlignment w:val="auto"/>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关于印发云阳县农村集体产权制度改革试点</w:t>
      </w:r>
    </w:p>
    <w:p w14:paraId="6BF1A291">
      <w:pPr>
        <w:keepNext w:val="0"/>
        <w:keepLines w:val="0"/>
        <w:pageBreakBefore w:val="0"/>
        <w:widowControl w:val="0"/>
        <w:kinsoku/>
        <w:wordWrap/>
        <w:overflowPunct/>
        <w:topLinePunct w:val="0"/>
        <w:autoSpaceDE/>
        <w:autoSpaceDN/>
        <w:bidi w:val="0"/>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bCs/>
          <w:sz w:val="44"/>
          <w:szCs w:val="44"/>
        </w:rPr>
        <w:t>工作方案的通知</w:t>
      </w:r>
    </w:p>
    <w:p w14:paraId="6DCAB7B7">
      <w:pPr>
        <w:spacing w:line="580" w:lineRule="exact"/>
        <w:jc w:val="center"/>
        <w:rPr>
          <w:rFonts w:hint="default" w:ascii="Times New Roman" w:hAnsi="Times New Roman" w:eastAsia="方正仿宋_GBK" w:cs="Times New Roman"/>
          <w:snapToGrid w:val="0"/>
          <w:kern w:val="0"/>
          <w:sz w:val="32"/>
          <w:szCs w:val="32"/>
        </w:rPr>
      </w:pPr>
      <w:r>
        <w:rPr>
          <w:rFonts w:hint="default" w:ascii="Times New Roman" w:hAnsi="Times New Roman" w:eastAsia="方正仿宋_GBK" w:cs="Times New Roman"/>
          <w:snapToGrid w:val="0"/>
          <w:kern w:val="0"/>
          <w:sz w:val="32"/>
          <w:szCs w:val="32"/>
        </w:rPr>
        <w:t>云阳府办发〔2018〕122号</w:t>
      </w:r>
    </w:p>
    <w:p w14:paraId="14AF2439">
      <w:pPr>
        <w:spacing w:line="720" w:lineRule="exact"/>
        <w:jc w:val="left"/>
        <w:rPr>
          <w:rFonts w:hint="default" w:ascii="Times New Roman" w:hAnsi="Times New Roman" w:eastAsia="方正小标宋_GBK" w:cs="Times New Roman"/>
          <w:sz w:val="44"/>
          <w:szCs w:val="44"/>
        </w:rPr>
      </w:pPr>
    </w:p>
    <w:p w14:paraId="7F8BEE0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各乡镇人民政府、街道办事处，县政府各部门，有关单位：</w:t>
      </w:r>
    </w:p>
    <w:p w14:paraId="77EECFC4">
      <w:pPr>
        <w:keepNext w:val="0"/>
        <w:keepLines w:val="0"/>
        <w:pageBreakBefore w:val="0"/>
        <w:widowControl w:val="0"/>
        <w:kinsoku/>
        <w:wordWrap/>
        <w:overflowPunct/>
        <w:topLinePunct w:val="0"/>
        <w:autoSpaceDE/>
        <w:autoSpaceDN/>
        <w:bidi w:val="0"/>
        <w:adjustRightInd/>
        <w:snapToGrid/>
        <w:spacing w:line="600" w:lineRule="exact"/>
        <w:ind w:right="622" w:rightChars="296"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中共中央国务院关于稳步推进农村集体产权制度改革的意见》精神和《农业农村部关于确定农村集体产权制度改革试点单位的函》（农经函〔2018〕5号）的要求，云阳县已被农业农村部确定为重庆市2018年全县整体推进农村集体产权制度改革试点单位之一。经县政府同意，现将《云阳县农村集体产权制度改革试点工作方案》印发给你们，请认真抓好贯彻落实。</w:t>
      </w:r>
    </w:p>
    <w:p w14:paraId="3F43BAE4">
      <w:pPr>
        <w:pStyle w:val="12"/>
        <w:keepNext w:val="0"/>
        <w:keepLines w:val="0"/>
        <w:pageBreakBefore w:val="0"/>
        <w:kinsoku/>
        <w:wordWrap/>
        <w:overflowPunct/>
        <w:topLinePunct w:val="0"/>
        <w:autoSpaceDE/>
        <w:autoSpaceDN/>
        <w:bidi w:val="0"/>
        <w:spacing w:after="0" w:line="540" w:lineRule="exact"/>
        <w:ind w:firstLine="640" w:firstLineChars="200"/>
        <w:jc w:val="both"/>
        <w:textAlignment w:val="auto"/>
        <w:rPr>
          <w:rFonts w:hint="default" w:ascii="Times New Roman" w:hAnsi="Times New Roman" w:eastAsia="方正仿宋_GBK" w:cs="Times New Roman"/>
          <w:sz w:val="32"/>
          <w:szCs w:val="32"/>
        </w:rPr>
      </w:pPr>
    </w:p>
    <w:p w14:paraId="6F1CB0FC">
      <w:pPr>
        <w:pStyle w:val="12"/>
        <w:keepNext w:val="0"/>
        <w:keepLines w:val="0"/>
        <w:pageBreakBefore w:val="0"/>
        <w:kinsoku/>
        <w:wordWrap/>
        <w:overflowPunct/>
        <w:topLinePunct w:val="0"/>
        <w:autoSpaceDE/>
        <w:autoSpaceDN/>
        <w:bidi w:val="0"/>
        <w:spacing w:after="0" w:line="540" w:lineRule="exact"/>
        <w:ind w:firstLine="640" w:firstLineChars="200"/>
        <w:jc w:val="both"/>
        <w:textAlignment w:val="auto"/>
        <w:rPr>
          <w:rFonts w:hint="default" w:ascii="Times New Roman" w:hAnsi="Times New Roman" w:eastAsia="方正仿宋_GBK" w:cs="Times New Roman"/>
          <w:color w:val="000000"/>
          <w:sz w:val="32"/>
          <w:szCs w:val="32"/>
        </w:rPr>
      </w:pPr>
    </w:p>
    <w:p w14:paraId="0F93C296">
      <w:pPr>
        <w:pStyle w:val="12"/>
        <w:keepNext w:val="0"/>
        <w:keepLines w:val="0"/>
        <w:pageBreakBefore w:val="0"/>
        <w:kinsoku/>
        <w:wordWrap/>
        <w:overflowPunct/>
        <w:topLinePunct w:val="0"/>
        <w:autoSpaceDE/>
        <w:autoSpaceDN/>
        <w:bidi w:val="0"/>
        <w:spacing w:after="0" w:line="540" w:lineRule="exact"/>
        <w:ind w:right="1189" w:rightChars="566"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云阳县人民政府办公室</w:t>
      </w:r>
    </w:p>
    <w:p w14:paraId="2C3E6464">
      <w:pPr>
        <w:keepNext w:val="0"/>
        <w:keepLines w:val="0"/>
        <w:pageBreakBefore w:val="0"/>
        <w:tabs>
          <w:tab w:val="left" w:pos="8222"/>
        </w:tabs>
        <w:kinsoku/>
        <w:wordWrap w:val="0"/>
        <w:overflowPunct/>
        <w:topLinePunct w:val="0"/>
        <w:autoSpaceDE/>
        <w:autoSpaceDN/>
        <w:bidi w:val="0"/>
        <w:spacing w:line="540" w:lineRule="exact"/>
        <w:ind w:right="1509" w:firstLine="640" w:firstLineChars="200"/>
        <w:jc w:val="right"/>
        <w:textAlignment w:val="auto"/>
        <w:rPr>
          <w:rFonts w:hint="eastAsia" w:ascii="Times New Roman" w:hAnsi="Times New Roman" w:eastAsia="方正仿宋_GBK" w:cs="Times New Roman"/>
          <w:color w:val="000000"/>
          <w:sz w:val="44"/>
          <w:szCs w:val="44"/>
          <w:lang w:val="en-US" w:eastAsia="zh-CN"/>
        </w:rPr>
      </w:pPr>
      <w:r>
        <w:rPr>
          <w:rFonts w:hint="default" w:ascii="Times New Roman" w:hAnsi="Times New Roman" w:eastAsia="方正仿宋_GBK" w:cs="Times New Roman"/>
          <w:sz w:val="32"/>
          <w:szCs w:val="32"/>
        </w:rPr>
        <w:t>2018年9月19日</w:t>
      </w:r>
      <w:r>
        <w:rPr>
          <w:rFonts w:hint="eastAsia" w:ascii="Times New Roman" w:hAnsi="Times New Roman" w:eastAsia="方正仿宋_GBK" w:cs="Times New Roman"/>
          <w:sz w:val="32"/>
          <w:szCs w:val="32"/>
          <w:lang w:val="en-US" w:eastAsia="zh-CN"/>
        </w:rPr>
        <w:t xml:space="preserve"> </w:t>
      </w:r>
    </w:p>
    <w:p w14:paraId="142D6601">
      <w:pPr>
        <w:keepNext w:val="0"/>
        <w:keepLines w:val="0"/>
        <w:pageBreakBefore w:val="0"/>
        <w:kinsoku/>
        <w:wordWrap/>
        <w:overflowPunct/>
        <w:topLinePunct w:val="0"/>
        <w:autoSpaceDE/>
        <w:autoSpaceDN/>
        <w:bidi w:val="0"/>
        <w:spacing w:line="720" w:lineRule="exact"/>
        <w:ind w:firstLine="880" w:firstLineChars="200"/>
        <w:jc w:val="center"/>
        <w:textAlignment w:val="auto"/>
        <w:rPr>
          <w:rFonts w:hint="default" w:ascii="Times New Roman" w:hAnsi="Times New Roman" w:eastAsia="方正小标宋_GBK" w:cs="Times New Roman"/>
          <w:color w:val="000000"/>
          <w:sz w:val="44"/>
          <w:szCs w:val="44"/>
        </w:rPr>
      </w:pPr>
    </w:p>
    <w:p w14:paraId="7B8EA687">
      <w:pPr>
        <w:keepNext w:val="0"/>
        <w:keepLines w:val="0"/>
        <w:pageBreakBefore w:val="0"/>
        <w:kinsoku/>
        <w:wordWrap/>
        <w:overflowPunct/>
        <w:topLinePunct w:val="0"/>
        <w:autoSpaceDE/>
        <w:autoSpaceDN/>
        <w:bidi w:val="0"/>
        <w:spacing w:line="720" w:lineRule="exact"/>
        <w:ind w:firstLine="880" w:firstLineChars="200"/>
        <w:jc w:val="center"/>
        <w:textAlignment w:val="auto"/>
        <w:rPr>
          <w:rFonts w:hint="default" w:ascii="Times New Roman" w:hAnsi="Times New Roman" w:eastAsia="方正小标宋_GBK" w:cs="Times New Roman"/>
          <w:sz w:val="44"/>
          <w:szCs w:val="44"/>
        </w:rPr>
      </w:pPr>
    </w:p>
    <w:p w14:paraId="407E9826">
      <w:pPr>
        <w:keepNext w:val="0"/>
        <w:keepLines w:val="0"/>
        <w:pageBreakBefore w:val="0"/>
        <w:kinsoku/>
        <w:wordWrap/>
        <w:overflowPunct/>
        <w:topLinePunct w:val="0"/>
        <w:autoSpaceDE/>
        <w:autoSpaceDN/>
        <w:bidi w:val="0"/>
        <w:spacing w:line="720" w:lineRule="exact"/>
        <w:ind w:firstLine="880" w:firstLineChars="20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云阳县农村集体产权制度改革试点</w:t>
      </w:r>
    </w:p>
    <w:p w14:paraId="7CCCD964">
      <w:pPr>
        <w:keepNext w:val="0"/>
        <w:keepLines w:val="0"/>
        <w:pageBreakBefore w:val="0"/>
        <w:kinsoku/>
        <w:wordWrap/>
        <w:overflowPunct/>
        <w:topLinePunct w:val="0"/>
        <w:autoSpaceDE/>
        <w:autoSpaceDN/>
        <w:bidi w:val="0"/>
        <w:spacing w:line="720" w:lineRule="exact"/>
        <w:ind w:firstLine="880" w:firstLineChars="200"/>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sz w:val="44"/>
          <w:szCs w:val="44"/>
        </w:rPr>
        <w:t>工作方案</w:t>
      </w:r>
    </w:p>
    <w:p w14:paraId="4FD53CB7">
      <w:pPr>
        <w:keepNext w:val="0"/>
        <w:keepLines w:val="0"/>
        <w:pageBreakBefore w:val="0"/>
        <w:kinsoku/>
        <w:wordWrap/>
        <w:overflowPunct/>
        <w:topLinePunct w:val="0"/>
        <w:autoSpaceDE/>
        <w:autoSpaceDN/>
        <w:bidi w:val="0"/>
        <w:spacing w:line="580" w:lineRule="exact"/>
        <w:ind w:firstLine="880" w:firstLineChars="200"/>
        <w:jc w:val="left"/>
        <w:textAlignment w:val="auto"/>
        <w:rPr>
          <w:rFonts w:hint="default" w:ascii="Times New Roman" w:hAnsi="Times New Roman" w:eastAsia="方正小标宋_GBK" w:cs="Times New Roman"/>
          <w:color w:val="000000"/>
          <w:sz w:val="44"/>
          <w:szCs w:val="44"/>
        </w:rPr>
      </w:pPr>
    </w:p>
    <w:p w14:paraId="4F629E9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为全面贯彻习近平新时代中国特色社会主义思想和党的十九大精神</w:t>
      </w:r>
      <w:bookmarkStart w:id="0" w:name="_GoBack"/>
      <w:bookmarkEnd w:id="0"/>
      <w:r>
        <w:rPr>
          <w:rFonts w:hint="default" w:ascii="Times New Roman" w:hAnsi="Times New Roman" w:eastAsia="方正仿宋_GBK" w:cs="Times New Roman"/>
          <w:sz w:val="32"/>
          <w:szCs w:val="32"/>
        </w:rPr>
        <w:t>，落实《中共中央国务院关于稳步推进农村集体产权制度改革的意见》精神，逐步构建归属清晰、权能完整、流转顺畅、保护严格的农村集体产权制度，保护和发展农民作为农村集体经济组织成员的合法权益，按照</w:t>
      </w:r>
      <w:r>
        <w:rPr>
          <w:rFonts w:hint="eastAsia" w:ascii="Times New Roman" w:hAnsi="Times New Roman" w:eastAsia="方正仿宋_GBK" w:cs="Times New Roman"/>
          <w:sz w:val="32"/>
          <w:szCs w:val="32"/>
          <w:lang w:eastAsia="zh-CN"/>
        </w:rPr>
        <w:t>农业农村部</w:t>
      </w:r>
      <w:r>
        <w:rPr>
          <w:rFonts w:hint="default" w:ascii="Times New Roman" w:hAnsi="Times New Roman" w:eastAsia="方正仿宋_GBK" w:cs="Times New Roman"/>
          <w:sz w:val="32"/>
          <w:szCs w:val="32"/>
        </w:rPr>
        <w:t>和重庆市农委关于农村集体产权制度改革试点工作的要求，结合我县实际，制定本工作方案。</w:t>
      </w:r>
    </w:p>
    <w:p w14:paraId="39BAC52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一、总体要求</w:t>
      </w:r>
    </w:p>
    <w:p w14:paraId="2723265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rPr>
        <w:t>（一）指导思想</w:t>
      </w:r>
    </w:p>
    <w:p w14:paraId="626C193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全面贯彻党的十九大精神，以邓小平理论、“三个代表”重要思想、科学发展观、习近平新时代中国特色社会主义思想为指导，紧紧围绕统筹推进“五位一体”总体布局和协调推进“四个全面”战略布局，牢固树立和贯彻落实新发展理念，认真贯彻落实习近平总书记视察重庆重要讲话和参加重庆代表团审议时重要讲话精神，深入落实“两点”定位、“两地”“两高”目标和“四个扎实”要求，围绕明晰农村集体产权归属、维护农村集体经济组织成员权利，重点推进农村社区股份合作制改革，大力发展股份合作等多种形式的合作与联合，稳妥推进农村“资源变资产、资金变股金、农民变股东”的“三变”改革，探索集体经济新的实现形式和运行机制，不断解放和发展农村社会生产力，促进农业发展、农民富裕、农村繁荣，为推进城乡协调发展、巩固党在农村的执政基础提供重要的支撑保障。</w:t>
      </w:r>
    </w:p>
    <w:p w14:paraId="641D86A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rPr>
        <w:t>（二）改革目标</w:t>
      </w:r>
    </w:p>
    <w:p w14:paraId="38497B1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通过全面深化改革，构建归属清晰、权能完整、流转顺畅、保护严格的农村集体产权制度。科学确认农村集体经济组织成员身份，明晰集体所有产权关系，发展新型农村集体经济。管好用好集体资产，建立符合市场经济要求的集体经济运行新机制，促进集体资产保值增值。保护农民的合法权益，形成有效维护农村集体经济组织成员权利的治理体系。</w:t>
      </w:r>
    </w:p>
    <w:p w14:paraId="250F3C8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color w:val="000000"/>
          <w:sz w:val="32"/>
          <w:szCs w:val="32"/>
        </w:rPr>
      </w:pPr>
      <w:r>
        <w:rPr>
          <w:rFonts w:hint="default" w:ascii="Times New Roman" w:hAnsi="Times New Roman" w:eastAsia="方正楷体_GBK" w:cs="Times New Roman"/>
          <w:color w:val="000000"/>
          <w:sz w:val="32"/>
          <w:szCs w:val="32"/>
        </w:rPr>
        <w:t>（三）基本原则</w:t>
      </w:r>
    </w:p>
    <w:p w14:paraId="242148B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把握正确改革方向。明确农村集体经济组织市场主体地位，完善农民对集体资产股份权能，实现好、维护好、发展好广大农民的根本利益，促进集体经济发展和农民持续增收。</w:t>
      </w:r>
    </w:p>
    <w:p w14:paraId="502DE3E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坚守法律政策底线。坚持农民集体所有不动摇、农民权利不受损，不能把集体经济改弱了、改小了、改垮了，不能把农民的财产权利改虚了、改少了、改没了。严格依法依规办事，妥善处理各种利益关系。</w:t>
      </w:r>
    </w:p>
    <w:p w14:paraId="149AD7B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充分尊重农民意愿。坚持群众路线，发挥农民主体作用，支持农民创新创造，把选择权、决策权交给农民，确保农民的知情权、参与权、表达权、监督权，真正让农民成为改革的参与者和受益者。</w:t>
      </w:r>
    </w:p>
    <w:p w14:paraId="4FBCEEC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分类有序推进改革。坚持分类实施、稳慎开展，坚持试点先行、先易后难，坚持问题导向、重点突破，根据集体资产的不同类型和不同地区条件来确定改革任务，明确改革的路径和方式，有力有序推进改革。</w:t>
      </w:r>
    </w:p>
    <w:p w14:paraId="6E898B3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积极鼓励探索创新。从实际出发，积极探索农村集体经济运行新机制、管理监督机制、农村集体经济组织和成员的退出机制等，着力在重点领域和关键环节取得突破。</w:t>
      </w:r>
    </w:p>
    <w:p w14:paraId="71F0701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坚持党的核心领导。坚持农村基层党组织的领导核心地位不动摇，围绕巩固党在农村的执政基础，来谋划和实施农村集体产</w:t>
      </w:r>
      <w:r>
        <w:rPr>
          <w:rFonts w:hint="default" w:ascii="Times New Roman" w:hAnsi="Times New Roman" w:eastAsia="方正仿宋_GBK" w:cs="Times New Roman"/>
          <w:color w:val="000000"/>
          <w:spacing w:val="-6"/>
          <w:sz w:val="32"/>
          <w:szCs w:val="32"/>
        </w:rPr>
        <w:t>权制度改革，确保集体经济组织依法依规运行，逐步实现共同富裕。</w:t>
      </w:r>
    </w:p>
    <w:p w14:paraId="13D3A4B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二、试点范围</w:t>
      </w:r>
    </w:p>
    <w:p w14:paraId="6AE50F0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（一）在全县范围全面开展农村集体资产清产核资工作。</w:t>
      </w:r>
    </w:p>
    <w:p w14:paraId="75FD82E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（二）在2015年、2016年和2017年已实施了农村集体资产量化确权改革试点的314个村进一步开展复核巩固和深化农村集体产权制度改革。</w:t>
      </w:r>
    </w:p>
    <w:p w14:paraId="3CA5FD6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（三）在剩余的133个村继续推进农村集体资产量化确权改革和深化农村集体产权制度改革。</w:t>
      </w:r>
    </w:p>
    <w:p w14:paraId="652C5FE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三、试点内容</w:t>
      </w:r>
    </w:p>
    <w:p w14:paraId="0949B6E6">
      <w:pPr>
        <w:keepNext w:val="0"/>
        <w:keepLines w:val="0"/>
        <w:pageBreakBefore w:val="0"/>
        <w:widowControl w:val="0"/>
        <w:numPr>
          <w:ilvl w:val="0"/>
          <w:numId w:val="1"/>
        </w:numPr>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全面开展农村集体资产清产核资</w:t>
      </w:r>
    </w:p>
    <w:p w14:paraId="74508FA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云阳县农村集体资产清产核资实施方案》的部署和要求，以2014年农村集体资产清产核资成果为基础，对集体所有的各类资产进行全面清产核资，摸清集体家底。重点清查核实未承包到户的资源性资产和集体统一经营的经营性资产以及现金、债权债务等，查实存量、价值和使用情况，做到账证相符和账实相符。对清产核资中发现的账款不符、账实不符、账证不符等问题，要按照《村集体经济组织会计制度》等有关规定及时进行账务调整并健全相关管理制度。在清产核资基础上，将集体资产的所有权确权到不同层级的农村集体经济组织成员集体。政府拨款、减免税费等形成的资产归农村集体经济组织所有。</w:t>
      </w:r>
    </w:p>
    <w:p w14:paraId="48BD8237">
      <w:pPr>
        <w:keepNext w:val="0"/>
        <w:keepLines w:val="0"/>
        <w:pageBreakBefore w:val="0"/>
        <w:widowControl w:val="0"/>
        <w:numPr>
          <w:ilvl w:val="0"/>
          <w:numId w:val="1"/>
        </w:numPr>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确认农村集体经济组织成员身份</w:t>
      </w:r>
    </w:p>
    <w:p w14:paraId="2C7EDBC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依据有关法律法规和《重庆市农村集体经济组织成员身份确认指导意见（试行）》（附件2）的规定，按照尊重历史、兼顾现实、程序规范、群众认可的原则，统筹考虑户籍关系、农村土地承包关系、对集体积累的贡献等因素，协调平衡各方利益，做好农村集体经济组织成员身份确认工作，解决成员边界不清的问题。在改革试点中，要探索在群众民主协商基础上确认农村集体经济组织成员的具体程序、标准和管理办法，建立健全农村集体经济组织成员登记备案机制。提倡农村集体经济组织成员家庭今后的新增人口，通过分享家庭内拥有的集体资产权益的办法，按章程获得集体资产份额和集体成员身份。</w:t>
      </w:r>
    </w:p>
    <w:p w14:paraId="45A68A79">
      <w:pPr>
        <w:keepNext w:val="0"/>
        <w:keepLines w:val="0"/>
        <w:pageBreakBefore w:val="0"/>
        <w:widowControl w:val="0"/>
        <w:numPr>
          <w:ilvl w:val="0"/>
          <w:numId w:val="1"/>
        </w:numPr>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有序推进经营性资产股份合作制改革</w:t>
      </w:r>
    </w:p>
    <w:p w14:paraId="60EF6CFA">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将农村集体经营性资产折股量化到本集体成员，作为其参加集体收益分配的基本依据。非经营性资产和资源性资产是否折股量化应尊重集体经济组织和成员意愿。改革要体现成员集体所有和特有的社区性，只能在农村集体经济组织内部进行。在股权设置方面，应以成员股为主，是否设置集体股由本集体经济组织成员民主讨论决定。在股权管理方面，提倡实行不随人口增减变动而调整的方式。指导农村集体经济组织完善治理机制，制定组织章程，在涉及成员利益的重大事项上实行民主决策，防止少数人操控，也要防止多数人侵犯少数人权益，切实保护妇女合法权益。</w:t>
      </w:r>
    </w:p>
    <w:p w14:paraId="2945DC53">
      <w:pPr>
        <w:keepNext w:val="0"/>
        <w:keepLines w:val="0"/>
        <w:pageBreakBefore w:val="0"/>
        <w:widowControl w:val="0"/>
        <w:numPr>
          <w:ilvl w:val="0"/>
          <w:numId w:val="1"/>
        </w:numPr>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探索赋予农民集体资产股份权能</w:t>
      </w:r>
    </w:p>
    <w:p w14:paraId="419D6CD6">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积极探索赋予农民集体资产股份占有、收益、有偿退出及抵押、担保、继承权能。建立集体资产股权登记制度，向农村集体经济组织成员出具股权证书，把成员对集体资产股份的占有权落实到位。健全集体收益分配制度，把农民集体资产股份收益分配权落到实处。结合实际确定集体资产股份有偿退出的条件和程序，研究制定集体资产股份抵押、担保贷款办法，指导集体经济组织制定农民持有集体资产股份继承的办法。维护进城落户农民土地承包权、宅基地使用权、集体收益分配权，引导进城落户农民依法自愿有偿转让上述权益。</w:t>
      </w:r>
    </w:p>
    <w:p w14:paraId="735F83FD">
      <w:pPr>
        <w:keepNext w:val="0"/>
        <w:keepLines w:val="0"/>
        <w:pageBreakBefore w:val="0"/>
        <w:widowControl w:val="0"/>
        <w:numPr>
          <w:ilvl w:val="0"/>
          <w:numId w:val="1"/>
        </w:numPr>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发挥农村集体经济组织功能作用</w:t>
      </w:r>
    </w:p>
    <w:p w14:paraId="319E5E67">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农业农村部的统一规范和市农委要求，指导符合条件的试点村建立健全农村集体经济组织。由县农委负责向农村集体经济组织发放组织登记证书，集体经济组织可据此向有关部门办理银行开户等相关手续。改革后各试点村农村集体经济组织要完善法人治理机制，制定组织章程。依法维护农村集体经济组织及成员的权益，保证集体经济组织平等使用要素，公平参与市场竞争，同等受到法律保护。探索明晰试点村农村集体经济组织与村民委员会的职能关系，有需要且条件许可的试点村可以实行村民委员会和集体经济事务分离。</w:t>
      </w:r>
    </w:p>
    <w:p w14:paraId="58BF5601">
      <w:pPr>
        <w:keepNext w:val="0"/>
        <w:keepLines w:val="0"/>
        <w:pageBreakBefore w:val="0"/>
        <w:widowControl w:val="0"/>
        <w:numPr>
          <w:ilvl w:val="0"/>
          <w:numId w:val="1"/>
        </w:numPr>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多种形式发展农村集体经济</w:t>
      </w:r>
    </w:p>
    <w:p w14:paraId="60E4206B">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坚持分类指导、精准施策，引导各地面向市场，选准产业、项目和载体，以抓好资源开发利用、搞活集体资产经营、发展物业租赁经济、积极参与项目投资经营、领办专业合作经济组织等多种形式，探索符合各自村情的集体经济发展途径。力争2018年底，全县新增有集体经营性收入的村200个，集体经营性收入达到5万元以上的村100个。2019年底，所有村集体都要有持续经营性收入，村集体年经营性收入5万元以上的村达到50%。2020年底，所有村集体持续年经营性收入至少达到2万元以上，初步建立村级集体经济收入稳定增长机制，村级组织服务能力显著提高，培育一批村级集体经济强村。</w:t>
      </w:r>
    </w:p>
    <w:p w14:paraId="076952D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四、工作步骤及时间安排</w:t>
      </w:r>
    </w:p>
    <w:p w14:paraId="763362E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（一）编制和完善工作方案阶段（2018年8月—9月）</w:t>
      </w:r>
    </w:p>
    <w:p w14:paraId="19ACCC4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制定全县试点工作方案，各乡镇（街道）编制实施方案，并进一步细化各项试点任务工作，明确各项试点工作内容及责任、工作措施等。</w:t>
      </w:r>
    </w:p>
    <w:p w14:paraId="6F6C5D6E">
      <w:pPr>
        <w:keepNext w:val="0"/>
        <w:keepLines w:val="0"/>
        <w:pageBreakBefore w:val="0"/>
        <w:widowControl w:val="0"/>
        <w:numPr>
          <w:ilvl w:val="0"/>
          <w:numId w:val="2"/>
        </w:numPr>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组织实施阶段（2018年10月—11月）</w:t>
      </w:r>
    </w:p>
    <w:p w14:paraId="712A8AF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乡镇（街道）采取得力措施抓好试点工作落实，重点做好清产核资、资产界定、价值认定、成员界定、量化确股、完善法人治理、规范收益分配、健全管理制度、发展集体经济等工作内容，并于每月25日前按照报送《农村集体产权制度改革工作进展情况月报表》（附件1）。县级相关部门要精心指导、大力扶持、严格督查，确保目标任务的完成。</w:t>
      </w:r>
    </w:p>
    <w:p w14:paraId="653C2800">
      <w:pPr>
        <w:keepNext w:val="0"/>
        <w:keepLines w:val="0"/>
        <w:pageBreakBefore w:val="0"/>
        <w:widowControl w:val="0"/>
        <w:numPr>
          <w:ilvl w:val="0"/>
          <w:numId w:val="2"/>
        </w:numPr>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考核验收阶段（2018年12月底）</w:t>
      </w:r>
    </w:p>
    <w:p w14:paraId="514AAB1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县人民政府办公室组织相关单位对各乡镇（街道）试点工作完成情况进行验收和考评。</w:t>
      </w:r>
    </w:p>
    <w:p w14:paraId="67B4C0FA">
      <w:pPr>
        <w:keepNext w:val="0"/>
        <w:keepLines w:val="0"/>
        <w:pageBreakBefore w:val="0"/>
        <w:widowControl w:val="0"/>
        <w:numPr>
          <w:ilvl w:val="0"/>
          <w:numId w:val="2"/>
        </w:numPr>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总结推广阶段（2019年1月—2月）</w:t>
      </w:r>
    </w:p>
    <w:p w14:paraId="2B62175A">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总结经验，评估成效，研究解决出现的新问题、新困难，做好深入推进的相关工作，并报送试点总结报告。</w:t>
      </w:r>
    </w:p>
    <w:p w14:paraId="15B45E0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五、组织保障</w:t>
      </w:r>
    </w:p>
    <w:p w14:paraId="329B1E6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（一）加强组织领导</w:t>
      </w:r>
    </w:p>
    <w:p w14:paraId="739EF16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县里成立由县政府分管领导任组长的县级有关部门负责人为领导小组成员的县农村集体产权制度改革工作领导小组（以下简称“领导小组”），负责协调处理有关重大问题。领导小组下设办公室，办公室设在县农委，负责农村集体产权制度改革工作日常事务。各乡镇（街道）成立农村集体产权制度改革工作小组。乡镇（街道）主要负责人为本乡镇（街道）农村集体产权制度改革工作第一责任人。各乡镇（街道）成立由分管负责人任组长，相关单位为成员的乡镇（街道）农村集体产权制度改革工作小组，负责本乡镇（街道）农村集体产权制度改革的指导督促工作。</w:t>
      </w:r>
    </w:p>
    <w:p w14:paraId="10E27B6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（二）明确工作责任</w:t>
      </w:r>
    </w:p>
    <w:p w14:paraId="1E7F46B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县级相关部门和有关单位要各司其职，形成工作合力。农委做好日常协调和指导服务。发改委负责重点研究处理好农村集体产权制度改革与农民工户籍制度改革等政策的衔接，努力推动各项改革协同推进。国土房管局负责做好农村集体经济组织土地和农村房屋权属确认、地类界定、用地性质转换管理、土地和农村房屋权属矛盾纠纷处理、农村集体经营性建设用地流转交易平台建设等工作。教育、交通、民政、水务、文化、卫计、移民、林业等部门要按照各自职责，做好属农村集体经济组织所有的教育设施、农村公路、农村养老设施、水利设施、文化设施、村卫生室、集体林地、乡村企业等资产清理和权属界定工作，妥善处理矛盾纠纷。财政部门负责农村集体产权制度改革工作的经费支持，加强对农村集体资产和财务管理的指导和监督。税务部门负责研究制定农村集体产权制度改革相关税收优惠政策。司法部门要充分发挥人民调解组织的作用，及时化解矛盾纠纷，提供有效的司法支持。信访稳定部门负责信访稳定责任制的落实，妥善处理群众来信来访。各乡镇（街道）要建立相应的分工责任制，分解落实农村集体产权制度改革工作任务，并组织力量，深入村社进行面对面的具体指导。</w:t>
      </w:r>
    </w:p>
    <w:p w14:paraId="4A3BD06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（三）加强宣传发动</w:t>
      </w:r>
    </w:p>
    <w:p w14:paraId="28A9383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地要通过电视、互联网、广播、报刊、宣传栏等媒体平台，用群众听得明白的语言、看得清楚的典型，解读好政策精神和工作要求，动员发动广大农民群众理解、支持和参与农村集体产权制度改革工作。要深入村、社，做好政策宣传和业务培训，编写通俗易懂的宣传册、明白纸等，将农村集体产权制度改革试点的有关政策、路径、程序、重点等，培训到每一位工作人员，普及到广大农民群众；要善于总结，发现并提炼一批具有典型性、示范性、可操作性的案例和做法；及时报送改革试点工作进展情况。</w:t>
      </w:r>
    </w:p>
    <w:p w14:paraId="38EC2A0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（四）强化督查指导</w:t>
      </w:r>
    </w:p>
    <w:p w14:paraId="775B36AF">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县里成立县农村集体产权制度改革工作专项督查小组，进行定期或不定期督促检查，适时通报情况，及时发现和解决工作中出现的新情况、新问题。将农村集体产权制度改革工作纳入深化农村改革工作的考核内容。各乡镇（街道）要组织力量对农村集体产权制度改革中存在的和可能出现的突出矛盾进行认真摸底排查和开展预案研究，力争把矛盾解决在萌芽状态，确保农村稳定。对作风不实、措施不当、违背政策、信访稳定责任制落实不力，导致农民群众集体上访、到市进京非访或发生群体性事件、其他恶性事件的，要严肃追究有关人员的责任。</w:t>
      </w:r>
    </w:p>
    <w:p w14:paraId="522271F1">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方正仿宋_GBK" w:cs="Times New Roman"/>
          <w:sz w:val="32"/>
          <w:szCs w:val="32"/>
        </w:rPr>
      </w:pPr>
    </w:p>
    <w:p w14:paraId="5A3A4E0E">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附件：1．农村集体产权制度改革工作进展情况月报表</w:t>
      </w:r>
    </w:p>
    <w:p w14:paraId="4F5D405F">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2．重庆市农村集体经济组织成员身份确认指导意见</w:t>
      </w:r>
    </w:p>
    <w:p w14:paraId="47E16643">
      <w:pPr>
        <w:keepNext w:val="0"/>
        <w:keepLines w:val="0"/>
        <w:pageBreakBefore w:val="0"/>
        <w:widowControl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 xml:space="preserve">        （试行）</w:t>
      </w:r>
    </w:p>
    <w:p w14:paraId="44EA469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textAlignment w:val="auto"/>
        <w:rPr>
          <w:rFonts w:hint="default" w:ascii="Times New Roman" w:hAnsi="Times New Roman" w:cs="Times New Roman"/>
          <w:lang w:val="en-US" w:eastAsia="zh-CN"/>
        </w:rPr>
      </w:pPr>
    </w:p>
    <w:p w14:paraId="072C9D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textAlignment w:val="auto"/>
        <w:rPr>
          <w:rFonts w:hint="default" w:ascii="Times New Roman" w:hAnsi="Times New Roman" w:cs="Times New Roman"/>
          <w:lang w:val="en-US" w:eastAsia="zh-CN"/>
        </w:rPr>
      </w:pPr>
    </w:p>
    <w:p w14:paraId="5CECB07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textAlignment w:val="auto"/>
        <w:rPr>
          <w:rFonts w:hint="default" w:ascii="Times New Roman" w:hAnsi="Times New Roman" w:cs="Times New Roman"/>
          <w:lang w:val="en-US" w:eastAsia="zh-CN"/>
        </w:rPr>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tbl>
      <w:tblPr>
        <w:tblStyle w:val="7"/>
        <w:tblW w:w="14387" w:type="dxa"/>
        <w:tblInd w:w="-106" w:type="dxa"/>
        <w:tblLayout w:type="fixed"/>
        <w:tblCellMar>
          <w:top w:w="0" w:type="dxa"/>
          <w:left w:w="108" w:type="dxa"/>
          <w:bottom w:w="0" w:type="dxa"/>
          <w:right w:w="108" w:type="dxa"/>
        </w:tblCellMar>
      </w:tblPr>
      <w:tblGrid>
        <w:gridCol w:w="1194"/>
        <w:gridCol w:w="1195"/>
        <w:gridCol w:w="1194"/>
        <w:gridCol w:w="1195"/>
        <w:gridCol w:w="1194"/>
        <w:gridCol w:w="1194"/>
        <w:gridCol w:w="1194"/>
        <w:gridCol w:w="1245"/>
        <w:gridCol w:w="1194"/>
        <w:gridCol w:w="1195"/>
        <w:gridCol w:w="1194"/>
        <w:gridCol w:w="1199"/>
      </w:tblGrid>
      <w:tr w14:paraId="4E4B8539">
        <w:trPr>
          <w:trHeight w:val="418" w:hRule="atLeast"/>
        </w:trPr>
        <w:tc>
          <w:tcPr>
            <w:tcW w:w="14387" w:type="dxa"/>
            <w:gridSpan w:val="12"/>
            <w:tcBorders>
              <w:top w:val="nil"/>
              <w:left w:val="nil"/>
              <w:bottom w:val="nil"/>
              <w:right w:val="nil"/>
            </w:tcBorders>
            <w:noWrap w:val="0"/>
            <w:vAlign w:val="center"/>
          </w:tcPr>
          <w:p w14:paraId="3424A089">
            <w:pPr>
              <w:spacing w:line="578" w:lineRule="exac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kern w:val="0"/>
                <w:sz w:val="32"/>
                <w:szCs w:val="32"/>
              </w:rPr>
              <w:t>附件1</w:t>
            </w:r>
          </w:p>
        </w:tc>
      </w:tr>
      <w:tr w14:paraId="30F93E10">
        <w:tblPrEx>
          <w:tblCellMar>
            <w:top w:w="0" w:type="dxa"/>
            <w:left w:w="108" w:type="dxa"/>
            <w:bottom w:w="0" w:type="dxa"/>
            <w:right w:w="108" w:type="dxa"/>
          </w:tblCellMar>
        </w:tblPrEx>
        <w:trPr>
          <w:trHeight w:val="568" w:hRule="atLeast"/>
        </w:trPr>
        <w:tc>
          <w:tcPr>
            <w:tcW w:w="14387" w:type="dxa"/>
            <w:gridSpan w:val="12"/>
            <w:tcBorders>
              <w:top w:val="nil"/>
              <w:left w:val="nil"/>
              <w:bottom w:val="nil"/>
              <w:right w:val="nil"/>
            </w:tcBorders>
            <w:noWrap w:val="0"/>
            <w:vAlign w:val="center"/>
          </w:tcPr>
          <w:p w14:paraId="6EF61D35">
            <w:pPr>
              <w:widowControl/>
              <w:spacing w:line="600" w:lineRule="exact"/>
              <w:jc w:val="center"/>
              <w:rPr>
                <w:rFonts w:hint="default" w:ascii="Times New Roman" w:hAnsi="Times New Roman" w:eastAsia="方正小标宋_GBK" w:cs="Times New Roman"/>
                <w:color w:val="000000"/>
                <w:kern w:val="0"/>
                <w:sz w:val="44"/>
                <w:szCs w:val="44"/>
              </w:rPr>
            </w:pPr>
            <w:r>
              <w:rPr>
                <w:rFonts w:hint="default" w:ascii="Times New Roman" w:hAnsi="Times New Roman" w:eastAsia="方正小标宋_GBK" w:cs="Times New Roman"/>
                <w:color w:val="000000"/>
                <w:kern w:val="0"/>
                <w:sz w:val="44"/>
                <w:szCs w:val="44"/>
              </w:rPr>
              <w:t>农村集体产权制度改革工作进展情况月报表</w:t>
            </w:r>
          </w:p>
        </w:tc>
      </w:tr>
      <w:tr w14:paraId="4615B487">
        <w:tblPrEx>
          <w:tblCellMar>
            <w:top w:w="0" w:type="dxa"/>
            <w:left w:w="108" w:type="dxa"/>
            <w:bottom w:w="0" w:type="dxa"/>
            <w:right w:w="108" w:type="dxa"/>
          </w:tblCellMar>
        </w:tblPrEx>
        <w:trPr>
          <w:trHeight w:val="299" w:hRule="atLeast"/>
        </w:trPr>
        <w:tc>
          <w:tcPr>
            <w:tcW w:w="2389" w:type="dxa"/>
            <w:gridSpan w:val="2"/>
            <w:tcBorders>
              <w:top w:val="nil"/>
              <w:left w:val="nil"/>
              <w:bottom w:val="single" w:color="auto" w:sz="8" w:space="0"/>
              <w:right w:val="nil"/>
            </w:tcBorders>
            <w:noWrap w:val="0"/>
            <w:vAlign w:val="center"/>
          </w:tcPr>
          <w:p w14:paraId="6E19768F">
            <w:pPr>
              <w:widowControl/>
              <w:spacing w:line="500" w:lineRule="exact"/>
              <w:jc w:val="left"/>
              <w:rPr>
                <w:rFonts w:hint="default" w:ascii="Times New Roman" w:hAnsi="Times New Roman" w:cs="Times New Roman"/>
                <w:color w:val="000000"/>
                <w:kern w:val="0"/>
                <w:sz w:val="24"/>
              </w:rPr>
            </w:pPr>
            <w:r>
              <w:rPr>
                <w:rFonts w:hint="default" w:ascii="Times New Roman" w:hAnsi="Times New Roman" w:eastAsia="方正仿宋_GBK" w:cs="Times New Roman"/>
                <w:sz w:val="24"/>
              </w:rPr>
              <w:t>乡镇（街道）：</w:t>
            </w:r>
          </w:p>
        </w:tc>
        <w:tc>
          <w:tcPr>
            <w:tcW w:w="3583" w:type="dxa"/>
            <w:gridSpan w:val="3"/>
            <w:tcBorders>
              <w:top w:val="nil"/>
              <w:left w:val="nil"/>
              <w:bottom w:val="single" w:color="auto" w:sz="8" w:space="0"/>
              <w:right w:val="nil"/>
            </w:tcBorders>
            <w:noWrap w:val="0"/>
            <w:vAlign w:val="center"/>
          </w:tcPr>
          <w:p w14:paraId="32FC9CE0">
            <w:pPr>
              <w:widowControl/>
              <w:spacing w:line="50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　</w:t>
            </w:r>
          </w:p>
        </w:tc>
        <w:tc>
          <w:tcPr>
            <w:tcW w:w="3633" w:type="dxa"/>
            <w:gridSpan w:val="3"/>
            <w:tcBorders>
              <w:top w:val="nil"/>
              <w:left w:val="nil"/>
              <w:bottom w:val="single" w:color="auto" w:sz="8" w:space="0"/>
              <w:right w:val="nil"/>
            </w:tcBorders>
            <w:noWrap w:val="0"/>
            <w:vAlign w:val="center"/>
          </w:tcPr>
          <w:p w14:paraId="100F9684">
            <w:pPr>
              <w:widowControl/>
              <w:spacing w:line="500" w:lineRule="exact"/>
              <w:jc w:val="center"/>
              <w:rPr>
                <w:rFonts w:hint="default" w:ascii="Times New Roman" w:hAnsi="Times New Roman" w:cs="Times New Roman"/>
                <w:color w:val="000000"/>
                <w:kern w:val="0"/>
                <w:sz w:val="24"/>
              </w:rPr>
            </w:pPr>
            <w:r>
              <w:rPr>
                <w:rFonts w:hint="default" w:ascii="Times New Roman" w:hAnsi="Times New Roman" w:eastAsia="方正仿宋_GBK" w:cs="Times New Roman"/>
                <w:sz w:val="24"/>
              </w:rPr>
              <w:t>截止时间：</w:t>
            </w:r>
          </w:p>
        </w:tc>
        <w:tc>
          <w:tcPr>
            <w:tcW w:w="2389" w:type="dxa"/>
            <w:gridSpan w:val="2"/>
            <w:tcBorders>
              <w:top w:val="nil"/>
              <w:left w:val="nil"/>
              <w:bottom w:val="single" w:color="auto" w:sz="8" w:space="0"/>
              <w:right w:val="nil"/>
            </w:tcBorders>
            <w:noWrap w:val="0"/>
            <w:vAlign w:val="center"/>
          </w:tcPr>
          <w:p w14:paraId="2CF6E474">
            <w:pPr>
              <w:widowControl/>
              <w:spacing w:line="50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　</w:t>
            </w:r>
          </w:p>
        </w:tc>
        <w:tc>
          <w:tcPr>
            <w:tcW w:w="1194" w:type="dxa"/>
            <w:tcBorders>
              <w:top w:val="nil"/>
              <w:left w:val="nil"/>
              <w:bottom w:val="nil"/>
              <w:right w:val="nil"/>
            </w:tcBorders>
            <w:noWrap w:val="0"/>
            <w:vAlign w:val="center"/>
          </w:tcPr>
          <w:p w14:paraId="75F6E0DD">
            <w:pPr>
              <w:widowControl/>
              <w:jc w:val="left"/>
              <w:rPr>
                <w:rFonts w:hint="default" w:ascii="Times New Roman" w:hAnsi="Times New Roman" w:cs="Times New Roman"/>
                <w:color w:val="000000"/>
                <w:kern w:val="0"/>
                <w:sz w:val="24"/>
              </w:rPr>
            </w:pPr>
          </w:p>
        </w:tc>
        <w:tc>
          <w:tcPr>
            <w:tcW w:w="1199" w:type="dxa"/>
            <w:tcBorders>
              <w:top w:val="nil"/>
              <w:left w:val="nil"/>
              <w:bottom w:val="nil"/>
              <w:right w:val="nil"/>
            </w:tcBorders>
            <w:noWrap w:val="0"/>
            <w:vAlign w:val="center"/>
          </w:tcPr>
          <w:p w14:paraId="7EA3C4FF">
            <w:pPr>
              <w:widowControl/>
              <w:jc w:val="left"/>
              <w:rPr>
                <w:rFonts w:hint="default" w:ascii="Times New Roman" w:hAnsi="Times New Roman" w:cs="Times New Roman"/>
                <w:color w:val="000000"/>
                <w:kern w:val="0"/>
                <w:sz w:val="24"/>
              </w:rPr>
            </w:pPr>
          </w:p>
        </w:tc>
      </w:tr>
      <w:tr w14:paraId="614D568F">
        <w:tblPrEx>
          <w:tblCellMar>
            <w:top w:w="0" w:type="dxa"/>
            <w:left w:w="108" w:type="dxa"/>
            <w:bottom w:w="0" w:type="dxa"/>
            <w:right w:w="108" w:type="dxa"/>
          </w:tblCellMar>
        </w:tblPrEx>
        <w:trPr>
          <w:trHeight w:val="299" w:hRule="atLeast"/>
        </w:trPr>
        <w:tc>
          <w:tcPr>
            <w:tcW w:w="14387" w:type="dxa"/>
            <w:gridSpan w:val="12"/>
            <w:tcBorders>
              <w:top w:val="single" w:color="auto" w:sz="8" w:space="0"/>
              <w:left w:val="single" w:color="auto" w:sz="8" w:space="0"/>
              <w:bottom w:val="single" w:color="auto" w:sz="8" w:space="0"/>
              <w:right w:val="single" w:color="auto" w:sz="8" w:space="0"/>
            </w:tcBorders>
            <w:noWrap w:val="0"/>
            <w:vAlign w:val="center"/>
          </w:tcPr>
          <w:p w14:paraId="0414E3BF">
            <w:pPr>
              <w:widowControl/>
              <w:spacing w:line="240" w:lineRule="exact"/>
              <w:jc w:val="center"/>
              <w:rPr>
                <w:rFonts w:hint="default" w:ascii="Times New Roman" w:hAnsi="Times New Roman" w:cs="Times New Roman"/>
                <w:color w:val="000000"/>
                <w:kern w:val="0"/>
                <w:sz w:val="20"/>
                <w:szCs w:val="20"/>
              </w:rPr>
            </w:pPr>
            <w:r>
              <w:rPr>
                <w:rFonts w:hint="default" w:ascii="Times New Roman" w:hAnsi="Times New Roman" w:eastAsia="方正仿宋_GBK" w:cs="Times New Roman"/>
                <w:bCs/>
                <w:color w:val="000000"/>
                <w:kern w:val="0"/>
                <w:sz w:val="24"/>
              </w:rPr>
              <w:t>工作准备情况</w:t>
            </w:r>
          </w:p>
        </w:tc>
      </w:tr>
      <w:tr w14:paraId="5E169003">
        <w:tblPrEx>
          <w:tblCellMar>
            <w:top w:w="0" w:type="dxa"/>
            <w:left w:w="108" w:type="dxa"/>
            <w:bottom w:w="0" w:type="dxa"/>
            <w:right w:w="108" w:type="dxa"/>
          </w:tblCellMar>
        </w:tblPrEx>
        <w:trPr>
          <w:trHeight w:val="971" w:hRule="atLeast"/>
        </w:trPr>
        <w:tc>
          <w:tcPr>
            <w:tcW w:w="1194" w:type="dxa"/>
            <w:tcBorders>
              <w:top w:val="nil"/>
              <w:left w:val="single" w:color="auto" w:sz="8" w:space="0"/>
              <w:bottom w:val="single" w:color="auto" w:sz="8" w:space="0"/>
              <w:right w:val="single" w:color="auto" w:sz="8" w:space="0"/>
            </w:tcBorders>
            <w:noWrap w:val="0"/>
            <w:vAlign w:val="center"/>
          </w:tcPr>
          <w:p w14:paraId="17F2B07F">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乡镇（街道）建立工作机构（个）</w:t>
            </w:r>
          </w:p>
        </w:tc>
        <w:tc>
          <w:tcPr>
            <w:tcW w:w="1195" w:type="dxa"/>
            <w:tcBorders>
              <w:top w:val="nil"/>
              <w:left w:val="nil"/>
              <w:bottom w:val="single" w:color="auto" w:sz="8" w:space="0"/>
              <w:right w:val="single" w:color="auto" w:sz="8" w:space="0"/>
            </w:tcBorders>
            <w:noWrap w:val="0"/>
            <w:vAlign w:val="center"/>
          </w:tcPr>
          <w:p w14:paraId="1D01CE35">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落实工作人员（人）</w:t>
            </w:r>
          </w:p>
        </w:tc>
        <w:tc>
          <w:tcPr>
            <w:tcW w:w="2389" w:type="dxa"/>
            <w:gridSpan w:val="2"/>
            <w:tcBorders>
              <w:top w:val="nil"/>
              <w:left w:val="nil"/>
              <w:bottom w:val="single" w:color="auto" w:sz="8" w:space="0"/>
              <w:right w:val="single" w:color="auto" w:sz="8" w:space="0"/>
            </w:tcBorders>
            <w:noWrap w:val="0"/>
            <w:vAlign w:val="center"/>
          </w:tcPr>
          <w:p w14:paraId="369D6373">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改革方案完成情况</w:t>
            </w:r>
          </w:p>
          <w:p w14:paraId="4D2E4A2C">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（是/否）</w:t>
            </w:r>
          </w:p>
        </w:tc>
        <w:tc>
          <w:tcPr>
            <w:tcW w:w="1194" w:type="dxa"/>
            <w:tcBorders>
              <w:top w:val="nil"/>
              <w:left w:val="nil"/>
              <w:bottom w:val="single" w:color="auto" w:sz="8" w:space="0"/>
              <w:right w:val="single" w:color="auto" w:sz="8" w:space="0"/>
            </w:tcBorders>
            <w:noWrap w:val="0"/>
            <w:vAlign w:val="center"/>
          </w:tcPr>
          <w:p w14:paraId="7762DA40">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村级试点单位（个）</w:t>
            </w:r>
          </w:p>
        </w:tc>
        <w:tc>
          <w:tcPr>
            <w:tcW w:w="1194" w:type="dxa"/>
            <w:tcBorders>
              <w:top w:val="nil"/>
              <w:left w:val="nil"/>
              <w:bottom w:val="single" w:color="auto" w:sz="8" w:space="0"/>
              <w:right w:val="single" w:color="auto" w:sz="8" w:space="0"/>
            </w:tcBorders>
            <w:noWrap w:val="0"/>
            <w:vAlign w:val="center"/>
          </w:tcPr>
          <w:p w14:paraId="77738CA4">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涉及组数（个）</w:t>
            </w:r>
          </w:p>
        </w:tc>
        <w:tc>
          <w:tcPr>
            <w:tcW w:w="1194" w:type="dxa"/>
            <w:tcBorders>
              <w:top w:val="nil"/>
              <w:left w:val="nil"/>
              <w:bottom w:val="nil"/>
              <w:right w:val="single" w:color="auto" w:sz="8" w:space="0"/>
            </w:tcBorders>
            <w:noWrap w:val="0"/>
            <w:vAlign w:val="center"/>
          </w:tcPr>
          <w:p w14:paraId="78F48FCE">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现有户数（户）</w:t>
            </w:r>
          </w:p>
        </w:tc>
        <w:tc>
          <w:tcPr>
            <w:tcW w:w="1245" w:type="dxa"/>
            <w:tcBorders>
              <w:top w:val="nil"/>
              <w:left w:val="nil"/>
              <w:bottom w:val="single" w:color="auto" w:sz="8" w:space="0"/>
              <w:right w:val="single" w:color="auto" w:sz="8" w:space="0"/>
            </w:tcBorders>
            <w:noWrap w:val="0"/>
            <w:vAlign w:val="center"/>
          </w:tcPr>
          <w:p w14:paraId="1282BFCF">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现有人数（人）</w:t>
            </w:r>
          </w:p>
        </w:tc>
        <w:tc>
          <w:tcPr>
            <w:tcW w:w="1194" w:type="dxa"/>
            <w:tcBorders>
              <w:top w:val="nil"/>
              <w:left w:val="nil"/>
              <w:bottom w:val="single" w:color="auto" w:sz="8" w:space="0"/>
              <w:right w:val="single" w:color="auto" w:sz="8" w:space="0"/>
            </w:tcBorders>
            <w:noWrap w:val="0"/>
            <w:vAlign w:val="center"/>
          </w:tcPr>
          <w:p w14:paraId="68D12F5F">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召开工作会议（次）</w:t>
            </w:r>
          </w:p>
        </w:tc>
        <w:tc>
          <w:tcPr>
            <w:tcW w:w="1195" w:type="dxa"/>
            <w:tcBorders>
              <w:top w:val="nil"/>
              <w:left w:val="nil"/>
              <w:bottom w:val="single" w:color="auto" w:sz="8" w:space="0"/>
              <w:right w:val="single" w:color="auto" w:sz="8" w:space="0"/>
            </w:tcBorders>
            <w:noWrap w:val="0"/>
            <w:vAlign w:val="center"/>
          </w:tcPr>
          <w:p w14:paraId="7575F59A">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 xml:space="preserve">培训工作人员 </w:t>
            </w:r>
          </w:p>
          <w:p w14:paraId="64FCDB21">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（人次）</w:t>
            </w:r>
          </w:p>
        </w:tc>
        <w:tc>
          <w:tcPr>
            <w:tcW w:w="1194" w:type="dxa"/>
            <w:tcBorders>
              <w:top w:val="nil"/>
              <w:left w:val="nil"/>
              <w:bottom w:val="single" w:color="auto" w:sz="8" w:space="0"/>
              <w:right w:val="single" w:color="auto" w:sz="8" w:space="0"/>
            </w:tcBorders>
            <w:noWrap w:val="0"/>
            <w:vAlign w:val="center"/>
          </w:tcPr>
          <w:p w14:paraId="0D99C5C7">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张贴标语（幅）</w:t>
            </w:r>
          </w:p>
        </w:tc>
        <w:tc>
          <w:tcPr>
            <w:tcW w:w="1199" w:type="dxa"/>
            <w:tcBorders>
              <w:top w:val="nil"/>
              <w:left w:val="nil"/>
              <w:bottom w:val="single" w:color="auto" w:sz="8" w:space="0"/>
              <w:right w:val="single" w:color="auto" w:sz="8" w:space="0"/>
            </w:tcBorders>
            <w:noWrap w:val="0"/>
            <w:vAlign w:val="center"/>
          </w:tcPr>
          <w:p w14:paraId="06B7417C">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已经启动改革村数（个）</w:t>
            </w:r>
          </w:p>
        </w:tc>
      </w:tr>
      <w:tr w14:paraId="3B02D7F4">
        <w:tblPrEx>
          <w:tblCellMar>
            <w:top w:w="0" w:type="dxa"/>
            <w:left w:w="108" w:type="dxa"/>
            <w:bottom w:w="0" w:type="dxa"/>
            <w:right w:w="108" w:type="dxa"/>
          </w:tblCellMar>
        </w:tblPrEx>
        <w:trPr>
          <w:trHeight w:val="299" w:hRule="atLeast"/>
        </w:trPr>
        <w:tc>
          <w:tcPr>
            <w:tcW w:w="1194" w:type="dxa"/>
            <w:tcBorders>
              <w:top w:val="nil"/>
              <w:left w:val="single" w:color="auto" w:sz="8" w:space="0"/>
              <w:bottom w:val="single" w:color="auto" w:sz="8" w:space="0"/>
              <w:right w:val="single" w:color="auto" w:sz="8" w:space="0"/>
            </w:tcBorders>
            <w:noWrap w:val="0"/>
            <w:vAlign w:val="center"/>
          </w:tcPr>
          <w:p w14:paraId="3ED91E44">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195" w:type="dxa"/>
            <w:tcBorders>
              <w:top w:val="nil"/>
              <w:left w:val="nil"/>
              <w:bottom w:val="single" w:color="auto" w:sz="8" w:space="0"/>
              <w:right w:val="single" w:color="auto" w:sz="8" w:space="0"/>
            </w:tcBorders>
            <w:noWrap w:val="0"/>
            <w:vAlign w:val="center"/>
          </w:tcPr>
          <w:p w14:paraId="2B208873">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2389" w:type="dxa"/>
            <w:gridSpan w:val="2"/>
            <w:tcBorders>
              <w:top w:val="nil"/>
              <w:left w:val="nil"/>
              <w:bottom w:val="single" w:color="auto" w:sz="8" w:space="0"/>
              <w:right w:val="single" w:color="auto" w:sz="8" w:space="0"/>
            </w:tcBorders>
            <w:noWrap w:val="0"/>
            <w:vAlign w:val="center"/>
          </w:tcPr>
          <w:p w14:paraId="1464A16D">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p w14:paraId="288E8BC2">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3A533699">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7808E844">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194" w:type="dxa"/>
            <w:tcBorders>
              <w:top w:val="single" w:color="auto" w:sz="8" w:space="0"/>
              <w:left w:val="nil"/>
              <w:bottom w:val="single" w:color="auto" w:sz="8" w:space="0"/>
              <w:right w:val="single" w:color="auto" w:sz="8" w:space="0"/>
            </w:tcBorders>
            <w:noWrap w:val="0"/>
            <w:vAlign w:val="center"/>
          </w:tcPr>
          <w:p w14:paraId="01F3FAE8">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245" w:type="dxa"/>
            <w:tcBorders>
              <w:top w:val="nil"/>
              <w:left w:val="nil"/>
              <w:bottom w:val="single" w:color="auto" w:sz="8" w:space="0"/>
              <w:right w:val="single" w:color="auto" w:sz="8" w:space="0"/>
            </w:tcBorders>
            <w:noWrap w:val="0"/>
            <w:vAlign w:val="center"/>
          </w:tcPr>
          <w:p w14:paraId="0B3B0D0B">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3C5946E6">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195" w:type="dxa"/>
            <w:tcBorders>
              <w:top w:val="nil"/>
              <w:left w:val="nil"/>
              <w:bottom w:val="single" w:color="auto" w:sz="8" w:space="0"/>
              <w:right w:val="single" w:color="auto" w:sz="8" w:space="0"/>
            </w:tcBorders>
            <w:noWrap w:val="0"/>
            <w:vAlign w:val="center"/>
          </w:tcPr>
          <w:p w14:paraId="572622EC">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61DFB15A">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199" w:type="dxa"/>
            <w:tcBorders>
              <w:top w:val="nil"/>
              <w:left w:val="nil"/>
              <w:bottom w:val="single" w:color="auto" w:sz="8" w:space="0"/>
              <w:right w:val="single" w:color="auto" w:sz="8" w:space="0"/>
            </w:tcBorders>
            <w:noWrap w:val="0"/>
            <w:vAlign w:val="center"/>
          </w:tcPr>
          <w:p w14:paraId="6DB76884">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r>
      <w:tr w14:paraId="50226702">
        <w:tblPrEx>
          <w:tblCellMar>
            <w:top w:w="0" w:type="dxa"/>
            <w:left w:w="108" w:type="dxa"/>
            <w:bottom w:w="0" w:type="dxa"/>
            <w:right w:w="108" w:type="dxa"/>
          </w:tblCellMar>
        </w:tblPrEx>
        <w:trPr>
          <w:trHeight w:val="299" w:hRule="atLeast"/>
        </w:trPr>
        <w:tc>
          <w:tcPr>
            <w:tcW w:w="2389" w:type="dxa"/>
            <w:gridSpan w:val="2"/>
            <w:tcBorders>
              <w:top w:val="single" w:color="auto" w:sz="8" w:space="0"/>
              <w:left w:val="single" w:color="auto" w:sz="8" w:space="0"/>
              <w:bottom w:val="single" w:color="auto" w:sz="8" w:space="0"/>
              <w:right w:val="single" w:color="000000" w:sz="8" w:space="0"/>
            </w:tcBorders>
            <w:noWrap w:val="0"/>
            <w:vAlign w:val="center"/>
          </w:tcPr>
          <w:p w14:paraId="11D514C1">
            <w:pPr>
              <w:widowControl/>
              <w:spacing w:line="240" w:lineRule="exact"/>
              <w:jc w:val="center"/>
              <w:rPr>
                <w:rFonts w:hint="default" w:ascii="Times New Roman" w:hAnsi="Times New Roman" w:cs="Times New Roman"/>
                <w:bCs/>
                <w:color w:val="000000"/>
                <w:kern w:val="0"/>
                <w:sz w:val="24"/>
              </w:rPr>
            </w:pPr>
            <w:r>
              <w:rPr>
                <w:rFonts w:hint="default" w:ascii="Times New Roman" w:hAnsi="Times New Roman" w:eastAsia="方正仿宋_GBK" w:cs="Times New Roman"/>
                <w:bCs/>
                <w:color w:val="000000"/>
                <w:kern w:val="0"/>
                <w:sz w:val="24"/>
              </w:rPr>
              <w:t>资产清理界定情况</w:t>
            </w:r>
          </w:p>
        </w:tc>
        <w:tc>
          <w:tcPr>
            <w:tcW w:w="2389" w:type="dxa"/>
            <w:gridSpan w:val="2"/>
            <w:tcBorders>
              <w:top w:val="single" w:color="auto" w:sz="8" w:space="0"/>
              <w:left w:val="nil"/>
              <w:bottom w:val="single" w:color="auto" w:sz="8" w:space="0"/>
              <w:right w:val="single" w:color="000000" w:sz="8" w:space="0"/>
            </w:tcBorders>
            <w:noWrap w:val="0"/>
            <w:vAlign w:val="center"/>
          </w:tcPr>
          <w:p w14:paraId="71B04A60">
            <w:pPr>
              <w:widowControl/>
              <w:spacing w:line="240" w:lineRule="exact"/>
              <w:jc w:val="center"/>
              <w:rPr>
                <w:rFonts w:hint="default" w:ascii="Times New Roman" w:hAnsi="Times New Roman" w:cs="Times New Roman"/>
                <w:bCs/>
                <w:color w:val="000000"/>
                <w:kern w:val="0"/>
                <w:sz w:val="24"/>
              </w:rPr>
            </w:pPr>
            <w:r>
              <w:rPr>
                <w:rFonts w:hint="default" w:ascii="Times New Roman" w:hAnsi="Times New Roman" w:eastAsia="方正仿宋_GBK" w:cs="Times New Roman"/>
                <w:bCs/>
                <w:color w:val="000000"/>
                <w:kern w:val="0"/>
                <w:sz w:val="24"/>
              </w:rPr>
              <w:t>资产价值认定情况</w:t>
            </w:r>
          </w:p>
        </w:tc>
        <w:tc>
          <w:tcPr>
            <w:tcW w:w="4827" w:type="dxa"/>
            <w:gridSpan w:val="4"/>
            <w:tcBorders>
              <w:top w:val="single" w:color="auto" w:sz="8" w:space="0"/>
              <w:left w:val="nil"/>
              <w:bottom w:val="single" w:color="auto" w:sz="8" w:space="0"/>
              <w:right w:val="single" w:color="000000" w:sz="8" w:space="0"/>
            </w:tcBorders>
            <w:noWrap w:val="0"/>
            <w:vAlign w:val="center"/>
          </w:tcPr>
          <w:p w14:paraId="3DA39BD3">
            <w:pPr>
              <w:widowControl/>
              <w:spacing w:line="240" w:lineRule="exact"/>
              <w:jc w:val="center"/>
              <w:rPr>
                <w:rFonts w:hint="default" w:ascii="Times New Roman" w:hAnsi="Times New Roman" w:cs="Times New Roman"/>
                <w:bCs/>
                <w:color w:val="000000"/>
                <w:kern w:val="0"/>
                <w:sz w:val="24"/>
              </w:rPr>
            </w:pPr>
            <w:r>
              <w:rPr>
                <w:rFonts w:hint="default" w:ascii="Times New Roman" w:hAnsi="Times New Roman" w:eastAsia="方正仿宋_GBK" w:cs="Times New Roman"/>
                <w:bCs/>
                <w:color w:val="000000"/>
                <w:kern w:val="0"/>
                <w:sz w:val="24"/>
              </w:rPr>
              <w:t>成员界定情况</w:t>
            </w:r>
          </w:p>
        </w:tc>
        <w:tc>
          <w:tcPr>
            <w:tcW w:w="4782" w:type="dxa"/>
            <w:gridSpan w:val="4"/>
            <w:tcBorders>
              <w:top w:val="single" w:color="auto" w:sz="8" w:space="0"/>
              <w:left w:val="nil"/>
              <w:bottom w:val="single" w:color="auto" w:sz="8" w:space="0"/>
              <w:right w:val="single" w:color="000000" w:sz="8" w:space="0"/>
            </w:tcBorders>
            <w:noWrap w:val="0"/>
            <w:vAlign w:val="center"/>
          </w:tcPr>
          <w:p w14:paraId="04861FF4">
            <w:pPr>
              <w:widowControl/>
              <w:spacing w:line="240" w:lineRule="exact"/>
              <w:jc w:val="center"/>
              <w:rPr>
                <w:rFonts w:hint="default" w:ascii="Times New Roman" w:hAnsi="Times New Roman" w:cs="Times New Roman"/>
                <w:bCs/>
                <w:color w:val="000000"/>
                <w:kern w:val="0"/>
                <w:sz w:val="24"/>
              </w:rPr>
            </w:pPr>
            <w:r>
              <w:rPr>
                <w:rFonts w:hint="default" w:ascii="Times New Roman" w:hAnsi="Times New Roman" w:eastAsia="方正仿宋_GBK" w:cs="Times New Roman"/>
                <w:bCs/>
                <w:color w:val="000000"/>
                <w:kern w:val="0"/>
                <w:sz w:val="24"/>
              </w:rPr>
              <w:t>股权量化情况</w:t>
            </w:r>
          </w:p>
        </w:tc>
      </w:tr>
      <w:tr w14:paraId="116F878D">
        <w:tblPrEx>
          <w:tblCellMar>
            <w:top w:w="0" w:type="dxa"/>
            <w:left w:w="108" w:type="dxa"/>
            <w:bottom w:w="0" w:type="dxa"/>
            <w:right w:w="108" w:type="dxa"/>
          </w:tblCellMar>
        </w:tblPrEx>
        <w:trPr>
          <w:trHeight w:val="999" w:hRule="atLeast"/>
        </w:trPr>
        <w:tc>
          <w:tcPr>
            <w:tcW w:w="1194" w:type="dxa"/>
            <w:tcBorders>
              <w:top w:val="nil"/>
              <w:left w:val="single" w:color="auto" w:sz="8" w:space="0"/>
              <w:bottom w:val="single" w:color="auto" w:sz="8" w:space="0"/>
              <w:right w:val="single" w:color="auto" w:sz="8" w:space="0"/>
            </w:tcBorders>
            <w:noWrap w:val="0"/>
            <w:vAlign w:val="center"/>
          </w:tcPr>
          <w:p w14:paraId="0F16CD56">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完成清产核资村数（个）</w:t>
            </w:r>
          </w:p>
        </w:tc>
        <w:tc>
          <w:tcPr>
            <w:tcW w:w="1195" w:type="dxa"/>
            <w:tcBorders>
              <w:top w:val="nil"/>
              <w:left w:val="nil"/>
              <w:bottom w:val="single" w:color="auto" w:sz="8" w:space="0"/>
              <w:right w:val="single" w:color="auto" w:sz="8" w:space="0"/>
            </w:tcBorders>
            <w:noWrap w:val="0"/>
            <w:vAlign w:val="center"/>
          </w:tcPr>
          <w:p w14:paraId="194E972D">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完成资产界定村数（个）</w:t>
            </w:r>
          </w:p>
        </w:tc>
        <w:tc>
          <w:tcPr>
            <w:tcW w:w="1194" w:type="dxa"/>
            <w:tcBorders>
              <w:top w:val="nil"/>
              <w:left w:val="nil"/>
              <w:bottom w:val="single" w:color="auto" w:sz="8" w:space="0"/>
              <w:right w:val="single" w:color="auto" w:sz="8" w:space="0"/>
            </w:tcBorders>
            <w:noWrap w:val="0"/>
            <w:vAlign w:val="center"/>
          </w:tcPr>
          <w:p w14:paraId="65A9CE9B">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完成资产价值认定村数（个）</w:t>
            </w:r>
          </w:p>
        </w:tc>
        <w:tc>
          <w:tcPr>
            <w:tcW w:w="1195" w:type="dxa"/>
            <w:tcBorders>
              <w:top w:val="nil"/>
              <w:left w:val="nil"/>
              <w:bottom w:val="single" w:color="auto" w:sz="8" w:space="0"/>
              <w:right w:val="nil"/>
            </w:tcBorders>
            <w:noWrap w:val="0"/>
            <w:vAlign w:val="center"/>
          </w:tcPr>
          <w:p w14:paraId="0F8BAB40">
            <w:pPr>
              <w:widowControl/>
              <w:spacing w:line="240" w:lineRule="exact"/>
              <w:jc w:val="left"/>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认定适合量化资产（万元）</w:t>
            </w:r>
          </w:p>
        </w:tc>
        <w:tc>
          <w:tcPr>
            <w:tcW w:w="1194" w:type="dxa"/>
            <w:tcBorders>
              <w:top w:val="nil"/>
              <w:left w:val="single" w:color="auto" w:sz="8" w:space="0"/>
              <w:bottom w:val="single" w:color="auto" w:sz="8" w:space="0"/>
              <w:right w:val="single" w:color="auto" w:sz="8" w:space="0"/>
            </w:tcBorders>
            <w:noWrap w:val="0"/>
            <w:vAlign w:val="center"/>
          </w:tcPr>
          <w:p w14:paraId="1A8163B4">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完成成员界定村数（个）</w:t>
            </w:r>
          </w:p>
        </w:tc>
        <w:tc>
          <w:tcPr>
            <w:tcW w:w="1194" w:type="dxa"/>
            <w:tcBorders>
              <w:top w:val="nil"/>
              <w:left w:val="nil"/>
              <w:bottom w:val="single" w:color="auto" w:sz="8" w:space="0"/>
              <w:right w:val="single" w:color="auto" w:sz="8" w:space="0"/>
            </w:tcBorders>
            <w:noWrap w:val="0"/>
            <w:vAlign w:val="center"/>
          </w:tcPr>
          <w:p w14:paraId="1A07ADCF">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采用时期法村数（个）</w:t>
            </w:r>
          </w:p>
        </w:tc>
        <w:tc>
          <w:tcPr>
            <w:tcW w:w="1194" w:type="dxa"/>
            <w:tcBorders>
              <w:top w:val="nil"/>
              <w:left w:val="nil"/>
              <w:bottom w:val="single" w:color="auto" w:sz="8" w:space="0"/>
              <w:right w:val="single" w:color="auto" w:sz="8" w:space="0"/>
            </w:tcBorders>
            <w:noWrap w:val="0"/>
            <w:vAlign w:val="center"/>
          </w:tcPr>
          <w:p w14:paraId="22D3C65D">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采用时点法村数（个）</w:t>
            </w:r>
          </w:p>
        </w:tc>
        <w:tc>
          <w:tcPr>
            <w:tcW w:w="1245" w:type="dxa"/>
            <w:tcBorders>
              <w:top w:val="nil"/>
              <w:left w:val="nil"/>
              <w:bottom w:val="single" w:color="auto" w:sz="8" w:space="0"/>
              <w:right w:val="single" w:color="auto" w:sz="8" w:space="0"/>
            </w:tcBorders>
            <w:noWrap w:val="0"/>
            <w:vAlign w:val="center"/>
          </w:tcPr>
          <w:p w14:paraId="65B5E77A">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界定成员人数（人）</w:t>
            </w:r>
          </w:p>
        </w:tc>
        <w:tc>
          <w:tcPr>
            <w:tcW w:w="1194" w:type="dxa"/>
            <w:tcBorders>
              <w:top w:val="nil"/>
              <w:left w:val="nil"/>
              <w:bottom w:val="single" w:color="auto" w:sz="8" w:space="0"/>
              <w:right w:val="single" w:color="auto" w:sz="8" w:space="0"/>
            </w:tcBorders>
            <w:noWrap w:val="0"/>
            <w:vAlign w:val="center"/>
          </w:tcPr>
          <w:p w14:paraId="4B95274F">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完成股份 设置村数（个）</w:t>
            </w:r>
          </w:p>
        </w:tc>
        <w:tc>
          <w:tcPr>
            <w:tcW w:w="1195" w:type="dxa"/>
            <w:tcBorders>
              <w:top w:val="nil"/>
              <w:left w:val="nil"/>
              <w:bottom w:val="single" w:color="auto" w:sz="8" w:space="0"/>
              <w:right w:val="single" w:color="auto" w:sz="8" w:space="0"/>
            </w:tcBorders>
            <w:noWrap w:val="0"/>
            <w:vAlign w:val="center"/>
          </w:tcPr>
          <w:p w14:paraId="254644F3">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设置股份份数量（股）</w:t>
            </w:r>
          </w:p>
        </w:tc>
        <w:tc>
          <w:tcPr>
            <w:tcW w:w="1194" w:type="dxa"/>
            <w:tcBorders>
              <w:top w:val="nil"/>
              <w:left w:val="nil"/>
              <w:bottom w:val="single" w:color="auto" w:sz="8" w:space="0"/>
              <w:right w:val="single" w:color="auto" w:sz="8" w:space="0"/>
            </w:tcBorders>
            <w:noWrap w:val="0"/>
            <w:vAlign w:val="center"/>
          </w:tcPr>
          <w:p w14:paraId="43AAAFB5">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其中：个人股数（股）</w:t>
            </w:r>
          </w:p>
        </w:tc>
        <w:tc>
          <w:tcPr>
            <w:tcW w:w="1199" w:type="dxa"/>
            <w:tcBorders>
              <w:top w:val="nil"/>
              <w:left w:val="nil"/>
              <w:bottom w:val="single" w:color="auto" w:sz="8" w:space="0"/>
              <w:right w:val="single" w:color="auto" w:sz="8" w:space="0"/>
            </w:tcBorders>
            <w:noWrap w:val="0"/>
            <w:vAlign w:val="center"/>
          </w:tcPr>
          <w:p w14:paraId="696458FD">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完成量化确权村数（个）</w:t>
            </w:r>
          </w:p>
        </w:tc>
      </w:tr>
      <w:tr w14:paraId="1FE63BCA">
        <w:tblPrEx>
          <w:tblCellMar>
            <w:top w:w="0" w:type="dxa"/>
            <w:left w:w="108" w:type="dxa"/>
            <w:bottom w:w="0" w:type="dxa"/>
            <w:right w:w="108" w:type="dxa"/>
          </w:tblCellMar>
        </w:tblPrEx>
        <w:trPr>
          <w:trHeight w:val="339" w:hRule="atLeast"/>
        </w:trPr>
        <w:tc>
          <w:tcPr>
            <w:tcW w:w="1194" w:type="dxa"/>
            <w:tcBorders>
              <w:top w:val="nil"/>
              <w:left w:val="single" w:color="auto" w:sz="8" w:space="0"/>
              <w:bottom w:val="nil"/>
              <w:right w:val="single" w:color="auto" w:sz="8" w:space="0"/>
            </w:tcBorders>
            <w:noWrap w:val="0"/>
            <w:vAlign w:val="center"/>
          </w:tcPr>
          <w:p w14:paraId="1884888E">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5" w:type="dxa"/>
            <w:tcBorders>
              <w:top w:val="nil"/>
              <w:left w:val="nil"/>
              <w:bottom w:val="nil"/>
              <w:right w:val="single" w:color="auto" w:sz="8" w:space="0"/>
            </w:tcBorders>
            <w:noWrap w:val="0"/>
            <w:vAlign w:val="center"/>
          </w:tcPr>
          <w:p w14:paraId="3E5F38B7">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7CD5BCC2">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5" w:type="dxa"/>
            <w:tcBorders>
              <w:top w:val="nil"/>
              <w:left w:val="nil"/>
              <w:bottom w:val="single" w:color="auto" w:sz="8" w:space="0"/>
              <w:right w:val="single" w:color="auto" w:sz="8" w:space="0"/>
            </w:tcBorders>
            <w:noWrap w:val="0"/>
            <w:vAlign w:val="center"/>
          </w:tcPr>
          <w:p w14:paraId="00A46DC0">
            <w:pPr>
              <w:widowControl/>
              <w:spacing w:line="200" w:lineRule="exact"/>
              <w:jc w:val="left"/>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320F996A">
            <w:pPr>
              <w:widowControl/>
              <w:spacing w:line="200" w:lineRule="exact"/>
              <w:jc w:val="left"/>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23A32B6A">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64326BE9">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245" w:type="dxa"/>
            <w:tcBorders>
              <w:top w:val="nil"/>
              <w:left w:val="nil"/>
              <w:bottom w:val="single" w:color="auto" w:sz="8" w:space="0"/>
              <w:right w:val="single" w:color="auto" w:sz="8" w:space="0"/>
            </w:tcBorders>
            <w:noWrap w:val="0"/>
            <w:vAlign w:val="center"/>
          </w:tcPr>
          <w:p w14:paraId="77546AFB">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09D6F7EA">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5" w:type="dxa"/>
            <w:tcBorders>
              <w:top w:val="nil"/>
              <w:left w:val="nil"/>
              <w:bottom w:val="single" w:color="auto" w:sz="8" w:space="0"/>
              <w:right w:val="single" w:color="auto" w:sz="8" w:space="0"/>
            </w:tcBorders>
            <w:noWrap w:val="0"/>
            <w:vAlign w:val="center"/>
          </w:tcPr>
          <w:p w14:paraId="65EAC37C">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6E2E8DDB">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c>
          <w:tcPr>
            <w:tcW w:w="1199" w:type="dxa"/>
            <w:tcBorders>
              <w:top w:val="nil"/>
              <w:left w:val="nil"/>
              <w:bottom w:val="single" w:color="auto" w:sz="8" w:space="0"/>
              <w:right w:val="single" w:color="auto" w:sz="8" w:space="0"/>
            </w:tcBorders>
            <w:noWrap w:val="0"/>
            <w:vAlign w:val="center"/>
          </w:tcPr>
          <w:p w14:paraId="2B3AD70F">
            <w:pPr>
              <w:widowControl/>
              <w:spacing w:line="200" w:lineRule="exact"/>
              <w:jc w:val="left"/>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w:t>
            </w:r>
          </w:p>
        </w:tc>
      </w:tr>
      <w:tr w14:paraId="5633F7EA">
        <w:tblPrEx>
          <w:tblCellMar>
            <w:top w:w="0" w:type="dxa"/>
            <w:left w:w="108" w:type="dxa"/>
            <w:bottom w:w="0" w:type="dxa"/>
            <w:right w:w="108" w:type="dxa"/>
          </w:tblCellMar>
        </w:tblPrEx>
        <w:trPr>
          <w:trHeight w:val="299" w:hRule="atLeast"/>
        </w:trPr>
        <w:tc>
          <w:tcPr>
            <w:tcW w:w="10799" w:type="dxa"/>
            <w:gridSpan w:val="9"/>
            <w:tcBorders>
              <w:top w:val="single" w:color="auto" w:sz="8" w:space="0"/>
              <w:left w:val="single" w:color="auto" w:sz="8" w:space="0"/>
              <w:bottom w:val="single" w:color="auto" w:sz="8" w:space="0"/>
              <w:right w:val="single" w:color="000000" w:sz="8" w:space="0"/>
            </w:tcBorders>
            <w:noWrap w:val="0"/>
            <w:vAlign w:val="center"/>
          </w:tcPr>
          <w:p w14:paraId="7515A202">
            <w:pPr>
              <w:widowControl/>
              <w:spacing w:line="240" w:lineRule="exact"/>
              <w:jc w:val="center"/>
              <w:rPr>
                <w:rFonts w:hint="default" w:ascii="Times New Roman" w:hAnsi="Times New Roman" w:cs="Times New Roman"/>
                <w:bCs/>
                <w:color w:val="000000"/>
                <w:kern w:val="0"/>
                <w:sz w:val="24"/>
              </w:rPr>
            </w:pPr>
            <w:r>
              <w:rPr>
                <w:rFonts w:hint="default" w:ascii="Times New Roman" w:hAnsi="Times New Roman" w:eastAsia="方正仿宋_GBK" w:cs="Times New Roman"/>
                <w:bCs/>
                <w:color w:val="000000"/>
                <w:kern w:val="0"/>
                <w:sz w:val="24"/>
              </w:rPr>
              <w:t>资产盘活利用情况</w:t>
            </w:r>
          </w:p>
        </w:tc>
        <w:tc>
          <w:tcPr>
            <w:tcW w:w="3588" w:type="dxa"/>
            <w:gridSpan w:val="3"/>
            <w:tcBorders>
              <w:top w:val="single" w:color="auto" w:sz="8" w:space="0"/>
              <w:left w:val="nil"/>
              <w:bottom w:val="single" w:color="auto" w:sz="8" w:space="0"/>
              <w:right w:val="single" w:color="000000" w:sz="8" w:space="0"/>
            </w:tcBorders>
            <w:noWrap w:val="0"/>
            <w:vAlign w:val="center"/>
          </w:tcPr>
          <w:p w14:paraId="05DC5951">
            <w:pPr>
              <w:widowControl/>
              <w:spacing w:line="240" w:lineRule="exact"/>
              <w:jc w:val="center"/>
              <w:rPr>
                <w:rFonts w:hint="default" w:ascii="Times New Roman" w:hAnsi="Times New Roman" w:cs="Times New Roman"/>
                <w:bCs/>
                <w:color w:val="000000"/>
                <w:kern w:val="0"/>
                <w:sz w:val="24"/>
              </w:rPr>
            </w:pPr>
            <w:r>
              <w:rPr>
                <w:rFonts w:hint="default" w:ascii="Times New Roman" w:hAnsi="Times New Roman" w:eastAsia="方正仿宋_GBK" w:cs="Times New Roman"/>
                <w:bCs/>
                <w:color w:val="000000"/>
                <w:kern w:val="0"/>
                <w:sz w:val="24"/>
              </w:rPr>
              <w:t>其他情况</w:t>
            </w:r>
          </w:p>
        </w:tc>
      </w:tr>
      <w:tr w14:paraId="5A625271">
        <w:tblPrEx>
          <w:tblCellMar>
            <w:top w:w="0" w:type="dxa"/>
            <w:left w:w="108" w:type="dxa"/>
            <w:bottom w:w="0" w:type="dxa"/>
            <w:right w:w="108" w:type="dxa"/>
          </w:tblCellMar>
        </w:tblPrEx>
        <w:trPr>
          <w:trHeight w:val="1195" w:hRule="atLeast"/>
        </w:trPr>
        <w:tc>
          <w:tcPr>
            <w:tcW w:w="1194" w:type="dxa"/>
            <w:tcBorders>
              <w:top w:val="nil"/>
              <w:left w:val="single" w:color="auto" w:sz="8" w:space="0"/>
              <w:bottom w:val="single" w:color="auto" w:sz="8" w:space="0"/>
              <w:right w:val="single" w:color="auto" w:sz="8" w:space="0"/>
            </w:tcBorders>
            <w:noWrap w:val="0"/>
            <w:vAlign w:val="center"/>
          </w:tcPr>
          <w:p w14:paraId="3942605F">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盘活集体闲置资产（万元）</w:t>
            </w:r>
          </w:p>
        </w:tc>
        <w:tc>
          <w:tcPr>
            <w:tcW w:w="2389" w:type="dxa"/>
            <w:gridSpan w:val="2"/>
            <w:tcBorders>
              <w:top w:val="nil"/>
              <w:left w:val="nil"/>
              <w:bottom w:val="single" w:color="auto" w:sz="8" w:space="0"/>
              <w:right w:val="single" w:color="auto" w:sz="8" w:space="0"/>
            </w:tcBorders>
            <w:noWrap w:val="0"/>
            <w:vAlign w:val="center"/>
          </w:tcPr>
          <w:p w14:paraId="00A5B92A">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其中：（1）租赁、流转方式盘活（万元）</w:t>
            </w:r>
          </w:p>
        </w:tc>
        <w:tc>
          <w:tcPr>
            <w:tcW w:w="2389" w:type="dxa"/>
            <w:gridSpan w:val="2"/>
            <w:tcBorders>
              <w:top w:val="nil"/>
              <w:left w:val="nil"/>
              <w:bottom w:val="single" w:color="auto" w:sz="8" w:space="0"/>
              <w:right w:val="single" w:color="auto" w:sz="8" w:space="0"/>
            </w:tcBorders>
            <w:noWrap w:val="0"/>
            <w:vAlign w:val="center"/>
          </w:tcPr>
          <w:p w14:paraId="1C00B52C">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（2）地票交易方式盘活（万元）</w:t>
            </w:r>
          </w:p>
        </w:tc>
        <w:tc>
          <w:tcPr>
            <w:tcW w:w="1194" w:type="dxa"/>
            <w:tcBorders>
              <w:top w:val="nil"/>
              <w:left w:val="nil"/>
              <w:bottom w:val="single" w:color="auto" w:sz="8" w:space="0"/>
              <w:right w:val="single" w:color="auto" w:sz="8" w:space="0"/>
            </w:tcBorders>
            <w:noWrap w:val="0"/>
            <w:vAlign w:val="center"/>
          </w:tcPr>
          <w:p w14:paraId="3C2315D8">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地票交易面积（亩）</w:t>
            </w:r>
          </w:p>
        </w:tc>
        <w:tc>
          <w:tcPr>
            <w:tcW w:w="1194" w:type="dxa"/>
            <w:tcBorders>
              <w:top w:val="nil"/>
              <w:left w:val="nil"/>
              <w:bottom w:val="single" w:color="auto" w:sz="8" w:space="0"/>
              <w:right w:val="single" w:color="auto" w:sz="8" w:space="0"/>
            </w:tcBorders>
            <w:noWrap w:val="0"/>
            <w:vAlign w:val="center"/>
          </w:tcPr>
          <w:p w14:paraId="06941ED4">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（3）其他方式盘活（万元）</w:t>
            </w:r>
          </w:p>
        </w:tc>
        <w:tc>
          <w:tcPr>
            <w:tcW w:w="1245" w:type="dxa"/>
            <w:tcBorders>
              <w:top w:val="nil"/>
              <w:left w:val="nil"/>
              <w:bottom w:val="single" w:color="auto" w:sz="8" w:space="0"/>
              <w:right w:val="single" w:color="auto" w:sz="8" w:space="0"/>
            </w:tcBorders>
            <w:noWrap w:val="0"/>
            <w:vAlign w:val="center"/>
          </w:tcPr>
          <w:p w14:paraId="7F8980D9">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2015-2017年改革试点村已分红村数</w:t>
            </w:r>
          </w:p>
        </w:tc>
        <w:tc>
          <w:tcPr>
            <w:tcW w:w="1194" w:type="dxa"/>
            <w:tcBorders>
              <w:top w:val="nil"/>
              <w:left w:val="nil"/>
              <w:bottom w:val="single" w:color="auto" w:sz="8" w:space="0"/>
              <w:right w:val="single" w:color="auto" w:sz="8" w:space="0"/>
            </w:tcBorders>
            <w:noWrap w:val="0"/>
            <w:vAlign w:val="center"/>
          </w:tcPr>
          <w:p w14:paraId="76BF3D48">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分红金额</w:t>
            </w:r>
          </w:p>
        </w:tc>
        <w:tc>
          <w:tcPr>
            <w:tcW w:w="1195" w:type="dxa"/>
            <w:tcBorders>
              <w:top w:val="nil"/>
              <w:left w:val="nil"/>
              <w:bottom w:val="single" w:color="auto" w:sz="8" w:space="0"/>
              <w:right w:val="single" w:color="auto" w:sz="8" w:space="0"/>
            </w:tcBorders>
            <w:noWrap w:val="0"/>
            <w:vAlign w:val="center"/>
          </w:tcPr>
          <w:p w14:paraId="573397AD">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受理来信来访（起）</w:t>
            </w:r>
          </w:p>
        </w:tc>
        <w:tc>
          <w:tcPr>
            <w:tcW w:w="1194" w:type="dxa"/>
            <w:tcBorders>
              <w:top w:val="nil"/>
              <w:left w:val="nil"/>
              <w:bottom w:val="single" w:color="auto" w:sz="8" w:space="0"/>
              <w:right w:val="single" w:color="auto" w:sz="8" w:space="0"/>
            </w:tcBorders>
            <w:noWrap w:val="0"/>
            <w:vAlign w:val="center"/>
          </w:tcPr>
          <w:p w14:paraId="348EC3F9">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化解矛盾纠纷（起）</w:t>
            </w:r>
          </w:p>
        </w:tc>
        <w:tc>
          <w:tcPr>
            <w:tcW w:w="1199" w:type="dxa"/>
            <w:tcBorders>
              <w:top w:val="nil"/>
              <w:left w:val="nil"/>
              <w:bottom w:val="single" w:color="auto" w:sz="8" w:space="0"/>
              <w:right w:val="single" w:color="auto" w:sz="8" w:space="0"/>
            </w:tcBorders>
            <w:noWrap w:val="0"/>
            <w:vAlign w:val="center"/>
          </w:tcPr>
          <w:p w14:paraId="28DF1BAA">
            <w:pPr>
              <w:widowControl/>
              <w:spacing w:line="240" w:lineRule="exact"/>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乡镇落实工作经费（万元）</w:t>
            </w:r>
          </w:p>
        </w:tc>
      </w:tr>
      <w:tr w14:paraId="213394E6">
        <w:tblPrEx>
          <w:tblCellMar>
            <w:top w:w="0" w:type="dxa"/>
            <w:left w:w="108" w:type="dxa"/>
            <w:bottom w:w="0" w:type="dxa"/>
            <w:right w:w="108" w:type="dxa"/>
          </w:tblCellMar>
        </w:tblPrEx>
        <w:trPr>
          <w:trHeight w:val="283" w:hRule="atLeast"/>
        </w:trPr>
        <w:tc>
          <w:tcPr>
            <w:tcW w:w="1194" w:type="dxa"/>
            <w:tcBorders>
              <w:top w:val="nil"/>
              <w:left w:val="single" w:color="auto" w:sz="8" w:space="0"/>
              <w:bottom w:val="single" w:color="auto" w:sz="8" w:space="0"/>
              <w:right w:val="single" w:color="auto" w:sz="8" w:space="0"/>
            </w:tcBorders>
            <w:noWrap w:val="0"/>
            <w:vAlign w:val="center"/>
          </w:tcPr>
          <w:p w14:paraId="2ECE65B9">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2389" w:type="dxa"/>
            <w:gridSpan w:val="2"/>
            <w:tcBorders>
              <w:top w:val="nil"/>
              <w:left w:val="nil"/>
              <w:bottom w:val="single" w:color="auto" w:sz="8" w:space="0"/>
              <w:right w:val="single" w:color="auto" w:sz="8" w:space="0"/>
            </w:tcBorders>
            <w:noWrap w:val="0"/>
            <w:vAlign w:val="center"/>
          </w:tcPr>
          <w:p w14:paraId="1818517A">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p w14:paraId="633465E0">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2389" w:type="dxa"/>
            <w:gridSpan w:val="2"/>
            <w:tcBorders>
              <w:top w:val="nil"/>
              <w:left w:val="nil"/>
              <w:bottom w:val="single" w:color="auto" w:sz="8" w:space="0"/>
              <w:right w:val="single" w:color="auto" w:sz="8" w:space="0"/>
            </w:tcBorders>
            <w:noWrap w:val="0"/>
            <w:vAlign w:val="center"/>
          </w:tcPr>
          <w:p w14:paraId="6F8FD3E0">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p w14:paraId="6FA77283">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5C551333">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6F50980D">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245" w:type="dxa"/>
            <w:tcBorders>
              <w:top w:val="nil"/>
              <w:left w:val="nil"/>
              <w:bottom w:val="single" w:color="auto" w:sz="8" w:space="0"/>
              <w:right w:val="single" w:color="auto" w:sz="8" w:space="0"/>
            </w:tcBorders>
            <w:noWrap w:val="0"/>
            <w:vAlign w:val="center"/>
          </w:tcPr>
          <w:p w14:paraId="735F19F3">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08D840EC">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5" w:type="dxa"/>
            <w:tcBorders>
              <w:top w:val="nil"/>
              <w:left w:val="nil"/>
              <w:bottom w:val="single" w:color="auto" w:sz="8" w:space="0"/>
              <w:right w:val="single" w:color="auto" w:sz="8" w:space="0"/>
            </w:tcBorders>
            <w:noWrap w:val="0"/>
            <w:vAlign w:val="center"/>
          </w:tcPr>
          <w:p w14:paraId="70616D44">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4" w:type="dxa"/>
            <w:tcBorders>
              <w:top w:val="nil"/>
              <w:left w:val="nil"/>
              <w:bottom w:val="single" w:color="auto" w:sz="8" w:space="0"/>
              <w:right w:val="single" w:color="auto" w:sz="8" w:space="0"/>
            </w:tcBorders>
            <w:noWrap w:val="0"/>
            <w:vAlign w:val="center"/>
          </w:tcPr>
          <w:p w14:paraId="3A0D35C7">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c>
          <w:tcPr>
            <w:tcW w:w="1199" w:type="dxa"/>
            <w:tcBorders>
              <w:top w:val="nil"/>
              <w:left w:val="nil"/>
              <w:bottom w:val="single" w:color="auto" w:sz="8" w:space="0"/>
              <w:right w:val="single" w:color="auto" w:sz="8" w:space="0"/>
            </w:tcBorders>
            <w:noWrap w:val="0"/>
            <w:vAlign w:val="center"/>
          </w:tcPr>
          <w:p w14:paraId="38D537B8">
            <w:pPr>
              <w:widowControl/>
              <w:spacing w:line="200" w:lineRule="exact"/>
              <w:jc w:val="center"/>
              <w:rPr>
                <w:rFonts w:hint="default" w:ascii="Times New Roman" w:hAnsi="Times New Roman" w:eastAsia="楷体_GB2312" w:cs="Times New Roman"/>
                <w:bCs/>
                <w:color w:val="000000"/>
                <w:kern w:val="0"/>
                <w:sz w:val="20"/>
                <w:szCs w:val="20"/>
              </w:rPr>
            </w:pPr>
            <w:r>
              <w:rPr>
                <w:rFonts w:hint="default" w:ascii="Times New Roman" w:hAnsi="Times New Roman" w:eastAsia="楷体_GB2312" w:cs="Times New Roman"/>
                <w:bCs/>
                <w:color w:val="000000"/>
                <w:kern w:val="0"/>
                <w:sz w:val="20"/>
                <w:szCs w:val="20"/>
              </w:rPr>
              <w:t>　</w:t>
            </w:r>
          </w:p>
        </w:tc>
      </w:tr>
      <w:tr w14:paraId="1966B784">
        <w:tblPrEx>
          <w:tblCellMar>
            <w:top w:w="0" w:type="dxa"/>
            <w:left w:w="108" w:type="dxa"/>
            <w:bottom w:w="0" w:type="dxa"/>
            <w:right w:w="108" w:type="dxa"/>
          </w:tblCellMar>
        </w:tblPrEx>
        <w:trPr>
          <w:trHeight w:val="284" w:hRule="atLeast"/>
        </w:trPr>
        <w:tc>
          <w:tcPr>
            <w:tcW w:w="2389" w:type="dxa"/>
            <w:gridSpan w:val="2"/>
            <w:tcBorders>
              <w:top w:val="single" w:color="auto" w:sz="8" w:space="0"/>
              <w:left w:val="nil"/>
              <w:bottom w:val="nil"/>
              <w:right w:val="nil"/>
            </w:tcBorders>
            <w:noWrap w:val="0"/>
            <w:vAlign w:val="center"/>
          </w:tcPr>
          <w:p w14:paraId="4F650A12">
            <w:pPr>
              <w:widowControl/>
              <w:spacing w:line="300" w:lineRule="exact"/>
              <w:jc w:val="left"/>
              <w:rPr>
                <w:rFonts w:hint="default" w:ascii="Times New Roman" w:hAnsi="Times New Roman" w:eastAsia="方正仿宋_GBK" w:cs="Times New Roman"/>
                <w:sz w:val="24"/>
              </w:rPr>
            </w:pPr>
          </w:p>
          <w:p w14:paraId="11756631">
            <w:pPr>
              <w:widowControl/>
              <w:spacing w:line="300" w:lineRule="exact"/>
              <w:jc w:val="left"/>
              <w:rPr>
                <w:rFonts w:hint="default" w:ascii="Times New Roman" w:hAnsi="Times New Roman" w:eastAsia="方正仿宋_GBK" w:cs="Times New Roman"/>
                <w:sz w:val="24"/>
              </w:rPr>
            </w:pPr>
            <w:r>
              <w:rPr>
                <w:rFonts w:hint="default" w:ascii="Times New Roman" w:hAnsi="Times New Roman" w:eastAsia="方正仿宋_GBK" w:cs="Times New Roman"/>
                <w:sz w:val="24"/>
              </w:rPr>
              <w:t>乡镇（街道）负责人：</w:t>
            </w:r>
          </w:p>
        </w:tc>
        <w:tc>
          <w:tcPr>
            <w:tcW w:w="1194" w:type="dxa"/>
            <w:tcBorders>
              <w:top w:val="nil"/>
              <w:left w:val="nil"/>
              <w:bottom w:val="nil"/>
              <w:right w:val="nil"/>
            </w:tcBorders>
            <w:noWrap w:val="0"/>
            <w:vAlign w:val="center"/>
          </w:tcPr>
          <w:p w14:paraId="6EB252C6">
            <w:pPr>
              <w:widowControl/>
              <w:spacing w:line="300" w:lineRule="exact"/>
              <w:jc w:val="left"/>
              <w:rPr>
                <w:rFonts w:hint="default" w:ascii="Times New Roman" w:hAnsi="Times New Roman" w:eastAsia="方正仿宋_GBK" w:cs="Times New Roman"/>
                <w:sz w:val="24"/>
              </w:rPr>
            </w:pPr>
          </w:p>
        </w:tc>
        <w:tc>
          <w:tcPr>
            <w:tcW w:w="1195" w:type="dxa"/>
            <w:tcBorders>
              <w:top w:val="nil"/>
              <w:left w:val="nil"/>
              <w:bottom w:val="nil"/>
              <w:right w:val="nil"/>
            </w:tcBorders>
            <w:noWrap w:val="0"/>
            <w:vAlign w:val="center"/>
          </w:tcPr>
          <w:p w14:paraId="6E0D4AC6">
            <w:pPr>
              <w:widowControl/>
              <w:spacing w:line="300" w:lineRule="exact"/>
              <w:jc w:val="left"/>
              <w:rPr>
                <w:rFonts w:hint="default" w:ascii="Times New Roman" w:hAnsi="Times New Roman" w:eastAsia="方正仿宋_GBK" w:cs="Times New Roman"/>
                <w:sz w:val="24"/>
              </w:rPr>
            </w:pPr>
          </w:p>
        </w:tc>
        <w:tc>
          <w:tcPr>
            <w:tcW w:w="1194" w:type="dxa"/>
            <w:tcBorders>
              <w:top w:val="nil"/>
              <w:left w:val="nil"/>
              <w:bottom w:val="nil"/>
              <w:right w:val="nil"/>
            </w:tcBorders>
            <w:noWrap w:val="0"/>
            <w:vAlign w:val="center"/>
          </w:tcPr>
          <w:p w14:paraId="1242D54F">
            <w:pPr>
              <w:widowControl/>
              <w:spacing w:line="300" w:lineRule="exact"/>
              <w:jc w:val="left"/>
              <w:rPr>
                <w:rFonts w:hint="default" w:ascii="Times New Roman" w:hAnsi="Times New Roman" w:eastAsia="方正仿宋_GBK" w:cs="Times New Roman"/>
                <w:sz w:val="24"/>
              </w:rPr>
            </w:pPr>
          </w:p>
        </w:tc>
        <w:tc>
          <w:tcPr>
            <w:tcW w:w="1194" w:type="dxa"/>
            <w:tcBorders>
              <w:top w:val="nil"/>
              <w:left w:val="nil"/>
              <w:bottom w:val="nil"/>
              <w:right w:val="nil"/>
            </w:tcBorders>
            <w:noWrap w:val="0"/>
            <w:vAlign w:val="center"/>
          </w:tcPr>
          <w:p w14:paraId="0F6E2E92">
            <w:pPr>
              <w:widowControl/>
              <w:spacing w:line="300" w:lineRule="exact"/>
              <w:jc w:val="left"/>
              <w:rPr>
                <w:rFonts w:hint="default" w:ascii="Times New Roman" w:hAnsi="Times New Roman" w:eastAsia="方正仿宋_GBK" w:cs="Times New Roman"/>
                <w:sz w:val="24"/>
              </w:rPr>
            </w:pPr>
          </w:p>
        </w:tc>
        <w:tc>
          <w:tcPr>
            <w:tcW w:w="1194" w:type="dxa"/>
            <w:tcBorders>
              <w:top w:val="nil"/>
              <w:left w:val="nil"/>
              <w:bottom w:val="nil"/>
              <w:right w:val="nil"/>
            </w:tcBorders>
            <w:noWrap w:val="0"/>
            <w:vAlign w:val="center"/>
          </w:tcPr>
          <w:p w14:paraId="498AF622">
            <w:pPr>
              <w:widowControl/>
              <w:spacing w:line="300" w:lineRule="exact"/>
              <w:jc w:val="left"/>
              <w:rPr>
                <w:rFonts w:hint="default" w:ascii="Times New Roman" w:hAnsi="Times New Roman" w:eastAsia="方正仿宋_GBK" w:cs="Times New Roman"/>
                <w:sz w:val="24"/>
              </w:rPr>
            </w:pPr>
            <w:r>
              <w:rPr>
                <w:rFonts w:hint="default" w:ascii="Times New Roman" w:hAnsi="Times New Roman" w:eastAsia="方正仿宋_GBK" w:cs="Times New Roman"/>
                <w:sz w:val="24"/>
              </w:rPr>
              <w:t>填表人：</w:t>
            </w:r>
          </w:p>
        </w:tc>
        <w:tc>
          <w:tcPr>
            <w:tcW w:w="1245" w:type="dxa"/>
            <w:tcBorders>
              <w:top w:val="nil"/>
              <w:left w:val="nil"/>
              <w:bottom w:val="nil"/>
              <w:right w:val="nil"/>
            </w:tcBorders>
            <w:noWrap w:val="0"/>
            <w:vAlign w:val="center"/>
          </w:tcPr>
          <w:p w14:paraId="0A8D4560">
            <w:pPr>
              <w:widowControl/>
              <w:spacing w:line="300" w:lineRule="exact"/>
              <w:jc w:val="left"/>
              <w:rPr>
                <w:rFonts w:hint="default" w:ascii="Times New Roman" w:hAnsi="Times New Roman" w:eastAsia="方正仿宋_GBK" w:cs="Times New Roman"/>
                <w:sz w:val="24"/>
              </w:rPr>
            </w:pPr>
          </w:p>
        </w:tc>
        <w:tc>
          <w:tcPr>
            <w:tcW w:w="1194" w:type="dxa"/>
            <w:tcBorders>
              <w:top w:val="nil"/>
              <w:left w:val="nil"/>
              <w:bottom w:val="nil"/>
              <w:right w:val="nil"/>
            </w:tcBorders>
            <w:noWrap w:val="0"/>
            <w:vAlign w:val="center"/>
          </w:tcPr>
          <w:p w14:paraId="323E436A">
            <w:pPr>
              <w:widowControl/>
              <w:spacing w:line="300" w:lineRule="exact"/>
              <w:jc w:val="left"/>
              <w:rPr>
                <w:rFonts w:hint="default" w:ascii="Times New Roman" w:hAnsi="Times New Roman" w:eastAsia="方正仿宋_GBK" w:cs="Times New Roman"/>
                <w:sz w:val="24"/>
              </w:rPr>
            </w:pPr>
          </w:p>
        </w:tc>
        <w:tc>
          <w:tcPr>
            <w:tcW w:w="2389" w:type="dxa"/>
            <w:gridSpan w:val="2"/>
            <w:tcBorders>
              <w:top w:val="single" w:color="auto" w:sz="8" w:space="0"/>
              <w:left w:val="nil"/>
              <w:bottom w:val="nil"/>
              <w:right w:val="nil"/>
            </w:tcBorders>
            <w:noWrap w:val="0"/>
            <w:vAlign w:val="center"/>
          </w:tcPr>
          <w:p w14:paraId="02F69657">
            <w:pPr>
              <w:widowControl/>
              <w:spacing w:line="300" w:lineRule="exact"/>
              <w:jc w:val="left"/>
              <w:rPr>
                <w:rFonts w:hint="default" w:ascii="Times New Roman" w:hAnsi="Times New Roman" w:eastAsia="方正仿宋_GBK" w:cs="Times New Roman"/>
                <w:sz w:val="24"/>
              </w:rPr>
            </w:pPr>
            <w:r>
              <w:rPr>
                <w:rFonts w:hint="default" w:ascii="Times New Roman" w:hAnsi="Times New Roman" w:eastAsia="方正仿宋_GBK" w:cs="Times New Roman"/>
                <w:sz w:val="24"/>
              </w:rPr>
              <w:t>联系电话：</w:t>
            </w:r>
          </w:p>
        </w:tc>
        <w:tc>
          <w:tcPr>
            <w:tcW w:w="1199" w:type="dxa"/>
            <w:tcBorders>
              <w:top w:val="nil"/>
              <w:left w:val="nil"/>
              <w:bottom w:val="nil"/>
              <w:right w:val="nil"/>
            </w:tcBorders>
            <w:noWrap w:val="0"/>
            <w:vAlign w:val="center"/>
          </w:tcPr>
          <w:p w14:paraId="037D4CE9">
            <w:pPr>
              <w:widowControl/>
              <w:spacing w:line="300" w:lineRule="exact"/>
              <w:jc w:val="left"/>
              <w:rPr>
                <w:rFonts w:hint="default" w:ascii="Times New Roman" w:hAnsi="Times New Roman" w:eastAsia="方正仿宋_GBK" w:cs="Times New Roman"/>
                <w:sz w:val="24"/>
              </w:rPr>
            </w:pPr>
          </w:p>
        </w:tc>
      </w:tr>
    </w:tbl>
    <w:p w14:paraId="7B4226A6">
      <w:pPr>
        <w:widowControl/>
        <w:spacing w:line="300" w:lineRule="exact"/>
        <w:jc w:val="left"/>
        <w:rPr>
          <w:rFonts w:hint="default" w:ascii="Times New Roman" w:hAnsi="Times New Roman" w:eastAsia="方正仿宋_GBK" w:cs="Times New Roman"/>
          <w:sz w:val="24"/>
        </w:rPr>
        <w:sectPr>
          <w:headerReference r:id="rId5" w:type="default"/>
          <w:footerReference r:id="rId6" w:type="default"/>
          <w:pgSz w:w="16838" w:h="11906" w:orient="landscape"/>
          <w:pgMar w:top="1587" w:right="1962" w:bottom="1474" w:left="1848" w:header="851" w:footer="992" w:gutter="0"/>
          <w:pgBorders>
            <w:top w:val="none" w:sz="0" w:space="0"/>
            <w:left w:val="none" w:sz="0" w:space="0"/>
            <w:bottom w:val="none" w:sz="0" w:space="0"/>
            <w:right w:val="none" w:sz="0" w:space="0"/>
          </w:pgBorders>
          <w:pgNumType w:fmt="numberInDash"/>
          <w:cols w:space="0" w:num="1"/>
          <w:rtlGutter w:val="0"/>
          <w:docGrid w:type="lines" w:linePitch="315" w:charSpace="0"/>
        </w:sectPr>
      </w:pPr>
      <w:r>
        <w:rPr>
          <w:rFonts w:hint="default" w:ascii="Times New Roman" w:hAnsi="Times New Roman" w:eastAsia="方正仿宋_GBK" w:cs="Times New Roman"/>
          <w:sz w:val="24"/>
        </w:rPr>
        <w:t>填表说明：本表统计范围为本乡镇（街道）从2015年以来的农村集体产权制度改革相关情况，只填报已经开展的工作进展情况，按照累计数填报，尚未开展的工作信息不填。每月25日前报送县农委。联系电话：55188802，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"mailto:707187196@qq.com。" </w:instrText>
      </w:r>
      <w:r>
        <w:rPr>
          <w:rFonts w:hint="default" w:ascii="Times New Roman" w:hAnsi="Times New Roman" w:cs="Times New Roman"/>
        </w:rPr>
        <w:fldChar w:fldCharType="separate"/>
      </w:r>
      <w:r>
        <w:rPr>
          <w:rStyle w:val="10"/>
          <w:rFonts w:hint="default" w:ascii="Times New Roman" w:hAnsi="Times New Roman" w:eastAsia="方正仿宋_GBK" w:cs="Times New Roman"/>
          <w:sz w:val="24"/>
        </w:rPr>
        <w:t>707187196@qq.com。</w:t>
      </w:r>
      <w:r>
        <w:rPr>
          <w:rFonts w:hint="default" w:ascii="Times New Roman" w:hAnsi="Times New Roman" w:eastAsia="方正仿宋_GBK" w:cs="Times New Roman"/>
          <w:sz w:val="24"/>
        </w:rPr>
        <w:fldChar w:fldCharType="end"/>
      </w:r>
    </w:p>
    <w:p w14:paraId="0B123C0D">
      <w:pPr>
        <w:spacing w:line="578" w:lineRule="exact"/>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附件2</w:t>
      </w:r>
    </w:p>
    <w:p w14:paraId="0266787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p>
    <w:p w14:paraId="7C53765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重庆市农村集体经济组织成员身份</w:t>
      </w:r>
    </w:p>
    <w:p w14:paraId="6B4CFD5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小标宋_GBK" w:cs="Times New Roman"/>
          <w:sz w:val="44"/>
          <w:szCs w:val="44"/>
        </w:rPr>
        <w:t>确认指导意见（试行）</w:t>
      </w:r>
    </w:p>
    <w:p w14:paraId="5CAC26D1">
      <w:pPr>
        <w:spacing w:line="578" w:lineRule="exact"/>
        <w:jc w:val="left"/>
        <w:rPr>
          <w:rFonts w:hint="default" w:ascii="Times New Roman" w:hAnsi="Times New Roman" w:eastAsia="方正小标宋_GBK" w:cs="Times New Roman"/>
          <w:sz w:val="32"/>
          <w:szCs w:val="32"/>
        </w:rPr>
      </w:pPr>
    </w:p>
    <w:p w14:paraId="7717CD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根据《中共中央国务院关于稳步推进农村集体产权制度改革的意见》（中发〔2016〕37号）、</w:t>
      </w:r>
      <w:r>
        <w:rPr>
          <w:rFonts w:hint="default" w:ascii="Times New Roman" w:hAnsi="Times New Roman" w:eastAsia="方正仿宋_GBK" w:cs="Times New Roman"/>
          <w:color w:val="000000"/>
          <w:sz w:val="32"/>
          <w:szCs w:val="20"/>
        </w:rPr>
        <w:t>《中共重庆市委办公厅 重庆市人民政府办公厅关于开展农村“三变”改革试点促进农民增收产业增效生态增值的指导意见》</w:t>
      </w:r>
      <w:r>
        <w:rPr>
          <w:rFonts w:hint="default" w:ascii="Times New Roman" w:hAnsi="Times New Roman" w:eastAsia="方正仿宋_GBK" w:cs="Times New Roman"/>
          <w:sz w:val="32"/>
          <w:szCs w:val="32"/>
        </w:rPr>
        <w:t>（渝委办发〔2017〕53号）文件精神，结合实际，现就我市农村集体经济组织成员身份确认（以下简称“成员身份确认”）提出如下指导意见。</w:t>
      </w:r>
    </w:p>
    <w:p w14:paraId="1DE0D7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一、总体要求</w:t>
      </w:r>
    </w:p>
    <w:p w14:paraId="6A6ED3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全面贯彻党的十九大精神，深入贯彻习近平总书记系列重要讲话精神，认真贯彻市委市政府一系列农业农村改革部署，以稳定完善农村基本经营制度为基础，以有效保护农村集体经济组织及其成员的合法权益为核心，坚持合法、合理、合情，坚持公正、公平、公开，积极稳妥开展成员身份确认，确保农村集体产权制度改革稳妥有序推进，为促进城乡要素平等交换、农村资源优化配置奠定基础。</w:t>
      </w:r>
    </w:p>
    <w:p w14:paraId="0E31D6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二、基本原则</w:t>
      </w:r>
    </w:p>
    <w:p w14:paraId="58D7E6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（一）依法依规</w:t>
      </w:r>
    </w:p>
    <w:p w14:paraId="6CCA8D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成员身份确认要以法律法规为依据、农村集体经济组织章程或村规民约为补充。凡是法律法规和政策已有明确规定的，要严格遵照执行；对于村规民约有约定的，在不违背法律法规和政策的前提下可按约定执行。</w:t>
      </w:r>
    </w:p>
    <w:p w14:paraId="0B9072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（二）尊重民意</w:t>
      </w:r>
    </w:p>
    <w:p w14:paraId="3589D2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充分尊重农村集体经济组织成员在身份确认中的主体地位，采取民主讨论的方式确定成员身份确认方案，最终成员名单由成员大会民主决定。确认过程中既要防止少数人侵犯多数人的权益，又要防止多数人侵害少数人的权益，也要保护妇女儿童的合法权益。</w:t>
      </w:r>
    </w:p>
    <w:p w14:paraId="5AE77D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（三）因地制宜</w:t>
      </w:r>
    </w:p>
    <w:p w14:paraId="0A6C84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成员身份确认既要尊重历史，也要兼顾现实，一般应统筹考虑户籍、居住地、土地承包经营权、对集体经济组织的贡献等因素。要结合当地农村经济社会发展实际，分类推进，不搞“一刀切”，杜绝行政“瞎指挥”，也要避免相邻区域同类人员成员身份确认出现重大差异。</w:t>
      </w:r>
    </w:p>
    <w:p w14:paraId="3D38C8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（四）稳妥审慎</w:t>
      </w:r>
    </w:p>
    <w:p w14:paraId="547D54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成员身份确认涉及面广、情况复杂，集体经济组织要在认真开展人员清理、全面摸清情况的基础上稳妥审慎推进。要充分保障公民权利，任何组织和个人不得以民族、性别、年龄、宗教信仰、教育程度、财产状况等理由，剥夺或非法限制其平等享有成员身份的权利。</w:t>
      </w:r>
    </w:p>
    <w:p w14:paraId="092723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三、成员身份的取得、保留与丧失</w:t>
      </w:r>
    </w:p>
    <w:p w14:paraId="32C2D1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意见所称的农村集体经济组织是按照“三级所有、队为基础”历史沿革，由原生产队、生产大队、人民公社经改革、改造、改组而形成的社区性合作经济组织，包括社（组）集体经济组织、村（居）集体经济组织等。农村集体经济组织成员，一般是指在本集体经济组织内生产、生活，遵守本集体经济组织章程，享有章程规定的权利并履行相应义务的居民。其成员身份的取得、保留或丧失可按照以下规定予以确认。</w:t>
      </w:r>
    </w:p>
    <w:p w14:paraId="27D5BE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 xml:space="preserve">    （一）成员身份的取得</w:t>
      </w:r>
    </w:p>
    <w:p w14:paraId="6230FB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具有下列情形之一的，取得本集体经济组织成员身份：</w:t>
      </w:r>
    </w:p>
    <w:p w14:paraId="30BD04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1．原</w:t>
      </w:r>
      <w:r>
        <w:rPr>
          <w:rFonts w:hint="default" w:ascii="Times New Roman" w:hAnsi="Times New Roman" w:eastAsia="方正仿宋_GBK" w:cs="Times New Roman"/>
          <w:color w:val="auto"/>
          <w:sz w:val="32"/>
          <w:u w:val="none"/>
        </w:rPr>
        <w:t>生产队</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u w:val="none"/>
        </w:rPr>
        <w:t>生产大队</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u w:val="none"/>
        </w:rPr>
        <w:t>人民公社</w:t>
      </w:r>
      <w:r>
        <w:rPr>
          <w:rFonts w:hint="default" w:ascii="Times New Roman" w:hAnsi="Times New Roman" w:eastAsia="方正仿宋_GBK" w:cs="Times New Roman"/>
          <w:sz w:val="32"/>
          <w:szCs w:val="32"/>
        </w:rPr>
        <w:t>的成员，且户口一直保留在本</w:t>
      </w:r>
      <w:r>
        <w:rPr>
          <w:rFonts w:hint="default" w:ascii="Times New Roman" w:hAnsi="Times New Roman" w:eastAsia="方正仿宋_GBK" w:cs="Times New Roman"/>
          <w:color w:val="auto"/>
          <w:sz w:val="32"/>
          <w:u w:val="none"/>
        </w:rPr>
        <w:t>农村集体经济组织</w:t>
      </w:r>
      <w:r>
        <w:rPr>
          <w:rFonts w:hint="default" w:ascii="Times New Roman" w:hAnsi="Times New Roman" w:eastAsia="方正仿宋_GBK" w:cs="Times New Roman"/>
          <w:sz w:val="32"/>
          <w:szCs w:val="32"/>
        </w:rPr>
        <w:t>所在地的；</w:t>
      </w:r>
    </w:p>
    <w:p w14:paraId="56A6C4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2．出生时，父母双方或一方为本集体经济组织成员的；</w:t>
      </w:r>
    </w:p>
    <w:p w14:paraId="6260CB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3．本集体经济组织成员依法收养的子女；</w:t>
      </w:r>
    </w:p>
    <w:p w14:paraId="637E3B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4．基于合法的婚姻关系,将户口迁入本集体经济组织所在地，并在本集体经济组织生产、生活的；</w:t>
      </w:r>
    </w:p>
    <w:p w14:paraId="31A38E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5．因国家建设或其他政策性原因，依规由本集体经济组织接收和安置，将户口迁入本集体经济组织所在地，并在本集体经济组织生产、生活的；</w:t>
      </w:r>
    </w:p>
    <w:p w14:paraId="120542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6．符合法律、法规、规章、政策和本集体经济组织章程等有关规定的。</w:t>
      </w:r>
    </w:p>
    <w:p w14:paraId="711BD2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（二）成员身份的保留</w:t>
      </w:r>
    </w:p>
    <w:p w14:paraId="3A612D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具有下列情形之一的，保留其集体经济组织成员身份：</w:t>
      </w:r>
    </w:p>
    <w:p w14:paraId="541C3A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1．原户籍在本集体经济组织，户口已迁入就读中小学校、中等职业学校和全日制大中专院校的学生，在读期间保留其集体经济组织成员身份；</w:t>
      </w:r>
    </w:p>
    <w:p w14:paraId="022075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2．原户籍在本集体经济组织的解放军、武警部队的现役义务兵；</w:t>
      </w:r>
    </w:p>
    <w:p w14:paraId="496D97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3．原户籍在本集体经济组织的服刑人员；</w:t>
      </w:r>
    </w:p>
    <w:p w14:paraId="171B52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4．按照渝府发〔2010〕78号文件规定转为城镇居民，但未退出农村承包土地的人员； </w:t>
      </w:r>
    </w:p>
    <w:p w14:paraId="30C8FF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5．符合法律、法规、规章、政策、本集体经济组织章程和村规民约等有关规定的，可保留成员身份。</w:t>
      </w:r>
    </w:p>
    <w:p w14:paraId="3AEB53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（三）成员身份的丧失</w:t>
      </w:r>
    </w:p>
    <w:p w14:paraId="37E522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具有下列情形之一的，丧失其集体经济组织成员身份：</w:t>
      </w:r>
    </w:p>
    <w:p w14:paraId="43A963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1．因死亡或符合法律规定宣告死亡的，自死亡或宣告死亡之日起丧失；</w:t>
      </w:r>
    </w:p>
    <w:p w14:paraId="1780B9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2．因取得其他集体经济组织成员身份的，自取得之日起丧失原集体经济组织成员身份；</w:t>
      </w:r>
    </w:p>
    <w:p w14:paraId="74CB38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3．因户口迁出本集体经济组织，且不符合保留成员身份规定的，自迁出之日起丧失；</w:t>
      </w:r>
    </w:p>
    <w:p w14:paraId="0FE7E0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4．因本集体经济组织依法解散的；</w:t>
      </w:r>
    </w:p>
    <w:p w14:paraId="27D326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5．按照法律、法规的规定不应保留的。</w:t>
      </w:r>
    </w:p>
    <w:p w14:paraId="547115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指导意见印发以前已确认为农村集体经济组织成员身份的，且符合法律、法规、规章、政策、本集体经济组织章程和村规民约等有关规定的，其集体经济组织成员身份继续有效。国家法律、法规、政策对农村集体经济组织成员身份确认另有规定的，从其规定。</w:t>
      </w:r>
    </w:p>
    <w:p w14:paraId="15974F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四、确认的一般程序</w:t>
      </w:r>
    </w:p>
    <w:p w14:paraId="3CB20D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已实施农村集体产权制度改革并健全了农村集体经济组织的，其成员身份确认原则上按照农村集体经济组织章程等规定，由农村集体经济组织负责实施；其他农村集体经济组织成员身份确认，可按照《村民委员会组织法》等规定，实行村民自治，由村民委员会（居民委员会，下同）、村民小组（居民小组，下同）代为组织实施，原则上参照以下程序。</w:t>
      </w:r>
    </w:p>
    <w:p w14:paraId="1725B4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组建工作机构。在村党组织的领导下，由集体经济组织所在地的村（组）召开村民会议，选举产生由村（组）干部、村民代表组成的农村集体经济组织成员身份确认工作机构，负责该集体经济组织成员身份确认相关事宜。</w:t>
      </w:r>
    </w:p>
    <w:p w14:paraId="2F9C4B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2．制定工作方案。由工作机构依据有关法律、法规和政策等规定制定方案，明确工作细则和具体要求。</w:t>
      </w:r>
    </w:p>
    <w:p w14:paraId="7AE1E1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3．开展宣传动员。采取群众喜闻乐见的方式，广泛宣传成员身份确认的目的意义，让广大农民群众知晓法律、法规和政策，积极参与成员身份确认工作。</w:t>
      </w:r>
    </w:p>
    <w:p w14:paraId="366B42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全面调查摸底。由工作机构收集整理有关档案和证明材料，进行真实性审查，并汇总分析人员名单和结构，以及加入或退出集体经济组织的渠道等。对审查后的人员名单在村（居）务公开栏和各社（组）、村民自然居住地进行第一次公示，公示期不少于7个工作日，并通过各种方式告知相关人员，确保户户知晓、人人明白。</w:t>
      </w:r>
    </w:p>
    <w:p w14:paraId="7DFDBB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实施民主决策。依据摸底调查和第一次公示结果，由工作机构在充分分析研究的基础上，提出成员身份确认的初步意见及其依据，形成成员建议名单，并进行第二次公示。公示无异议后，提交村民大会或村民代表大会进行讨论，经三分之二以上的村民或村民代表同意后，确定本集体经济组织成员名单。</w:t>
      </w:r>
    </w:p>
    <w:p w14:paraId="4A612C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公示确认结果。将村民大会或村民代表大会审议通过的成员名单等资料进行第三次公示。公示无异议的，对成员进行造册登记，由每名成员签字确认其成员身份。公示有异议的，由工作机构重新核查，若分歧较大，需重新提交村民会议或村民代表大会讨论决定。</w:t>
      </w:r>
    </w:p>
    <w:p w14:paraId="520744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报送备案归档。全面收集成员身份确认有关的会议记录、实施方案、公示材料、相关证明材料、成员名册、图片影像等重要资料的纸质件原件、电子件，整理成册并按有关规定留存归档，报乡（镇）人民政府、街道办事处备案。成员名册报区县（自治县）农业行政主管部门备案。</w:t>
      </w:r>
    </w:p>
    <w:p w14:paraId="3A778B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五、组织保障</w:t>
      </w:r>
    </w:p>
    <w:p w14:paraId="395E61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区县（自治县）农业行政主管部门要高度重视成员身份确认工作，按照当地党委、政府的统一安排部署，切实加强组织领导，建立健全工作机制，落实工作职责，做好成员身份确认工作的指导、监督和服务。要加强与组织、财政、国土、民政、公安等部门的沟通协调，协同推进成员身份确认工作有序、规范开展。要加强舆情调查研究，及时发现和妥善解决工作中出现的新情况、新问题，确保农村社会和谐稳定。</w:t>
      </w:r>
    </w:p>
    <w:p w14:paraId="016ADC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各地可结合实际制定成员身份确认的具体意见。</w:t>
      </w:r>
    </w:p>
    <w:p w14:paraId="01A3796C">
      <w:pPr>
        <w:keepNext w:val="0"/>
        <w:keepLines w:val="0"/>
        <w:pageBreakBefore w:val="0"/>
        <w:widowControl/>
        <w:kinsoku/>
        <w:wordWrap/>
        <w:overflowPunct/>
        <w:topLinePunct w:val="0"/>
        <w:autoSpaceDE/>
        <w:autoSpaceDN/>
        <w:bidi w:val="0"/>
        <w:adjustRightInd/>
        <w:snapToGrid/>
        <w:spacing w:line="300" w:lineRule="exact"/>
        <w:ind w:firstLine="480" w:firstLineChars="200"/>
        <w:jc w:val="left"/>
        <w:textAlignment w:val="auto"/>
        <w:rPr>
          <w:rFonts w:hint="default" w:ascii="Times New Roman" w:hAnsi="Times New Roman" w:eastAsia="方正仿宋_GBK" w:cs="Times New Roman"/>
          <w:sz w:val="24"/>
          <w:lang w:val="en-US" w:eastAsia="zh-CN"/>
        </w:rPr>
      </w:pPr>
    </w:p>
    <w:sectPr>
      <w:headerReference r:id="rId7" w:type="default"/>
      <w:footerReference r:id="rId8"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微软雅黑">
    <w:altName w:val="方正黑体_GBK"/>
    <w:panose1 w:val="020B0503020204020204"/>
    <w:charset w:val="86"/>
    <w:family w:val="swiss"/>
    <w:pitch w:val="default"/>
    <w:sig w:usb0="00000000" w:usb1="00000000" w:usb2="00000016" w:usb3="00000000" w:csb0="0004001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0000000000000000000"/>
    <w:charset w:val="86"/>
    <w:family w:val="modern"/>
    <w:pitch w:val="default"/>
    <w:sig w:usb0="00000000" w:usb1="00000000" w:usb2="00000010" w:usb3="00000000" w:csb0="00040000" w:csb1="00000000"/>
  </w:font>
  <w:font w:name="DejaVu Sans">
    <w:panose1 w:val="020B0603030804020204"/>
    <w:charset w:val="00"/>
    <w:family w:val="auto"/>
    <w:pitch w:val="default"/>
    <w:sig w:usb0="E7006EFF" w:usb1="D200FDFF" w:usb2="0A246029" w:usb3="0400200C" w:csb0="600001FF" w:csb1="DFFF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1A6B2">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46C04">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CD46C04">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436F9977">
    <w:pPr>
      <w:pStyle w:val="5"/>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云阳县人民政府办公室发布     </w:t>
    </w:r>
  </w:p>
  <w:p w14:paraId="260D019E">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979E9">
    <w:pPr>
      <w:pStyle w:val="5"/>
      <w:ind w:left="4788" w:leftChars="2280" w:firstLine="6400" w:firstLineChars="2000"/>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3360" behindDoc="0" locked="0" layoutInCell="1" allowOverlap="1">
              <wp:simplePos x="0" y="0"/>
              <wp:positionH relativeFrom="column">
                <wp:posOffset>-19050</wp:posOffset>
              </wp:positionH>
              <wp:positionV relativeFrom="paragraph">
                <wp:posOffset>191770</wp:posOffset>
              </wp:positionV>
              <wp:extent cx="8263890" cy="1841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8263890" cy="1841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5.1pt;height:1.45pt;width:650.7pt;z-index:251663360;mso-width-relative:page;mso-height-relative:page;" filled="f" stroked="t" coordsize="21600,21600" o:gfxdata="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jn&#10;HxrWAAAACQEAAA8AAAAAAAAAAQAgAAAAIgAAAGRycy9kb3ducmV2LnhtbFBLAQIUABQAAAAIAIdO&#10;4kCVraI37AEAALgDAAAOAAAAAAAAAAEAIAAAACUBAABkcnMvZTJvRG9jLnhtbFBLBQYAAAAABgAG&#10;AFkBAACDBQ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ECDC23">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1ECDC23">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r>
      <w:rPr>
        <w:rFonts w:hint="eastAsia" w:ascii="宋体" w:hAnsi="宋体" w:eastAsia="宋体" w:cs="宋体"/>
        <w:b/>
        <w:bCs/>
        <w:color w:val="005192"/>
        <w:sz w:val="28"/>
        <w:szCs w:val="44"/>
        <w:lang w:val="en-US" w:eastAsia="zh-CN"/>
      </w:rPr>
      <w:t xml:space="preserve"> </w:t>
    </w:r>
  </w:p>
  <w:p w14:paraId="3F4B9248">
    <w:pPr>
      <w:pStyle w:val="5"/>
      <w:wordWrap w:val="0"/>
      <w:jc w:val="right"/>
      <w:rPr>
        <w:rFonts w:hint="default"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 xml:space="preserve">云阳县人民政府办公室发布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3F63F">
    <w:pPr>
      <w:pStyle w:val="4"/>
      <w:tabs>
        <w:tab w:val="left" w:pos="8019"/>
        <w:tab w:val="clear" w:pos="4153"/>
      </w:tabs>
      <w:rPr>
        <w:rFonts w:hint="eastAsia" w:ascii="宋体" w:hAnsi="宋体" w:eastAsia="宋体" w:cs="宋体"/>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lang w:eastAsia="zh-CN"/>
      </w:rPr>
      <w:tab/>
    </w:r>
  </w:p>
  <w:p w14:paraId="720A8AF2">
    <w:pPr>
      <w:pStyle w:val="4"/>
      <w:tabs>
        <w:tab w:val="left" w:pos="8019"/>
        <w:tab w:val="clear" w:pos="4153"/>
      </w:tabs>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6432" behindDoc="0" locked="0" layoutInCell="1" allowOverlap="1">
              <wp:simplePos x="0" y="0"/>
              <wp:positionH relativeFrom="column">
                <wp:posOffset>-3810</wp:posOffset>
              </wp:positionH>
              <wp:positionV relativeFrom="paragraph">
                <wp:posOffset>99060</wp:posOffset>
              </wp:positionV>
              <wp:extent cx="5629275" cy="1905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5629275" cy="1905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7.8pt;height:1.5pt;width:443.25pt;z-index:251666432;mso-width-relative:page;mso-height-relative:page;" filled="f" stroked="t" coordsize="21600,21600" o:gfxdata="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5XjmvT&#10;AAAABwEAAA8AAAAAAAAAAQAgAAAAIgAAAGRycy9kb3ducmV2LnhtbFBLAQIUABQAAAAIAIdO4kA3&#10;BJd97AEAALgDAAAOAAAAAAAAAAEAIAAAACIBAABkcnMvZTJvRG9jLnhtbFBLBQYAAAAABgAGAFkB&#10;AACABQAAAAA=&#10;">
              <v:fill on="f" focussize="0,0"/>
              <v:stroke weight="1.75pt" color="#005192 [3204]" miterlimit="8" joinstyle="miter"/>
              <v:imagedata o:title=""/>
              <o:lock v:ext="edit" aspectratio="f"/>
            </v:line>
          </w:pict>
        </mc:Fallback>
      </mc:AlternateContent>
    </w:r>
  </w:p>
  <w:p w14:paraId="5741AF9E">
    <w:pPr>
      <w:pStyle w:val="4"/>
      <w:tabs>
        <w:tab w:val="left" w:pos="8019"/>
        <w:tab w:val="clear" w:pos="4153"/>
      </w:tabs>
      <w:jc w:val="center"/>
      <w:rPr>
        <w:rFonts w:hint="default"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1590F">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8F1590F">
                    <w:pPr>
                      <w:rPr>
                        <w:rFonts w:hint="eastAsia"/>
                      </w:rPr>
                    </w:pPr>
                  </w:p>
                </w:txbxContent>
              </v:textbox>
            </v:shape>
          </w:pict>
        </mc:Fallback>
      </mc:AlternateContent>
    </w:r>
    <w:r>
      <w:rPr>
        <w:rFonts w:hint="eastAsia" w:ascii="宋体" w:hAnsi="宋体" w:eastAsia="宋体" w:cs="宋体"/>
        <w:b/>
        <w:bCs/>
        <w:color w:val="005192"/>
        <w:sz w:val="28"/>
        <w:szCs w:val="44"/>
        <w:lang w:val="en-US" w:eastAsia="zh-CN"/>
      </w:rPr>
      <w:t xml:space="preserve">                              云阳县人民政府办公室发布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56CD7">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16B1D64E">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云阳县人民政府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E44BF">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宋体" w:hAnsi="宋体" w:eastAsia="宋体" w:cs="宋体"/>
        <w:b/>
        <w:bCs/>
        <w:color w:val="005192"/>
        <w:sz w:val="32"/>
      </w:rPr>
      <w:drawing>
        <wp:inline distT="0" distB="0" distL="114300" distR="114300">
          <wp:extent cx="308610" cy="308610"/>
          <wp:effectExtent l="0" t="0" r="15240" b="15240"/>
          <wp:docPr id="9" name="图片 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云阳县人民政府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p w14:paraId="62AB8CD5">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color w:val="FAFAFA"/>
        <w:sz w:val="32"/>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46355</wp:posOffset>
              </wp:positionV>
              <wp:extent cx="8239125" cy="8255"/>
              <wp:effectExtent l="0" t="0" r="0" b="0"/>
              <wp:wrapNone/>
              <wp:docPr id="11" name="直接连接符 11"/>
              <wp:cNvGraphicFramePr/>
              <a:graphic xmlns:a="http://schemas.openxmlformats.org/drawingml/2006/main">
                <a:graphicData uri="http://schemas.microsoft.com/office/word/2010/wordprocessingShape">
                  <wps:wsp>
                    <wps:cNvCnPr/>
                    <wps:spPr>
                      <a:xfrm flipV="1">
                        <a:off x="0" y="0"/>
                        <a:ext cx="8239125" cy="825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2pt;margin-top:3.65pt;height:0.65pt;width:648.75pt;z-index:251662336;mso-width-relative:page;mso-height-relative:page;" filled="f" stroked="t" coordsize="21600,21600" o:gfxdata="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XLgmtcAAAAGAQAADwAAAAAAAAABACAAAAAiAAAAZHJzL2Rvd25yZXYueG1sUEsBAhQAFAAA&#10;AAgAh07iQArpL1fwAQAAwQMAAA4AAAAAAAAAAQAgAAAAJgEAAGRycy9lMm9Eb2MueG1sUEsFBgAA&#10;AAAGAAYAWQEAAIgFAAAAAA==&#10;">
              <v:fill on="f" focussize="0,0"/>
              <v:stroke weight="1.75pt" color="#005192 [3204]" miterlimit="8" joinstyle="miter"/>
              <v:imagedata o:title=""/>
              <o:lock v:ext="edit" aspectratio="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BD6F9">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宋体" w:hAnsi="宋体" w:eastAsia="宋体" w:cs="宋体"/>
        <w:b/>
        <w:bCs/>
        <w:color w:val="005192"/>
        <w:sz w:val="32"/>
      </w:rPr>
      <w:drawing>
        <wp:inline distT="0" distB="0" distL="114300" distR="114300">
          <wp:extent cx="308610" cy="308610"/>
          <wp:effectExtent l="0" t="0" r="15240" b="15240"/>
          <wp:docPr id="14" name="图片 14"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云阳县人民政府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p w14:paraId="0B4B0924">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color w:val="FAFAFA"/>
        <w:sz w:val="32"/>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89535</wp:posOffset>
              </wp:positionV>
              <wp:extent cx="5581650" cy="3175"/>
              <wp:effectExtent l="0" t="10795" r="0" b="14605"/>
              <wp:wrapNone/>
              <wp:docPr id="15" name="直接连接符 15"/>
              <wp:cNvGraphicFramePr/>
              <a:graphic xmlns:a="http://schemas.openxmlformats.org/drawingml/2006/main">
                <a:graphicData uri="http://schemas.microsoft.com/office/word/2010/wordprocessingShape">
                  <wps:wsp>
                    <wps:cNvCnPr/>
                    <wps:spPr>
                      <a:xfrm flipV="1">
                        <a:off x="0" y="0"/>
                        <a:ext cx="5581650" cy="317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3pt;margin-top:7.05pt;height:0.25pt;width:439.5pt;z-index:251665408;mso-width-relative:page;mso-height-relative:page;" filled="f" stroked="t" coordsize="21600,21600" o:gfxdata="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HUafbWAAAABwEAAA8AAAAAAAAAAQAgAAAAIgAAAGRycy9kb3ducmV2LnhtbFBLAQIUABQA&#10;AAAIAIdO4kAfR0Me8gEAAMEDAAAOAAAAAAAAAAEAIAAAACUBAABkcnMvZTJvRG9jLnhtbFBLBQYA&#10;AAAABgAGAFkBAACJBQAAAAA=&#10;">
              <v:fill on="f" focussize="0,0"/>
              <v:stroke weight="1.75pt" color="#005192 [3204]"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91873"/>
    <w:multiLevelType w:val="singleLevel"/>
    <w:tmpl w:val="5B691873"/>
    <w:lvl w:ilvl="0" w:tentative="0">
      <w:start w:val="1"/>
      <w:numFmt w:val="chineseCounting"/>
      <w:suff w:val="nothing"/>
      <w:lvlText w:val="（%1）"/>
      <w:lvlJc w:val="left"/>
    </w:lvl>
  </w:abstractNum>
  <w:abstractNum w:abstractNumId="1">
    <w:nsid w:val="5B691906"/>
    <w:multiLevelType w:val="singleLevel"/>
    <w:tmpl w:val="5B691906"/>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jOTZjZWRkNmZlMzEzY2Q2YWQzYTJmZjhlZDQ5MWMifQ=="/>
  </w:docVars>
  <w:rsids>
    <w:rsidRoot w:val="00172A27"/>
    <w:rsid w:val="019E71BD"/>
    <w:rsid w:val="041C42DA"/>
    <w:rsid w:val="04B679C3"/>
    <w:rsid w:val="053C7F53"/>
    <w:rsid w:val="05F07036"/>
    <w:rsid w:val="06E00104"/>
    <w:rsid w:val="080F63D8"/>
    <w:rsid w:val="084F18AF"/>
    <w:rsid w:val="09341458"/>
    <w:rsid w:val="098254C2"/>
    <w:rsid w:val="0A766EDE"/>
    <w:rsid w:val="0AD64BE8"/>
    <w:rsid w:val="0B0912D7"/>
    <w:rsid w:val="0E025194"/>
    <w:rsid w:val="152D2DCA"/>
    <w:rsid w:val="15964AE3"/>
    <w:rsid w:val="187168EA"/>
    <w:rsid w:val="196673CA"/>
    <w:rsid w:val="1B2F4AEE"/>
    <w:rsid w:val="1CF734C9"/>
    <w:rsid w:val="1DEC284C"/>
    <w:rsid w:val="1E6523AC"/>
    <w:rsid w:val="22440422"/>
    <w:rsid w:val="22BB4BBB"/>
    <w:rsid w:val="269E208C"/>
    <w:rsid w:val="2AEB3417"/>
    <w:rsid w:val="2B520911"/>
    <w:rsid w:val="31A15F24"/>
    <w:rsid w:val="324A1681"/>
    <w:rsid w:val="36FB1DF0"/>
    <w:rsid w:val="395347B5"/>
    <w:rsid w:val="39A232A0"/>
    <w:rsid w:val="39E745AA"/>
    <w:rsid w:val="3B5A6BBB"/>
    <w:rsid w:val="3EDA13A6"/>
    <w:rsid w:val="415E4982"/>
    <w:rsid w:val="417B75E9"/>
    <w:rsid w:val="42F058B7"/>
    <w:rsid w:val="436109F6"/>
    <w:rsid w:val="441A38D4"/>
    <w:rsid w:val="44EC44AD"/>
    <w:rsid w:val="4504239D"/>
    <w:rsid w:val="48F87CB6"/>
    <w:rsid w:val="4BC77339"/>
    <w:rsid w:val="4C9236C5"/>
    <w:rsid w:val="4E250A85"/>
    <w:rsid w:val="4F9163EF"/>
    <w:rsid w:val="4FFD4925"/>
    <w:rsid w:val="505C172E"/>
    <w:rsid w:val="506405EA"/>
    <w:rsid w:val="52F46F0B"/>
    <w:rsid w:val="532B6A10"/>
    <w:rsid w:val="53D8014D"/>
    <w:rsid w:val="55E064E0"/>
    <w:rsid w:val="572C6D10"/>
    <w:rsid w:val="5DC34279"/>
    <w:rsid w:val="5FCD688E"/>
    <w:rsid w:val="5FF9BDAA"/>
    <w:rsid w:val="5FFE5333"/>
    <w:rsid w:val="608816D1"/>
    <w:rsid w:val="60EF4E7F"/>
    <w:rsid w:val="648B0A32"/>
    <w:rsid w:val="665233C1"/>
    <w:rsid w:val="69AC0D42"/>
    <w:rsid w:val="6AD9688B"/>
    <w:rsid w:val="6D0E3F22"/>
    <w:rsid w:val="703071AC"/>
    <w:rsid w:val="744E4660"/>
    <w:rsid w:val="753355A2"/>
    <w:rsid w:val="759F1C61"/>
    <w:rsid w:val="769F2DE8"/>
    <w:rsid w:val="76FDEB7C"/>
    <w:rsid w:val="79C65162"/>
    <w:rsid w:val="7B8A4C7B"/>
    <w:rsid w:val="7BB40020"/>
    <w:rsid w:val="7C9011D9"/>
    <w:rsid w:val="7DC651C5"/>
    <w:rsid w:val="7DEB46A3"/>
    <w:rsid w:val="7DF350ED"/>
    <w:rsid w:val="7F9DA0E8"/>
    <w:rsid w:val="7FCC2834"/>
    <w:rsid w:val="7FF6A4EF"/>
    <w:rsid w:val="92DD1CEF"/>
    <w:rsid w:val="BFEF4CEA"/>
    <w:rsid w:val="F05B4F69"/>
    <w:rsid w:val="F2FFCA13"/>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character" w:styleId="10">
    <w:name w:val="Hyperlink"/>
    <w:basedOn w:val="8"/>
    <w:unhideWhenUsed/>
    <w:qFormat/>
    <w:uiPriority w:val="99"/>
    <w:rPr>
      <w:color w:val="0000FF"/>
      <w:u w:val="single"/>
    </w:rPr>
  </w:style>
  <w:style w:type="paragraph" w:customStyle="1" w:styleId="11">
    <w:name w:val="p0"/>
    <w:basedOn w:val="1"/>
    <w:qFormat/>
    <w:uiPriority w:val="0"/>
    <w:pPr>
      <w:widowControl/>
    </w:pPr>
    <w:rPr>
      <w:rFonts w:ascii="Calibri" w:hAnsi="Calibri" w:eastAsia="宋体" w:cs="宋体"/>
      <w:kern w:val="0"/>
      <w:szCs w:val="32"/>
    </w:rPr>
  </w:style>
  <w:style w:type="paragraph" w:customStyle="1" w:styleId="12">
    <w:name w:val="列出段落1"/>
    <w:basedOn w:val="1"/>
    <w:qFormat/>
    <w:uiPriority w:val="34"/>
    <w:pPr>
      <w:widowControl/>
      <w:adjustRightInd w:val="0"/>
      <w:snapToGrid w:val="0"/>
      <w:spacing w:after="200"/>
      <w:ind w:firstLine="420" w:firstLineChars="200"/>
      <w:jc w:val="left"/>
    </w:pPr>
    <w:rPr>
      <w:rFonts w:ascii="Tahoma" w:hAnsi="Tahoma" w:eastAsia="微软雅黑" w:cs="Times New Roman"/>
      <w:kern w:val="0"/>
      <w:sz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8346</Words>
  <Characters>8458</Characters>
  <Lines>1</Lines>
  <Paragraphs>1</Paragraphs>
  <TotalTime>11</TotalTime>
  <ScaleCrop>false</ScaleCrop>
  <LinksUpToDate>false</LinksUpToDate>
  <CharactersWithSpaces>8547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2021-09-11T18:41:00Z</dcterms:created>
  <dc:creator>t</dc:creator>
  <cp:lastModifiedBy>云阳县司法局任杰</cp:lastModifiedBy>
  <cp:lastPrinted>2022-05-12T16:46:00Z</cp:lastPrinted>
  <dcterms:modified xsi:type="dcterms:W3CDTF">2026-07-28T11:52:30Z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D5E7DBCE3E2D4910BF6833F63DE15DD8</vt:lpwstr>
  </property>
</Properties>
</file>