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DC072">
      <w:pPr>
        <w:spacing w:line="580" w:lineRule="exact"/>
        <w:rPr>
          <w:rFonts w:eastAsia="方正仿宋_GBK"/>
          <w:sz w:val="32"/>
          <w:szCs w:val="32"/>
        </w:rPr>
      </w:pPr>
      <w:bookmarkStart w:id="0" w:name="_GoBack"/>
      <w:bookmarkEnd w:id="0"/>
    </w:p>
    <w:p w14:paraId="14E17B22">
      <w:pPr>
        <w:spacing w:line="580" w:lineRule="exact"/>
        <w:rPr>
          <w:rFonts w:ascii="方正小标宋_GBK" w:hAnsi="黑体" w:eastAsia="方正小标宋_GBK"/>
          <w:sz w:val="44"/>
          <w:szCs w:val="44"/>
        </w:rPr>
      </w:pPr>
    </w:p>
    <w:p w14:paraId="6B48126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sz w:val="44"/>
          <w:szCs w:val="44"/>
        </w:rPr>
      </w:pPr>
      <w:r>
        <w:rPr>
          <w:rStyle w:val="12"/>
          <w:rFonts w:hint="eastAsia" w:ascii="方正小标宋_GBK" w:hAnsi="方正小标宋_GBK" w:eastAsia="方正小标宋_GBK" w:cs="方正小标宋_GBK"/>
          <w:b w:val="0"/>
          <w:bCs w:val="0"/>
          <w:sz w:val="44"/>
          <w:szCs w:val="44"/>
        </w:rPr>
        <w:t>云阳县人民政府</w:t>
      </w:r>
    </w:p>
    <w:p w14:paraId="5AC72C0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sz w:val="44"/>
          <w:szCs w:val="44"/>
        </w:rPr>
      </w:pPr>
      <w:r>
        <w:rPr>
          <w:rStyle w:val="12"/>
          <w:rFonts w:hint="eastAsia" w:ascii="方正小标宋_GBK" w:hAnsi="方正小标宋_GBK" w:eastAsia="方正小标宋_GBK" w:cs="方正小标宋_GBK"/>
          <w:b w:val="0"/>
          <w:bCs w:val="0"/>
          <w:sz w:val="44"/>
          <w:szCs w:val="44"/>
        </w:rPr>
        <w:t>关于取消一批行政权力事项的决定</w:t>
      </w:r>
    </w:p>
    <w:p w14:paraId="63FCB6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云阳府发〔</w:t>
      </w:r>
      <w:r>
        <w:rPr>
          <w:rFonts w:hint="default" w:ascii="Times New Roman" w:hAnsi="Times New Roman" w:eastAsia="方正仿宋_GBK" w:cs="Times New Roman"/>
          <w:kern w:val="0"/>
          <w:sz w:val="32"/>
          <w:szCs w:val="32"/>
        </w:rPr>
        <w:t>2020</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8</w:t>
      </w:r>
      <w:r>
        <w:rPr>
          <w:rFonts w:hint="eastAsia" w:ascii="方正仿宋_GBK" w:hAnsi="方正仿宋_GBK" w:eastAsia="方正仿宋_GBK" w:cs="方正仿宋_GBK"/>
          <w:kern w:val="0"/>
          <w:sz w:val="32"/>
          <w:szCs w:val="32"/>
        </w:rPr>
        <w:t>号</w:t>
      </w:r>
    </w:p>
    <w:p w14:paraId="267DC2DB">
      <w:pPr>
        <w:pStyle w:val="9"/>
        <w:spacing w:beforeAutospacing="0" w:afterAutospacing="0" w:line="578" w:lineRule="exact"/>
        <w:rPr>
          <w:sz w:val="30"/>
          <w:szCs w:val="30"/>
        </w:rPr>
      </w:pPr>
    </w:p>
    <w:p w14:paraId="16737DDC">
      <w:pPr>
        <w:pStyle w:val="9"/>
        <w:keepNext w:val="0"/>
        <w:keepLines w:val="0"/>
        <w:pageBreakBefore w:val="0"/>
        <w:kinsoku/>
        <w:overflowPunct/>
        <w:topLinePunct w:val="0"/>
        <w:autoSpaceDE/>
        <w:autoSpaceDN/>
        <w:bidi w:val="0"/>
        <w:adjustRightInd/>
        <w:snapToGrid/>
        <w:spacing w:beforeAutospacing="0" w:afterAutospacing="0"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各乡镇人民政府，街道办事处，县政府有关部门，有关单位：</w:t>
      </w:r>
    </w:p>
    <w:p w14:paraId="442C316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为贯彻落实《国务院关于加快推进全国一体化在线政务服务平台建设的指导意见》（国发〔</w:t>
      </w:r>
      <w:r>
        <w:rPr>
          <w:rFonts w:ascii="Times New Roman" w:hAnsi="Times New Roman" w:eastAsia="方正仿宋_GBK"/>
          <w:sz w:val="32"/>
          <w:szCs w:val="32"/>
        </w:rPr>
        <w:t>2018</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27</w:t>
      </w:r>
      <w:r>
        <w:rPr>
          <w:rFonts w:hint="eastAsia" w:ascii="方正仿宋_GBK" w:hAnsi="方正仿宋_GBK" w:eastAsia="方正仿宋_GBK" w:cs="方正仿宋_GBK"/>
          <w:sz w:val="32"/>
          <w:szCs w:val="32"/>
        </w:rPr>
        <w:t>号）精神，准确编制我县行政权力事项清单，按照《重庆市人民政府关于取消一批行政权力事项的决定》（渝府发〔</w:t>
      </w:r>
      <w:r>
        <w:rPr>
          <w:rFonts w:hint="eastAsia" w:ascii="Times New Roman" w:hAnsi="Times New Roman" w:eastAsia="方正仿宋_GBK"/>
          <w:sz w:val="32"/>
          <w:szCs w:val="32"/>
        </w:rPr>
        <w:t>2019〕27</w:t>
      </w:r>
      <w:r>
        <w:rPr>
          <w:rFonts w:hint="eastAsia" w:ascii="方正仿宋_GBK" w:hAnsi="方正仿宋_GBK" w:eastAsia="方正仿宋_GBK" w:cs="方正仿宋_GBK"/>
          <w:sz w:val="32"/>
          <w:szCs w:val="32"/>
        </w:rPr>
        <w:t>号）的规定，经对全县行政权力事项进行全面清理和严格审核论证，县政府决定取消行政权力设立依据不足或与改革精神不符、与实际工作脱节的</w:t>
      </w:r>
      <w:r>
        <w:rPr>
          <w:rFonts w:hint="eastAsia" w:ascii="Times New Roman" w:hAnsi="Times New Roman" w:eastAsia="方正仿宋_GBK"/>
          <w:sz w:val="32"/>
          <w:szCs w:val="32"/>
        </w:rPr>
        <w:t>142项</w:t>
      </w:r>
      <w:r>
        <w:rPr>
          <w:rFonts w:hint="eastAsia" w:ascii="方正仿宋_GBK" w:hAnsi="方正仿宋_GBK" w:eastAsia="方正仿宋_GBK" w:cs="方正仿宋_GBK"/>
          <w:sz w:val="32"/>
          <w:szCs w:val="32"/>
        </w:rPr>
        <w:t>行政权力事项，现予以公布，自公布之日起实施。</w:t>
      </w:r>
    </w:p>
    <w:p w14:paraId="4C97A7C6">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街道）、县政府有关部门、有关单位要做好取消行政权力事项的落实和衔接工作，加快配套制度建设，完善工作措施，切实强化事中事后监管。要进一步深化“放管服”改革，规范行政权力运行，降低制度性交易成本，提升政府治理能力和治理水平，提升群众和企业的获得感、满意度。</w:t>
      </w:r>
    </w:p>
    <w:p w14:paraId="116F521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687" w:rightChars="327" w:firstLine="640" w:firstLineChars="200"/>
        <w:textAlignment w:val="auto"/>
        <w:rPr>
          <w:rFonts w:ascii="方正仿宋_GBK" w:hAnsi="方正仿宋_GBK" w:eastAsia="方正仿宋_GBK" w:cs="方正仿宋_GBK"/>
          <w:sz w:val="32"/>
          <w:szCs w:val="32"/>
        </w:rPr>
      </w:pPr>
    </w:p>
    <w:p w14:paraId="149E5ECE">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附件：云阳县决定取消的行政权力事项清单</w:t>
      </w:r>
    </w:p>
    <w:p w14:paraId="2812EB8D">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14:paraId="7998C344">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14:paraId="43F6A785">
      <w:pPr>
        <w:pStyle w:val="9"/>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sz w:val="32"/>
          <w:szCs w:val="32"/>
        </w:rPr>
      </w:pPr>
    </w:p>
    <w:p w14:paraId="5D7128E3">
      <w:pPr>
        <w:keepNext w:val="0"/>
        <w:keepLines w:val="0"/>
        <w:pageBreakBefore w:val="0"/>
        <w:widowControl/>
        <w:shd w:val="clear" w:color="auto" w:fill="FFFFFF"/>
        <w:kinsoku/>
        <w:wordWrap/>
        <w:overflowPunct/>
        <w:topLinePunct w:val="0"/>
        <w:autoSpaceDE/>
        <w:autoSpaceDN/>
        <w:bidi w:val="0"/>
        <w:adjustRightInd/>
        <w:snapToGrid/>
        <w:spacing w:line="600" w:lineRule="exact"/>
        <w:ind w:right="420" w:rightChars="200" w:firstLine="0"/>
        <w:jc w:val="right"/>
        <w:textAlignment w:val="auto"/>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云阳县人民政府</w:t>
      </w:r>
    </w:p>
    <w:p w14:paraId="7216E13C">
      <w:pPr>
        <w:keepNext w:val="0"/>
        <w:keepLines w:val="0"/>
        <w:pageBreakBefore w:val="0"/>
        <w:widowControl/>
        <w:shd w:val="clear" w:color="auto" w:fill="FFFFFF"/>
        <w:kinsoku/>
        <w:overflowPunct/>
        <w:topLinePunct w:val="0"/>
        <w:autoSpaceDE/>
        <w:autoSpaceDN/>
        <w:bidi w:val="0"/>
        <w:adjustRightInd/>
        <w:snapToGrid/>
        <w:spacing w:line="600" w:lineRule="exact"/>
        <w:ind w:right="320"/>
        <w:jc w:val="right"/>
        <w:textAlignment w:val="auto"/>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2020年3月12日</w:t>
      </w:r>
    </w:p>
    <w:p w14:paraId="17F83EC4">
      <w:pPr>
        <w:pStyle w:val="9"/>
        <w:keepNext w:val="0"/>
        <w:keepLines w:val="0"/>
        <w:pageBreakBefore w:val="0"/>
        <w:tabs>
          <w:tab w:val="left" w:pos="8127"/>
        </w:tabs>
        <w:kinsoku/>
        <w:wordWrap w:val="0"/>
        <w:overflowPunct/>
        <w:topLinePunct w:val="0"/>
        <w:autoSpaceDE/>
        <w:autoSpaceDN/>
        <w:bidi w:val="0"/>
        <w:adjustRightInd/>
        <w:snapToGrid/>
        <w:spacing w:beforeAutospacing="0" w:afterAutospacing="0" w:line="600" w:lineRule="exact"/>
        <w:ind w:firstLine="6080" w:firstLineChars="1900"/>
        <w:jc w:val="right"/>
        <w:textAlignment w:val="auto"/>
        <w:rPr>
          <w:rFonts w:ascii="Times New Roman" w:hAnsi="Times New Roman" w:eastAsia="方正仿宋_GBK"/>
          <w:sz w:val="32"/>
          <w:szCs w:val="32"/>
        </w:rPr>
      </w:pPr>
      <w:r>
        <w:rPr>
          <w:rFonts w:hint="eastAsia" w:ascii="Times New Roman" w:hAnsi="Times New Roman" w:eastAsia="方正仿宋_GBK"/>
          <w:sz w:val="32"/>
          <w:szCs w:val="32"/>
        </w:rPr>
        <w:t xml:space="preserve">    </w:t>
      </w:r>
    </w:p>
    <w:p w14:paraId="62A6489A">
      <w:pPr>
        <w:widowControl/>
        <w:adjustRightInd w:val="0"/>
        <w:snapToGrid w:val="0"/>
        <w:spacing w:line="640" w:lineRule="exact"/>
        <w:jc w:val="center"/>
        <w:rPr>
          <w:rFonts w:ascii="方正小标宋_GBK" w:hAnsi="方正小标宋_GBK" w:eastAsia="方正小标宋_GBK" w:cs="方正小标宋_GBK"/>
          <w:sz w:val="36"/>
          <w:szCs w:val="36"/>
        </w:rPr>
      </w:pPr>
    </w:p>
    <w:p w14:paraId="0D6CEAAF">
      <w:pPr>
        <w:widowControl/>
        <w:adjustRightInd w:val="0"/>
        <w:snapToGrid w:val="0"/>
        <w:spacing w:line="640" w:lineRule="exact"/>
        <w:jc w:val="center"/>
        <w:rPr>
          <w:rFonts w:ascii="方正小标宋_GBK" w:hAnsi="方正小标宋_GBK" w:eastAsia="方正小标宋_GBK" w:cs="方正小标宋_GBK"/>
          <w:sz w:val="36"/>
          <w:szCs w:val="36"/>
        </w:rPr>
      </w:pPr>
    </w:p>
    <w:p w14:paraId="0D0008B5">
      <w:pPr>
        <w:widowControl/>
        <w:adjustRightInd w:val="0"/>
        <w:snapToGrid w:val="0"/>
        <w:spacing w:line="640" w:lineRule="exact"/>
        <w:jc w:val="center"/>
        <w:rPr>
          <w:rFonts w:ascii="方正小标宋_GBK" w:hAnsi="方正小标宋_GBK" w:eastAsia="方正小标宋_GBK" w:cs="方正小标宋_GBK"/>
          <w:sz w:val="36"/>
          <w:szCs w:val="36"/>
        </w:rPr>
      </w:pPr>
    </w:p>
    <w:p w14:paraId="323BF104">
      <w:pPr>
        <w:widowControl/>
        <w:adjustRightInd w:val="0"/>
        <w:snapToGrid w:val="0"/>
        <w:spacing w:line="640" w:lineRule="exact"/>
        <w:jc w:val="center"/>
        <w:rPr>
          <w:rFonts w:ascii="方正小标宋_GBK" w:hAnsi="方正小标宋_GBK" w:eastAsia="方正小标宋_GBK" w:cs="方正小标宋_GBK"/>
          <w:sz w:val="36"/>
          <w:szCs w:val="36"/>
        </w:rPr>
      </w:pPr>
    </w:p>
    <w:p w14:paraId="1537A65C">
      <w:pPr>
        <w:widowControl/>
        <w:adjustRightInd w:val="0"/>
        <w:snapToGrid w:val="0"/>
        <w:spacing w:line="640" w:lineRule="exact"/>
        <w:jc w:val="center"/>
        <w:rPr>
          <w:rFonts w:ascii="方正小标宋_GBK" w:hAnsi="方正小标宋_GBK" w:eastAsia="方正小标宋_GBK" w:cs="方正小标宋_GBK"/>
          <w:sz w:val="36"/>
          <w:szCs w:val="36"/>
        </w:rPr>
      </w:pPr>
    </w:p>
    <w:p w14:paraId="22916EA8">
      <w:pPr>
        <w:widowControl/>
        <w:adjustRightInd w:val="0"/>
        <w:snapToGrid w:val="0"/>
        <w:spacing w:line="640" w:lineRule="exact"/>
        <w:jc w:val="center"/>
        <w:rPr>
          <w:rFonts w:ascii="方正小标宋_GBK" w:hAnsi="方正小标宋_GBK" w:eastAsia="方正小标宋_GBK" w:cs="方正小标宋_GBK"/>
          <w:sz w:val="36"/>
          <w:szCs w:val="36"/>
        </w:rPr>
      </w:pPr>
    </w:p>
    <w:p w14:paraId="3D2DAD68">
      <w:pPr>
        <w:widowControl/>
        <w:adjustRightInd w:val="0"/>
        <w:snapToGrid w:val="0"/>
        <w:spacing w:line="640" w:lineRule="exact"/>
        <w:jc w:val="center"/>
        <w:rPr>
          <w:rFonts w:ascii="方正小标宋_GBK" w:hAnsi="方正小标宋_GBK" w:eastAsia="方正小标宋_GBK" w:cs="方正小标宋_GBK"/>
          <w:sz w:val="36"/>
          <w:szCs w:val="36"/>
        </w:rPr>
      </w:pPr>
    </w:p>
    <w:p w14:paraId="293CCE3F">
      <w:pPr>
        <w:widowControl/>
        <w:adjustRightInd w:val="0"/>
        <w:snapToGrid w:val="0"/>
        <w:spacing w:line="640" w:lineRule="exact"/>
        <w:jc w:val="center"/>
        <w:rPr>
          <w:rFonts w:ascii="方正小标宋_GBK" w:hAnsi="方正小标宋_GBK" w:eastAsia="方正小标宋_GBK" w:cs="方正小标宋_GBK"/>
          <w:sz w:val="36"/>
          <w:szCs w:val="36"/>
        </w:rPr>
      </w:pPr>
    </w:p>
    <w:p w14:paraId="296ABD8A">
      <w:pPr>
        <w:widowControl/>
        <w:adjustRightInd w:val="0"/>
        <w:snapToGrid w:val="0"/>
        <w:spacing w:line="640" w:lineRule="exact"/>
        <w:jc w:val="center"/>
        <w:rPr>
          <w:rFonts w:ascii="方正小标宋_GBK" w:hAnsi="方正小标宋_GBK" w:eastAsia="方正小标宋_GBK" w:cs="方正小标宋_GBK"/>
          <w:sz w:val="36"/>
          <w:szCs w:val="36"/>
        </w:rPr>
      </w:pPr>
    </w:p>
    <w:p w14:paraId="2B9E2F1B">
      <w:pPr>
        <w:pStyle w:val="5"/>
        <w:ind w:left="210" w:right="210"/>
      </w:pPr>
    </w:p>
    <w:p w14:paraId="7B6AD623">
      <w:pPr>
        <w:pStyle w:val="5"/>
        <w:ind w:left="210" w:right="210"/>
      </w:pPr>
    </w:p>
    <w:p w14:paraId="0AF1F079">
      <w:pPr>
        <w:pStyle w:val="5"/>
        <w:ind w:left="210" w:right="210"/>
      </w:pPr>
    </w:p>
    <w:p w14:paraId="04AAF52F">
      <w:pPr>
        <w:pStyle w:val="5"/>
        <w:ind w:left="210" w:right="210"/>
      </w:pPr>
    </w:p>
    <w:p w14:paraId="491F8437">
      <w:pPr>
        <w:pStyle w:val="5"/>
        <w:ind w:left="210" w:right="210"/>
      </w:pPr>
    </w:p>
    <w:p w14:paraId="7EB0CF6B">
      <w:pPr>
        <w:pStyle w:val="5"/>
        <w:ind w:left="210" w:right="210"/>
      </w:pPr>
    </w:p>
    <w:p w14:paraId="0A2EB196">
      <w:pPr>
        <w:widowControl/>
        <w:adjustRightInd w:val="0"/>
        <w:snapToGrid w:val="0"/>
        <w:spacing w:line="578"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7B203A6B">
      <w:pPr>
        <w:widowControl/>
        <w:adjustRightInd w:val="0"/>
        <w:snapToGrid w:val="0"/>
        <w:spacing w:line="578" w:lineRule="exact"/>
        <w:rPr>
          <w:rFonts w:ascii="方正黑体_GBK" w:hAnsi="方正黑体_GBK" w:eastAsia="方正黑体_GBK" w:cs="方正黑体_GBK"/>
          <w:sz w:val="32"/>
          <w:szCs w:val="32"/>
        </w:rPr>
      </w:pPr>
    </w:p>
    <w:p w14:paraId="0E4A0760">
      <w:pPr>
        <w:widowControl/>
        <w:adjustRightInd w:val="0"/>
        <w:snapToGrid w:val="0"/>
        <w:spacing w:line="540" w:lineRule="exact"/>
        <w:jc w:val="center"/>
        <w:rPr>
          <w:rFonts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云阳县决定取消的行政权力事项清单</w:t>
      </w:r>
    </w:p>
    <w:p w14:paraId="036D6D42">
      <w:pPr>
        <w:widowControl/>
        <w:adjustRightInd w:val="0"/>
        <w:snapToGrid w:val="0"/>
        <w:spacing w:line="580" w:lineRule="exact"/>
        <w:jc w:val="center"/>
        <w:rPr>
          <w:rFonts w:ascii="方正小标宋_GBK" w:hAnsi="方正小标宋_GBK" w:eastAsia="方正小标宋_GBK" w:cs="方正小标宋_GBK"/>
          <w:sz w:val="36"/>
          <w:szCs w:val="36"/>
        </w:rPr>
      </w:pPr>
    </w:p>
    <w:tbl>
      <w:tblPr>
        <w:tblStyle w:val="10"/>
        <w:tblW w:w="9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709"/>
        <w:gridCol w:w="992"/>
        <w:gridCol w:w="2126"/>
        <w:gridCol w:w="3094"/>
      </w:tblGrid>
      <w:tr w14:paraId="6DB5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9170F39">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序号</w:t>
            </w:r>
          </w:p>
        </w:tc>
        <w:tc>
          <w:tcPr>
            <w:tcW w:w="2126" w:type="dxa"/>
            <w:vAlign w:val="center"/>
          </w:tcPr>
          <w:p w14:paraId="1AE1B805">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项目名称</w:t>
            </w:r>
          </w:p>
        </w:tc>
        <w:tc>
          <w:tcPr>
            <w:tcW w:w="709" w:type="dxa"/>
            <w:vAlign w:val="center"/>
          </w:tcPr>
          <w:p w14:paraId="51759AA6">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权力类别</w:t>
            </w:r>
          </w:p>
        </w:tc>
        <w:tc>
          <w:tcPr>
            <w:tcW w:w="992" w:type="dxa"/>
            <w:vAlign w:val="center"/>
          </w:tcPr>
          <w:p w14:paraId="292563FC">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县级实施部门</w:t>
            </w:r>
          </w:p>
        </w:tc>
        <w:tc>
          <w:tcPr>
            <w:tcW w:w="2126" w:type="dxa"/>
            <w:vAlign w:val="center"/>
          </w:tcPr>
          <w:p w14:paraId="1AE7F9E3">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原设定依据</w:t>
            </w:r>
          </w:p>
        </w:tc>
        <w:tc>
          <w:tcPr>
            <w:tcW w:w="3094" w:type="dxa"/>
            <w:vAlign w:val="center"/>
          </w:tcPr>
          <w:p w14:paraId="0C6DF41C">
            <w:pPr>
              <w:spacing w:line="320" w:lineRule="exact"/>
              <w:jc w:val="center"/>
              <w:rPr>
                <w:rFonts w:ascii="方正楷体_GBK" w:hAnsi="Times New Roman" w:eastAsia="方正楷体_GBK"/>
                <w:szCs w:val="21"/>
              </w:rPr>
            </w:pPr>
            <w:r>
              <w:rPr>
                <w:rFonts w:hint="eastAsia" w:ascii="方正楷体_GBK" w:hAnsi="Times New Roman" w:eastAsia="方正楷体_GBK"/>
                <w:szCs w:val="21"/>
              </w:rPr>
              <w:t>取消理由</w:t>
            </w:r>
          </w:p>
        </w:tc>
      </w:tr>
      <w:tr w14:paraId="3E6A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534" w:type="dxa"/>
            <w:vAlign w:val="center"/>
          </w:tcPr>
          <w:p w14:paraId="3B0FCBAF">
            <w:pPr>
              <w:numPr>
                <w:ilvl w:val="0"/>
                <w:numId w:val="1"/>
              </w:numPr>
              <w:spacing w:line="320" w:lineRule="exact"/>
              <w:jc w:val="center"/>
              <w:rPr>
                <w:rFonts w:ascii="方正仿宋_GBK" w:hAnsi="Times New Roman" w:eastAsia="方正仿宋_GBK"/>
                <w:szCs w:val="21"/>
              </w:rPr>
            </w:pPr>
          </w:p>
        </w:tc>
        <w:tc>
          <w:tcPr>
            <w:tcW w:w="2126" w:type="dxa"/>
            <w:vAlign w:val="center"/>
          </w:tcPr>
          <w:p w14:paraId="2F61BF8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建设工程施工报建审查</w:t>
            </w:r>
          </w:p>
        </w:tc>
        <w:tc>
          <w:tcPr>
            <w:tcW w:w="709" w:type="dxa"/>
            <w:vAlign w:val="center"/>
          </w:tcPr>
          <w:p w14:paraId="3D96957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59519D3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2D4FBE8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《重庆市建筑管理条例》第七条、第十七条</w:t>
            </w:r>
          </w:p>
        </w:tc>
        <w:tc>
          <w:tcPr>
            <w:tcW w:w="3094" w:type="dxa"/>
            <w:vAlign w:val="center"/>
          </w:tcPr>
          <w:p w14:paraId="56AA0D5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根据《重庆市人民政府关于印发重庆市工程建设项目审批制度改革试点实施方案的通知》（渝府发〔2018〕43号）精神，工程建设项目审批制度改革实行清单管理。</w:t>
            </w:r>
          </w:p>
        </w:tc>
      </w:tr>
      <w:tr w14:paraId="5C92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8258DA7">
            <w:pPr>
              <w:numPr>
                <w:ilvl w:val="0"/>
                <w:numId w:val="1"/>
              </w:numPr>
              <w:spacing w:line="320" w:lineRule="exact"/>
              <w:jc w:val="center"/>
              <w:rPr>
                <w:rFonts w:ascii="方正仿宋_GBK" w:hAnsi="Times New Roman" w:eastAsia="方正仿宋_GBK"/>
                <w:szCs w:val="21"/>
              </w:rPr>
            </w:pPr>
          </w:p>
        </w:tc>
        <w:tc>
          <w:tcPr>
            <w:tcW w:w="2126" w:type="dxa"/>
            <w:vAlign w:val="center"/>
          </w:tcPr>
          <w:p w14:paraId="27569A7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对未取得资质证书从事物业管理的违法行为的处罚</w:t>
            </w:r>
          </w:p>
        </w:tc>
        <w:tc>
          <w:tcPr>
            <w:tcW w:w="709" w:type="dxa"/>
            <w:vAlign w:val="center"/>
          </w:tcPr>
          <w:p w14:paraId="0410C35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210652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30BF2E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《物业管理条例》第五十九条</w:t>
            </w:r>
          </w:p>
        </w:tc>
        <w:tc>
          <w:tcPr>
            <w:tcW w:w="3094" w:type="dxa"/>
            <w:vAlign w:val="center"/>
          </w:tcPr>
          <w:p w14:paraId="6DEA492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《物业管理条例》（2018年4月4日公布实施）取消了物业服务企业资质管理的相关规定，增加了建立守信联合激励和失信联合惩戒机制的有关内容，涉及资质证书相关处罚事项应予取消。</w:t>
            </w:r>
          </w:p>
        </w:tc>
      </w:tr>
      <w:tr w14:paraId="5831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52191E1">
            <w:pPr>
              <w:numPr>
                <w:ilvl w:val="0"/>
                <w:numId w:val="1"/>
              </w:numPr>
              <w:spacing w:line="320" w:lineRule="exact"/>
              <w:jc w:val="center"/>
              <w:rPr>
                <w:rFonts w:ascii="方正仿宋_GBK" w:hAnsi="Times New Roman" w:eastAsia="方正仿宋_GBK"/>
                <w:szCs w:val="21"/>
              </w:rPr>
            </w:pPr>
          </w:p>
        </w:tc>
        <w:tc>
          <w:tcPr>
            <w:tcW w:w="2126" w:type="dxa"/>
            <w:vAlign w:val="center"/>
          </w:tcPr>
          <w:p w14:paraId="533F9D7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对物业服务企业违反规定限制或者侵犯业主权利的违法行为的处罚</w:t>
            </w:r>
          </w:p>
        </w:tc>
        <w:tc>
          <w:tcPr>
            <w:tcW w:w="709" w:type="dxa"/>
            <w:vAlign w:val="center"/>
          </w:tcPr>
          <w:p w14:paraId="5F1FBD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270CBB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147EB9A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《重庆市物业管理条例》第七十八条</w:t>
            </w:r>
          </w:p>
        </w:tc>
        <w:tc>
          <w:tcPr>
            <w:tcW w:w="3094" w:type="dxa"/>
            <w:vAlign w:val="center"/>
          </w:tcPr>
          <w:p w14:paraId="06E24A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《物业管理条例》（2018年4月4日公布实施）取消了物业服务企业资质管理的相关规定，增加了建立守信联合激励和失信联合惩戒机制的有关内容，涉及资质证书相关处罚事项应予取消。</w:t>
            </w:r>
          </w:p>
        </w:tc>
      </w:tr>
      <w:tr w14:paraId="2A8F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534" w:type="dxa"/>
            <w:vAlign w:val="center"/>
          </w:tcPr>
          <w:p w14:paraId="07437F83">
            <w:pPr>
              <w:numPr>
                <w:ilvl w:val="0"/>
                <w:numId w:val="1"/>
              </w:numPr>
              <w:spacing w:line="320" w:lineRule="exact"/>
              <w:jc w:val="center"/>
              <w:rPr>
                <w:rFonts w:ascii="方正仿宋_GBK" w:hAnsi="Times New Roman" w:eastAsia="方正仿宋_GBK"/>
                <w:szCs w:val="21"/>
              </w:rPr>
            </w:pPr>
          </w:p>
        </w:tc>
        <w:tc>
          <w:tcPr>
            <w:tcW w:w="2126" w:type="dxa"/>
            <w:vAlign w:val="center"/>
          </w:tcPr>
          <w:p w14:paraId="7B84A4D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对物业服务企业不按照规定及时办理资质变更手续的处罚</w:t>
            </w:r>
          </w:p>
        </w:tc>
        <w:tc>
          <w:tcPr>
            <w:tcW w:w="709" w:type="dxa"/>
            <w:vAlign w:val="center"/>
          </w:tcPr>
          <w:p w14:paraId="669B9DD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5337C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716850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《物业服务企业资质管理办法》（建设部令第164号）第二十一条</w:t>
            </w:r>
          </w:p>
        </w:tc>
        <w:tc>
          <w:tcPr>
            <w:tcW w:w="3094" w:type="dxa"/>
            <w:vAlign w:val="center"/>
          </w:tcPr>
          <w:p w14:paraId="1329573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14:paraId="2422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1EFAC7F">
            <w:pPr>
              <w:numPr>
                <w:ilvl w:val="0"/>
                <w:numId w:val="1"/>
              </w:numPr>
              <w:spacing w:line="320" w:lineRule="exact"/>
              <w:jc w:val="center"/>
              <w:rPr>
                <w:rFonts w:ascii="方正仿宋_GBK" w:hAnsi="Times New Roman" w:eastAsia="方正仿宋_GBK"/>
                <w:szCs w:val="21"/>
              </w:rPr>
            </w:pPr>
          </w:p>
        </w:tc>
        <w:tc>
          <w:tcPr>
            <w:tcW w:w="2126" w:type="dxa"/>
            <w:vAlign w:val="center"/>
          </w:tcPr>
          <w:p w14:paraId="1BF4AAA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对物业服务企业超越资质等级承接物业管理业务的处罚</w:t>
            </w:r>
          </w:p>
        </w:tc>
        <w:tc>
          <w:tcPr>
            <w:tcW w:w="709" w:type="dxa"/>
            <w:vAlign w:val="center"/>
          </w:tcPr>
          <w:p w14:paraId="2B72507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722BBA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063556E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《物业服务企业资质管理办法》（建设部令第164号）第十九条</w:t>
            </w:r>
          </w:p>
        </w:tc>
        <w:tc>
          <w:tcPr>
            <w:tcW w:w="3094" w:type="dxa"/>
            <w:vAlign w:val="center"/>
          </w:tcPr>
          <w:p w14:paraId="1B39A69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14:paraId="6031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19C0301">
            <w:pPr>
              <w:numPr>
                <w:ilvl w:val="0"/>
                <w:numId w:val="1"/>
              </w:numPr>
              <w:spacing w:line="320" w:lineRule="exact"/>
              <w:jc w:val="center"/>
              <w:rPr>
                <w:rFonts w:ascii="方正仿宋_GBK" w:hAnsi="Times New Roman" w:eastAsia="方正仿宋_GBK"/>
                <w:szCs w:val="21"/>
              </w:rPr>
            </w:pPr>
          </w:p>
        </w:tc>
        <w:tc>
          <w:tcPr>
            <w:tcW w:w="2126" w:type="dxa"/>
            <w:vAlign w:val="center"/>
          </w:tcPr>
          <w:p w14:paraId="0DC488F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对物业服务企业出租、出借、转让资质证书的处罚</w:t>
            </w:r>
          </w:p>
        </w:tc>
        <w:tc>
          <w:tcPr>
            <w:tcW w:w="709" w:type="dxa"/>
            <w:vAlign w:val="center"/>
          </w:tcPr>
          <w:p w14:paraId="11C6C2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84696A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37E72F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《物业服务企业资质管理办法》（建设部令第164号）第二十条</w:t>
            </w:r>
          </w:p>
        </w:tc>
        <w:tc>
          <w:tcPr>
            <w:tcW w:w="3094" w:type="dxa"/>
            <w:vAlign w:val="center"/>
          </w:tcPr>
          <w:p w14:paraId="350661C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已废止。《物业管理条例》（2018年4月4日公布实施）取消了物业服务企业资质管理的相关规定，增加了建立守信联合激励和失信联合惩戒机制的有关内容，涉及资质证书相关处罚事项应予取消。</w:t>
            </w:r>
          </w:p>
        </w:tc>
      </w:tr>
      <w:tr w14:paraId="7491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A5DFF7D">
            <w:pPr>
              <w:numPr>
                <w:ilvl w:val="0"/>
                <w:numId w:val="1"/>
              </w:numPr>
              <w:spacing w:line="320" w:lineRule="exact"/>
              <w:jc w:val="center"/>
              <w:rPr>
                <w:rFonts w:ascii="方正仿宋_GBK" w:hAnsi="Times New Roman" w:eastAsia="方正仿宋_GBK"/>
                <w:szCs w:val="21"/>
              </w:rPr>
            </w:pPr>
          </w:p>
        </w:tc>
        <w:tc>
          <w:tcPr>
            <w:tcW w:w="2126" w:type="dxa"/>
            <w:vAlign w:val="center"/>
          </w:tcPr>
          <w:p w14:paraId="716B549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对建设项目申请开展性能化评估的复核</w:t>
            </w:r>
          </w:p>
        </w:tc>
        <w:tc>
          <w:tcPr>
            <w:tcW w:w="709" w:type="dxa"/>
            <w:vAlign w:val="center"/>
          </w:tcPr>
          <w:p w14:paraId="08DC5A0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04202B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FAA533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《建设工程消防性能化设计评估应用管理暂行规定》（公消〔2009〕52号）第七条</w:t>
            </w:r>
          </w:p>
        </w:tc>
        <w:tc>
          <w:tcPr>
            <w:tcW w:w="3094" w:type="dxa"/>
            <w:vAlign w:val="center"/>
          </w:tcPr>
          <w:p w14:paraId="3FFE707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设定依据《建设工程消防性能化设计评估应用管理暂行规定》（公消〔2009〕52号）已废止。</w:t>
            </w:r>
          </w:p>
        </w:tc>
      </w:tr>
      <w:tr w14:paraId="635D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C0BB0BA">
            <w:pPr>
              <w:numPr>
                <w:ilvl w:val="0"/>
                <w:numId w:val="1"/>
              </w:numPr>
              <w:spacing w:line="320" w:lineRule="exact"/>
              <w:jc w:val="center"/>
              <w:rPr>
                <w:rFonts w:ascii="方正仿宋_GBK" w:hAnsi="Times New Roman" w:eastAsia="方正仿宋_GBK"/>
                <w:szCs w:val="21"/>
              </w:rPr>
            </w:pPr>
          </w:p>
        </w:tc>
        <w:tc>
          <w:tcPr>
            <w:tcW w:w="2126" w:type="dxa"/>
            <w:vAlign w:val="center"/>
          </w:tcPr>
          <w:p w14:paraId="4F0BC36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对消防设计抽查不合格不停止施工的处罚</w:t>
            </w:r>
          </w:p>
        </w:tc>
        <w:tc>
          <w:tcPr>
            <w:tcW w:w="709" w:type="dxa"/>
            <w:vAlign w:val="center"/>
          </w:tcPr>
          <w:p w14:paraId="1EC9D67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76E8F5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7DCB5C6">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1．《中华人民共和国消防法》第五十八条第一款第二项；2．《重庆市消防条例》第五十七条第三项</w:t>
            </w:r>
          </w:p>
        </w:tc>
        <w:tc>
          <w:tcPr>
            <w:tcW w:w="3094" w:type="dxa"/>
            <w:vAlign w:val="center"/>
          </w:tcPr>
          <w:p w14:paraId="4CB9D2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《中华人民共和国消防法》（2019年4月23日修正）已删除有关内容。</w:t>
            </w:r>
          </w:p>
        </w:tc>
      </w:tr>
      <w:tr w14:paraId="4345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34" w:type="dxa"/>
            <w:vAlign w:val="center"/>
          </w:tcPr>
          <w:p w14:paraId="7ADB7256">
            <w:pPr>
              <w:numPr>
                <w:ilvl w:val="0"/>
                <w:numId w:val="1"/>
              </w:numPr>
              <w:spacing w:line="320" w:lineRule="exact"/>
              <w:jc w:val="center"/>
              <w:rPr>
                <w:rFonts w:ascii="方正仿宋_GBK" w:hAnsi="Times New Roman" w:eastAsia="方正仿宋_GBK"/>
                <w:szCs w:val="21"/>
              </w:rPr>
            </w:pPr>
          </w:p>
        </w:tc>
        <w:tc>
          <w:tcPr>
            <w:tcW w:w="2126" w:type="dxa"/>
            <w:vAlign w:val="center"/>
          </w:tcPr>
          <w:p w14:paraId="37DE584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对已备案的消防设计审核变更后未再备案的处罚</w:t>
            </w:r>
          </w:p>
        </w:tc>
        <w:tc>
          <w:tcPr>
            <w:tcW w:w="709" w:type="dxa"/>
            <w:vAlign w:val="center"/>
          </w:tcPr>
          <w:p w14:paraId="41E85C1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49E180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F7D16B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《重庆市消防条例》第五十九条第二项</w:t>
            </w:r>
          </w:p>
        </w:tc>
        <w:tc>
          <w:tcPr>
            <w:tcW w:w="3094" w:type="dxa"/>
            <w:vAlign w:val="center"/>
          </w:tcPr>
          <w:p w14:paraId="76B9C0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《中华人民共和国消防法》（2019年4月23日修正）已删除有关内容。</w:t>
            </w:r>
          </w:p>
        </w:tc>
      </w:tr>
      <w:tr w14:paraId="4C87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534" w:type="dxa"/>
            <w:vAlign w:val="center"/>
          </w:tcPr>
          <w:p w14:paraId="57FBB9D5">
            <w:pPr>
              <w:numPr>
                <w:ilvl w:val="0"/>
                <w:numId w:val="1"/>
              </w:numPr>
              <w:spacing w:line="320" w:lineRule="exact"/>
              <w:jc w:val="center"/>
              <w:rPr>
                <w:rFonts w:ascii="方正仿宋_GBK" w:hAnsi="Times New Roman" w:eastAsia="方正仿宋_GBK"/>
                <w:szCs w:val="21"/>
              </w:rPr>
            </w:pPr>
          </w:p>
        </w:tc>
        <w:tc>
          <w:tcPr>
            <w:tcW w:w="2126" w:type="dxa"/>
            <w:vAlign w:val="center"/>
          </w:tcPr>
          <w:p w14:paraId="37CBA38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对建设项目申请提交专家评审的审核</w:t>
            </w:r>
          </w:p>
        </w:tc>
        <w:tc>
          <w:tcPr>
            <w:tcW w:w="709" w:type="dxa"/>
            <w:vAlign w:val="center"/>
          </w:tcPr>
          <w:p w14:paraId="5B9692E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358398F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62411AB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1．《重庆市建设工程消防技术专家评审工作规程》第五条；2．《公安部消防局关于进一步规范建设工程专家评审工作的通知》（公消〔2013〕297号）</w:t>
            </w:r>
          </w:p>
        </w:tc>
        <w:tc>
          <w:tcPr>
            <w:tcW w:w="3094" w:type="dxa"/>
            <w:vAlign w:val="center"/>
          </w:tcPr>
          <w:p w14:paraId="4CC0E07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《中华人民共和国消防法》（2019年4月23日修正）已取消了专家评审有关规定，有关事项相应取消。</w:t>
            </w:r>
          </w:p>
        </w:tc>
      </w:tr>
      <w:tr w14:paraId="0AAA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34" w:type="dxa"/>
            <w:vAlign w:val="center"/>
          </w:tcPr>
          <w:p w14:paraId="22DA90B4">
            <w:pPr>
              <w:numPr>
                <w:ilvl w:val="0"/>
                <w:numId w:val="1"/>
              </w:numPr>
              <w:spacing w:line="320" w:lineRule="exact"/>
              <w:jc w:val="center"/>
              <w:rPr>
                <w:rFonts w:ascii="方正仿宋_GBK" w:hAnsi="Times New Roman" w:eastAsia="方正仿宋_GBK"/>
                <w:szCs w:val="21"/>
              </w:rPr>
            </w:pPr>
          </w:p>
        </w:tc>
        <w:tc>
          <w:tcPr>
            <w:tcW w:w="2126" w:type="dxa"/>
            <w:vAlign w:val="center"/>
          </w:tcPr>
          <w:p w14:paraId="4FDA3C7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建设工程消防设计备案抽查</w:t>
            </w:r>
          </w:p>
        </w:tc>
        <w:tc>
          <w:tcPr>
            <w:tcW w:w="709" w:type="dxa"/>
            <w:vAlign w:val="center"/>
          </w:tcPr>
          <w:p w14:paraId="5BD58F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55A696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5E91BB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1．《中华人民共和国消防法》第十条、第十三条；2．《重庆市消防条例》第二十一条、第二十四条；3．《建设工程消防监督管理规定》第二十四条</w:t>
            </w:r>
          </w:p>
        </w:tc>
        <w:tc>
          <w:tcPr>
            <w:tcW w:w="3094" w:type="dxa"/>
            <w:vAlign w:val="center"/>
          </w:tcPr>
          <w:p w14:paraId="38F79BD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《中华人民共和国消防法》（2019年4月23日修正）已取消消防设计备案。</w:t>
            </w:r>
          </w:p>
        </w:tc>
      </w:tr>
      <w:tr w14:paraId="7410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12DAC36">
            <w:pPr>
              <w:numPr>
                <w:ilvl w:val="0"/>
                <w:numId w:val="1"/>
              </w:numPr>
              <w:spacing w:line="320" w:lineRule="exact"/>
              <w:jc w:val="center"/>
              <w:rPr>
                <w:rFonts w:ascii="方正仿宋_GBK" w:hAnsi="Times New Roman" w:eastAsia="方正仿宋_GBK"/>
                <w:szCs w:val="21"/>
              </w:rPr>
            </w:pPr>
          </w:p>
        </w:tc>
        <w:tc>
          <w:tcPr>
            <w:tcW w:w="2126" w:type="dxa"/>
            <w:vAlign w:val="center"/>
          </w:tcPr>
          <w:p w14:paraId="356344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对工程招标代理机构以欺骗、贿赂等不正当手段取得资格的处罚</w:t>
            </w:r>
          </w:p>
        </w:tc>
        <w:tc>
          <w:tcPr>
            <w:tcW w:w="709" w:type="dxa"/>
            <w:vAlign w:val="center"/>
          </w:tcPr>
          <w:p w14:paraId="07CD043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6B857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000AFE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《工程建设项目招标代理机构资格认定办法》（建设部令第154号）第三十二条</w:t>
            </w:r>
          </w:p>
        </w:tc>
        <w:tc>
          <w:tcPr>
            <w:tcW w:w="3094" w:type="dxa"/>
            <w:vAlign w:val="center"/>
          </w:tcPr>
          <w:p w14:paraId="241DDF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设定依据《工程建设项目招标代理机构资格认定办法》（建设部令第154号）已废止。</w:t>
            </w:r>
          </w:p>
        </w:tc>
      </w:tr>
      <w:tr w14:paraId="62F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59DBE41">
            <w:pPr>
              <w:numPr>
                <w:ilvl w:val="0"/>
                <w:numId w:val="1"/>
              </w:numPr>
              <w:spacing w:line="320" w:lineRule="exact"/>
              <w:jc w:val="center"/>
              <w:rPr>
                <w:rFonts w:ascii="方正仿宋_GBK" w:hAnsi="Times New Roman" w:eastAsia="方正仿宋_GBK"/>
                <w:szCs w:val="21"/>
              </w:rPr>
            </w:pPr>
          </w:p>
        </w:tc>
        <w:tc>
          <w:tcPr>
            <w:tcW w:w="2126" w:type="dxa"/>
            <w:vAlign w:val="center"/>
          </w:tcPr>
          <w:p w14:paraId="187582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对工程招标代理机构涂改、倒卖、出租、出借或者以其他形式非法转让工程招标代理资格证书的处罚</w:t>
            </w:r>
          </w:p>
        </w:tc>
        <w:tc>
          <w:tcPr>
            <w:tcW w:w="709" w:type="dxa"/>
            <w:vAlign w:val="center"/>
          </w:tcPr>
          <w:p w14:paraId="5487B9A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966AF1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CF48F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《工程建设项目招标代理机构资格认定办法》（建设部令第154号）第三十六条</w:t>
            </w:r>
          </w:p>
        </w:tc>
        <w:tc>
          <w:tcPr>
            <w:tcW w:w="3094" w:type="dxa"/>
            <w:vAlign w:val="center"/>
          </w:tcPr>
          <w:p w14:paraId="58A3E67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设定依据《工程建设项目招标代理机构资格认定办法》（建设部令第154号）已废止。</w:t>
            </w:r>
          </w:p>
        </w:tc>
      </w:tr>
      <w:tr w14:paraId="26C0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97319C2">
            <w:pPr>
              <w:numPr>
                <w:ilvl w:val="0"/>
                <w:numId w:val="1"/>
              </w:numPr>
              <w:spacing w:line="320" w:lineRule="exact"/>
              <w:jc w:val="center"/>
              <w:rPr>
                <w:rFonts w:ascii="方正仿宋_GBK" w:hAnsi="Times New Roman" w:eastAsia="方正仿宋_GBK"/>
                <w:szCs w:val="21"/>
              </w:rPr>
            </w:pPr>
          </w:p>
        </w:tc>
        <w:tc>
          <w:tcPr>
            <w:tcW w:w="2126" w:type="dxa"/>
            <w:vAlign w:val="center"/>
          </w:tcPr>
          <w:p w14:paraId="60CE903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物业服务企业资质监管</w:t>
            </w:r>
          </w:p>
        </w:tc>
        <w:tc>
          <w:tcPr>
            <w:tcW w:w="709" w:type="dxa"/>
            <w:vAlign w:val="center"/>
          </w:tcPr>
          <w:p w14:paraId="029E12D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4A480D3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506A2B1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1．《物业管理条例》第三十二条；2．《重庆市物业管理条例》第四十五条；3．《物业服务企业资质管理办法》（建设部令第164号）第四条</w:t>
            </w:r>
          </w:p>
        </w:tc>
        <w:tc>
          <w:tcPr>
            <w:tcW w:w="3094" w:type="dxa"/>
            <w:vAlign w:val="center"/>
          </w:tcPr>
          <w:p w14:paraId="771B9CF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《物业管理条例》</w:t>
            </w:r>
            <w:r>
              <w:rPr>
                <w:rFonts w:hint="eastAsia" w:ascii="方正仿宋_GBK" w:hAnsi="Times New Roman" w:eastAsia="方正仿宋_GBK"/>
                <w:szCs w:val="21"/>
                <w:shd w:val="clear" w:color="auto" w:fill="FFFFFF"/>
              </w:rPr>
              <w:t>（2018年4月4日公布实施）</w:t>
            </w:r>
            <w:r>
              <w:rPr>
                <w:rFonts w:hint="eastAsia" w:ascii="方正仿宋_GBK" w:hAnsi="Times New Roman" w:eastAsia="方正仿宋_GBK"/>
                <w:szCs w:val="21"/>
              </w:rPr>
              <w:t>取消了资质年检等相关规定，《国务院关于第三批取消中央指定地方实施行政许可事项的决定》（国发〔2017〕7号）和《</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办公厅关于做好取消物业服务企业资质核定相关工作的通知》（建办房〔2017〕75号）已取消本权力事项。</w:t>
            </w:r>
          </w:p>
        </w:tc>
      </w:tr>
      <w:tr w14:paraId="2731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4" w:type="dxa"/>
            <w:vAlign w:val="center"/>
          </w:tcPr>
          <w:p w14:paraId="1B5338B7">
            <w:pPr>
              <w:numPr>
                <w:ilvl w:val="0"/>
                <w:numId w:val="1"/>
              </w:numPr>
              <w:spacing w:line="320" w:lineRule="exact"/>
              <w:jc w:val="center"/>
              <w:rPr>
                <w:rFonts w:ascii="方正仿宋_GBK" w:hAnsi="Times New Roman" w:eastAsia="方正仿宋_GBK"/>
                <w:szCs w:val="21"/>
              </w:rPr>
            </w:pPr>
          </w:p>
        </w:tc>
        <w:tc>
          <w:tcPr>
            <w:tcW w:w="2126" w:type="dxa"/>
            <w:vAlign w:val="center"/>
          </w:tcPr>
          <w:p w14:paraId="68A7871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对违反《物业服务企业资质管理办法》第十八条规定违法行为的处理</w:t>
            </w:r>
          </w:p>
        </w:tc>
        <w:tc>
          <w:tcPr>
            <w:tcW w:w="709" w:type="dxa"/>
            <w:vAlign w:val="center"/>
          </w:tcPr>
          <w:p w14:paraId="49703D0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90C3CD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78EC69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《物业服务企业资质管理办法》（建设部令第164号）第十八条</w:t>
            </w:r>
          </w:p>
        </w:tc>
        <w:tc>
          <w:tcPr>
            <w:tcW w:w="3094" w:type="dxa"/>
            <w:vAlign w:val="center"/>
          </w:tcPr>
          <w:p w14:paraId="25567B3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物业服务企业资质管理办法》（建设部令第164号）已废止。《物业管理条例》（2018年4月4日公布实施）取消了物业服务企业资质管理的相关规定，增加了建立守信联合激励和失信联合惩戒机制的有关内容，涉及资质证书相关处罚事项应予取消。</w:t>
            </w:r>
          </w:p>
        </w:tc>
      </w:tr>
      <w:tr w14:paraId="769C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CB1B138">
            <w:pPr>
              <w:numPr>
                <w:ilvl w:val="0"/>
                <w:numId w:val="1"/>
              </w:numPr>
              <w:spacing w:line="320" w:lineRule="exact"/>
              <w:jc w:val="center"/>
              <w:rPr>
                <w:rFonts w:ascii="方正仿宋_GBK" w:hAnsi="Times New Roman" w:eastAsia="方正仿宋_GBK"/>
                <w:szCs w:val="21"/>
              </w:rPr>
            </w:pPr>
          </w:p>
        </w:tc>
        <w:tc>
          <w:tcPr>
            <w:tcW w:w="2126" w:type="dxa"/>
            <w:vAlign w:val="center"/>
          </w:tcPr>
          <w:p w14:paraId="49E5280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对冶金企业违反有关安全评价、检修人员培训以及录用劳务人员方面规定的处罚</w:t>
            </w:r>
          </w:p>
        </w:tc>
        <w:tc>
          <w:tcPr>
            <w:tcW w:w="709" w:type="dxa"/>
            <w:vAlign w:val="center"/>
          </w:tcPr>
          <w:p w14:paraId="30DAC1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44D7528">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14:paraId="7AD31BE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《冶金企业安全生产监督管理规定》（国家安监总局令第26号）第三十八条</w:t>
            </w:r>
          </w:p>
        </w:tc>
        <w:tc>
          <w:tcPr>
            <w:tcW w:w="3094" w:type="dxa"/>
            <w:vAlign w:val="center"/>
          </w:tcPr>
          <w:p w14:paraId="1BA6AE8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设定依据失效，新出台的《冶金企业和有色金属企业安全生产规定》（国家安监总局令第91号）没有相关规定。</w:t>
            </w:r>
          </w:p>
        </w:tc>
      </w:tr>
      <w:tr w14:paraId="581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AB726B4">
            <w:pPr>
              <w:numPr>
                <w:ilvl w:val="0"/>
                <w:numId w:val="1"/>
              </w:numPr>
              <w:spacing w:line="320" w:lineRule="exact"/>
              <w:jc w:val="center"/>
              <w:rPr>
                <w:rFonts w:ascii="方正仿宋_GBK" w:hAnsi="Times New Roman" w:eastAsia="方正仿宋_GBK"/>
                <w:szCs w:val="21"/>
              </w:rPr>
            </w:pPr>
          </w:p>
        </w:tc>
        <w:tc>
          <w:tcPr>
            <w:tcW w:w="2126" w:type="dxa"/>
            <w:vAlign w:val="center"/>
          </w:tcPr>
          <w:p w14:paraId="158B800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对违反《建设项目安全设施“三同时”监督管理暂行办法》第三十三条的处罚</w:t>
            </w:r>
          </w:p>
        </w:tc>
        <w:tc>
          <w:tcPr>
            <w:tcW w:w="709" w:type="dxa"/>
            <w:vAlign w:val="center"/>
          </w:tcPr>
          <w:p w14:paraId="432F1AE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E0610BB">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14:paraId="13C9E9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《建设项目安全设施“三同时”监督管理暂行办法》（国家安监总局令第36号）第三十三条</w:t>
            </w:r>
          </w:p>
        </w:tc>
        <w:tc>
          <w:tcPr>
            <w:tcW w:w="3094" w:type="dxa"/>
            <w:vAlign w:val="center"/>
          </w:tcPr>
          <w:p w14:paraId="38D4570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《建设项目安全设施“三同时”监督管理办法》（2015年修正）已取消本权力事项。</w:t>
            </w:r>
          </w:p>
        </w:tc>
      </w:tr>
      <w:tr w14:paraId="09D7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B939ABE">
            <w:pPr>
              <w:numPr>
                <w:ilvl w:val="0"/>
                <w:numId w:val="1"/>
              </w:numPr>
              <w:spacing w:line="320" w:lineRule="exact"/>
              <w:jc w:val="center"/>
              <w:rPr>
                <w:rFonts w:ascii="方正仿宋_GBK" w:hAnsi="Times New Roman" w:eastAsia="方正仿宋_GBK"/>
                <w:szCs w:val="21"/>
              </w:rPr>
            </w:pPr>
          </w:p>
        </w:tc>
        <w:tc>
          <w:tcPr>
            <w:tcW w:w="2126" w:type="dxa"/>
            <w:vAlign w:val="center"/>
          </w:tcPr>
          <w:p w14:paraId="41EA85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对建设项目安全设施设计发生重大变更后未报原批准部门审查同意擅自开工建设的处罚</w:t>
            </w:r>
          </w:p>
        </w:tc>
        <w:tc>
          <w:tcPr>
            <w:tcW w:w="709" w:type="dxa"/>
            <w:vAlign w:val="center"/>
          </w:tcPr>
          <w:p w14:paraId="08B8EFB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FCEF215">
            <w:pPr>
              <w:spacing w:line="320" w:lineRule="exact"/>
              <w:jc w:val="center"/>
              <w:rPr>
                <w:rFonts w:ascii="Times New Roman" w:hAnsi="Times New Roman" w:eastAsia="宋体"/>
                <w:szCs w:val="21"/>
              </w:rPr>
            </w:pPr>
            <w:r>
              <w:rPr>
                <w:rFonts w:hint="eastAsia" w:ascii="Times New Roman" w:hAnsi="Times New Roman" w:eastAsia="宋体"/>
                <w:szCs w:val="21"/>
              </w:rPr>
              <w:t>县</w:t>
            </w:r>
            <w:r>
              <w:rPr>
                <w:rFonts w:ascii="Times New Roman" w:hAnsi="Times New Roman" w:eastAsia="宋体"/>
                <w:szCs w:val="21"/>
              </w:rPr>
              <w:t>应急局</w:t>
            </w:r>
          </w:p>
        </w:tc>
        <w:tc>
          <w:tcPr>
            <w:tcW w:w="2126" w:type="dxa"/>
            <w:vAlign w:val="center"/>
          </w:tcPr>
          <w:p w14:paraId="6EE9408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《建设项目安全设施“三同时”监督管理暂行办法》（国家安监总局令第36号）第三十四条</w:t>
            </w:r>
          </w:p>
        </w:tc>
        <w:tc>
          <w:tcPr>
            <w:tcW w:w="3094" w:type="dxa"/>
            <w:vAlign w:val="center"/>
          </w:tcPr>
          <w:p w14:paraId="17A298A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《建设项目安全设施“三同时”监督管理办法》（2015年修正）已取消本权力事项。</w:t>
            </w:r>
          </w:p>
        </w:tc>
      </w:tr>
      <w:tr w14:paraId="64A0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7AD43CC">
            <w:pPr>
              <w:numPr>
                <w:ilvl w:val="0"/>
                <w:numId w:val="1"/>
              </w:numPr>
              <w:spacing w:line="320" w:lineRule="exact"/>
              <w:jc w:val="center"/>
              <w:rPr>
                <w:rFonts w:ascii="方正仿宋_GBK" w:hAnsi="Times New Roman" w:eastAsia="方正仿宋_GBK"/>
                <w:szCs w:val="21"/>
              </w:rPr>
            </w:pPr>
          </w:p>
        </w:tc>
        <w:tc>
          <w:tcPr>
            <w:tcW w:w="2126" w:type="dxa"/>
            <w:vAlign w:val="center"/>
          </w:tcPr>
          <w:p w14:paraId="41E7CB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对旅游景区经营者向旅游者强行销售联票、套票的处罚</w:t>
            </w:r>
          </w:p>
        </w:tc>
        <w:tc>
          <w:tcPr>
            <w:tcW w:w="709" w:type="dxa"/>
            <w:vAlign w:val="center"/>
          </w:tcPr>
          <w:p w14:paraId="2E8425B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D500791">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w:t>
            </w:r>
            <w:r>
              <w:rPr>
                <w:rFonts w:hint="eastAsia" w:ascii="方正仿宋_GBK" w:hAnsi="Times New Roman" w:eastAsia="方正仿宋_GBK"/>
                <w:szCs w:val="21"/>
              </w:rPr>
              <w:t>文化旅游委</w:t>
            </w:r>
          </w:p>
        </w:tc>
        <w:tc>
          <w:tcPr>
            <w:tcW w:w="2126" w:type="dxa"/>
            <w:vAlign w:val="center"/>
          </w:tcPr>
          <w:p w14:paraId="292D00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《重庆市旅游条例》第四十八条第三款</w:t>
            </w:r>
          </w:p>
        </w:tc>
        <w:tc>
          <w:tcPr>
            <w:tcW w:w="3094" w:type="dxa"/>
            <w:vAlign w:val="center"/>
          </w:tcPr>
          <w:p w14:paraId="2430019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《重庆市旅游条例》（2016年9月29日第二次修订）取消了该条规定。</w:t>
            </w:r>
          </w:p>
        </w:tc>
      </w:tr>
      <w:tr w14:paraId="5DE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D6A8B3E">
            <w:pPr>
              <w:numPr>
                <w:ilvl w:val="0"/>
                <w:numId w:val="1"/>
              </w:numPr>
              <w:spacing w:line="320" w:lineRule="exact"/>
              <w:jc w:val="center"/>
              <w:rPr>
                <w:rFonts w:ascii="方正仿宋_GBK" w:hAnsi="Times New Roman" w:eastAsia="方正仿宋_GBK"/>
                <w:szCs w:val="21"/>
              </w:rPr>
            </w:pPr>
          </w:p>
        </w:tc>
        <w:tc>
          <w:tcPr>
            <w:tcW w:w="2126" w:type="dxa"/>
            <w:vAlign w:val="center"/>
          </w:tcPr>
          <w:p w14:paraId="3375CFA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对重点旅游景区聘用或默许无定点导游证的人员在重点旅游景区内从事导游讲解有偿服务的处罚</w:t>
            </w:r>
          </w:p>
        </w:tc>
        <w:tc>
          <w:tcPr>
            <w:tcW w:w="709" w:type="dxa"/>
            <w:vAlign w:val="center"/>
          </w:tcPr>
          <w:p w14:paraId="120DB3F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7843A64">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县文化旅游委</w:t>
            </w:r>
          </w:p>
        </w:tc>
        <w:tc>
          <w:tcPr>
            <w:tcW w:w="2126" w:type="dxa"/>
            <w:vAlign w:val="center"/>
          </w:tcPr>
          <w:p w14:paraId="172533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《重庆市旅游条例》第六十六条</w:t>
            </w:r>
          </w:p>
        </w:tc>
        <w:tc>
          <w:tcPr>
            <w:tcW w:w="3094" w:type="dxa"/>
            <w:vAlign w:val="center"/>
          </w:tcPr>
          <w:p w14:paraId="7972B65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《重庆市旅游条例》（2016年9月29日第二次修订）取消了本权力事项。</w:t>
            </w:r>
          </w:p>
        </w:tc>
      </w:tr>
      <w:tr w14:paraId="0A10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C89DD4A">
            <w:pPr>
              <w:numPr>
                <w:ilvl w:val="0"/>
                <w:numId w:val="1"/>
              </w:numPr>
              <w:spacing w:line="320" w:lineRule="exact"/>
              <w:jc w:val="center"/>
              <w:rPr>
                <w:rFonts w:ascii="方正仿宋_GBK" w:hAnsi="Times New Roman" w:eastAsia="方正仿宋_GBK"/>
                <w:szCs w:val="21"/>
              </w:rPr>
            </w:pPr>
          </w:p>
        </w:tc>
        <w:tc>
          <w:tcPr>
            <w:tcW w:w="2126" w:type="dxa"/>
            <w:vAlign w:val="center"/>
          </w:tcPr>
          <w:p w14:paraId="0ED2660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出境游旅行社业务委托代理备案</w:t>
            </w:r>
          </w:p>
        </w:tc>
        <w:tc>
          <w:tcPr>
            <w:tcW w:w="709" w:type="dxa"/>
            <w:vAlign w:val="center"/>
          </w:tcPr>
          <w:p w14:paraId="67664D8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3D1FF85">
            <w:pPr>
              <w:spacing w:line="320" w:lineRule="exact"/>
              <w:jc w:val="center"/>
              <w:rPr>
                <w:rFonts w:ascii="方正仿宋_GBK" w:hAnsi="Times New Roman" w:eastAsia="方正仿宋_GBK"/>
                <w:szCs w:val="21"/>
              </w:rPr>
            </w:pPr>
            <w:r>
              <w:rPr>
                <w:rFonts w:hint="eastAsia" w:ascii="方正仿宋_GBK" w:hAnsi="Times New Roman" w:eastAsia="方正仿宋_GBK"/>
                <w:bCs/>
                <w:szCs w:val="21"/>
              </w:rPr>
              <w:t>县文化旅游委</w:t>
            </w:r>
          </w:p>
        </w:tc>
        <w:tc>
          <w:tcPr>
            <w:tcW w:w="2126" w:type="dxa"/>
            <w:vAlign w:val="center"/>
          </w:tcPr>
          <w:p w14:paraId="4E32149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1．《旅行社条例》第三十六条；2．《关于试行旅行社委托代理招徕旅游者业务有关事项的通知》（旅监管发〔2010〕77号）第一条</w:t>
            </w:r>
          </w:p>
        </w:tc>
        <w:tc>
          <w:tcPr>
            <w:tcW w:w="3094" w:type="dxa"/>
            <w:vAlign w:val="center"/>
          </w:tcPr>
          <w:p w14:paraId="039E7C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《旅行社条例》（2017年3月1日第二次修订）已取消本权力事项，《关于试行旅行社委托代理招徕旅游者业务有关事项的通知》（旅监管发〔2010〕77号）已停止实施。</w:t>
            </w:r>
          </w:p>
        </w:tc>
      </w:tr>
      <w:tr w14:paraId="5C82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99469B2">
            <w:pPr>
              <w:numPr>
                <w:ilvl w:val="0"/>
                <w:numId w:val="1"/>
              </w:numPr>
              <w:spacing w:line="320" w:lineRule="exact"/>
              <w:jc w:val="center"/>
              <w:rPr>
                <w:rFonts w:ascii="方正仿宋_GBK" w:hAnsi="Times New Roman" w:eastAsia="方正仿宋_GBK"/>
                <w:szCs w:val="21"/>
              </w:rPr>
            </w:pPr>
          </w:p>
        </w:tc>
        <w:tc>
          <w:tcPr>
            <w:tcW w:w="2126" w:type="dxa"/>
            <w:vAlign w:val="center"/>
          </w:tcPr>
          <w:p w14:paraId="46B6513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对国家机关、企事业单位或者其他组织等统计调查对象安排未取得统计从业资格证书或者统计专业技术职务资格证书的人员承担经常性政府统计任务行为的处罚</w:t>
            </w:r>
          </w:p>
        </w:tc>
        <w:tc>
          <w:tcPr>
            <w:tcW w:w="709" w:type="dxa"/>
            <w:vAlign w:val="center"/>
          </w:tcPr>
          <w:p w14:paraId="0FCE84C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41A45F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县统计局</w:t>
            </w:r>
          </w:p>
        </w:tc>
        <w:tc>
          <w:tcPr>
            <w:tcW w:w="2126" w:type="dxa"/>
            <w:vAlign w:val="center"/>
          </w:tcPr>
          <w:p w14:paraId="26143C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《重庆市统计管理条例》第四十八条</w:t>
            </w:r>
          </w:p>
        </w:tc>
        <w:tc>
          <w:tcPr>
            <w:tcW w:w="3094" w:type="dxa"/>
            <w:vAlign w:val="center"/>
          </w:tcPr>
          <w:p w14:paraId="0492A8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大常委会关于修改〈重庆市户外广告管理条例〉等十三件地方性法规的决定》（重庆市人民代表大会常务委员会公告〔2016〕第43号）删去了权力依据《重庆市统计管理条例》第四十八条，取消了本权力事项。</w:t>
            </w:r>
          </w:p>
        </w:tc>
      </w:tr>
      <w:tr w14:paraId="2465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26FE8C1">
            <w:pPr>
              <w:numPr>
                <w:ilvl w:val="0"/>
                <w:numId w:val="1"/>
              </w:numPr>
              <w:spacing w:line="320" w:lineRule="exact"/>
              <w:jc w:val="center"/>
              <w:rPr>
                <w:rFonts w:ascii="方正仿宋_GBK" w:hAnsi="Times New Roman" w:eastAsia="方正仿宋_GBK"/>
                <w:szCs w:val="21"/>
              </w:rPr>
            </w:pPr>
          </w:p>
        </w:tc>
        <w:tc>
          <w:tcPr>
            <w:tcW w:w="2126" w:type="dxa"/>
            <w:vAlign w:val="center"/>
          </w:tcPr>
          <w:p w14:paraId="1FE8314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对超过年计划取水量取水的处罚</w:t>
            </w:r>
          </w:p>
        </w:tc>
        <w:tc>
          <w:tcPr>
            <w:tcW w:w="709" w:type="dxa"/>
            <w:vAlign w:val="center"/>
          </w:tcPr>
          <w:p w14:paraId="339055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50B7FA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县水利局</w:t>
            </w:r>
          </w:p>
        </w:tc>
        <w:tc>
          <w:tcPr>
            <w:tcW w:w="2126" w:type="dxa"/>
            <w:vAlign w:val="center"/>
          </w:tcPr>
          <w:p w14:paraId="42E7C2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1．《重庆市水资源管理条例》第五十一条；2．《重庆市取水许可和水资源费征收管理办法》（重庆市人民政府令第158号）第二十七条</w:t>
            </w:r>
          </w:p>
        </w:tc>
        <w:tc>
          <w:tcPr>
            <w:tcW w:w="3094" w:type="dxa"/>
            <w:vAlign w:val="center"/>
          </w:tcPr>
          <w:p w14:paraId="1F2A6A2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《重庆市水资源管理条例》（2018年修正）已取消本权力事项。</w:t>
            </w:r>
          </w:p>
        </w:tc>
      </w:tr>
      <w:tr w14:paraId="5CCA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EE15E2A">
            <w:pPr>
              <w:numPr>
                <w:ilvl w:val="0"/>
                <w:numId w:val="1"/>
              </w:numPr>
              <w:spacing w:line="320" w:lineRule="exact"/>
              <w:jc w:val="center"/>
              <w:rPr>
                <w:rFonts w:ascii="方正仿宋_GBK" w:hAnsi="Times New Roman" w:eastAsia="方正仿宋_GBK"/>
                <w:szCs w:val="21"/>
              </w:rPr>
            </w:pPr>
          </w:p>
        </w:tc>
        <w:tc>
          <w:tcPr>
            <w:tcW w:w="2126" w:type="dxa"/>
            <w:vAlign w:val="center"/>
          </w:tcPr>
          <w:p w14:paraId="1065A20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对采用不正当手段，限制或妨碍公平竞争的联合行为的处罚</w:t>
            </w:r>
          </w:p>
        </w:tc>
        <w:tc>
          <w:tcPr>
            <w:tcW w:w="709" w:type="dxa"/>
            <w:vAlign w:val="center"/>
          </w:tcPr>
          <w:p w14:paraId="488D56A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B7764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2226004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《重庆市反不正当竞争条例》第二十八条</w:t>
            </w:r>
          </w:p>
        </w:tc>
        <w:tc>
          <w:tcPr>
            <w:tcW w:w="3094" w:type="dxa"/>
            <w:vAlign w:val="center"/>
          </w:tcPr>
          <w:p w14:paraId="41CADD7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14:paraId="5B65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65CE1F1">
            <w:pPr>
              <w:numPr>
                <w:ilvl w:val="0"/>
                <w:numId w:val="1"/>
              </w:numPr>
              <w:spacing w:line="320" w:lineRule="exact"/>
              <w:jc w:val="center"/>
              <w:rPr>
                <w:rFonts w:ascii="方正仿宋_GBK" w:hAnsi="Times New Roman" w:eastAsia="方正仿宋_GBK"/>
                <w:szCs w:val="21"/>
              </w:rPr>
            </w:pPr>
          </w:p>
        </w:tc>
        <w:tc>
          <w:tcPr>
            <w:tcW w:w="2126" w:type="dxa"/>
            <w:vAlign w:val="center"/>
          </w:tcPr>
          <w:p w14:paraId="3A1D6D0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对公用企业或依法具有独占地位的经营者，采用不正当手段限制竞争行为的处罚</w:t>
            </w:r>
          </w:p>
        </w:tc>
        <w:tc>
          <w:tcPr>
            <w:tcW w:w="709" w:type="dxa"/>
            <w:vAlign w:val="center"/>
          </w:tcPr>
          <w:p w14:paraId="3B39F1B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0D26BF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50FBA08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《重庆市反不正当竞争条例》第二十九条</w:t>
            </w:r>
          </w:p>
        </w:tc>
        <w:tc>
          <w:tcPr>
            <w:tcW w:w="3094" w:type="dxa"/>
            <w:vAlign w:val="center"/>
          </w:tcPr>
          <w:p w14:paraId="72F560C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14:paraId="4676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49B8FE3">
            <w:pPr>
              <w:numPr>
                <w:ilvl w:val="0"/>
                <w:numId w:val="1"/>
              </w:numPr>
              <w:spacing w:line="320" w:lineRule="exact"/>
              <w:jc w:val="center"/>
              <w:rPr>
                <w:rFonts w:ascii="方正仿宋_GBK" w:hAnsi="Times New Roman" w:eastAsia="方正仿宋_GBK"/>
                <w:szCs w:val="21"/>
              </w:rPr>
            </w:pPr>
          </w:p>
        </w:tc>
        <w:tc>
          <w:tcPr>
            <w:tcW w:w="2126" w:type="dxa"/>
            <w:vAlign w:val="center"/>
          </w:tcPr>
          <w:p w14:paraId="4A905F5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对各级人民政府及其所属部门越权或者滥用行政权力的处罚</w:t>
            </w:r>
          </w:p>
        </w:tc>
        <w:tc>
          <w:tcPr>
            <w:tcW w:w="709" w:type="dxa"/>
            <w:vAlign w:val="center"/>
          </w:tcPr>
          <w:p w14:paraId="5BA3FB5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4138B4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5003C05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《重庆市反不正当竞争条例》第三十条</w:t>
            </w:r>
          </w:p>
        </w:tc>
        <w:tc>
          <w:tcPr>
            <w:tcW w:w="3094" w:type="dxa"/>
            <w:vAlign w:val="center"/>
          </w:tcPr>
          <w:p w14:paraId="471F6F9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《反不正当竞争法》（2019年修正）已无限制竞争行为相关规定。</w:t>
            </w:r>
          </w:p>
        </w:tc>
      </w:tr>
      <w:tr w14:paraId="247E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207B3C9">
            <w:pPr>
              <w:numPr>
                <w:ilvl w:val="0"/>
                <w:numId w:val="1"/>
              </w:numPr>
              <w:spacing w:line="320" w:lineRule="exact"/>
              <w:jc w:val="center"/>
              <w:rPr>
                <w:rFonts w:ascii="方正仿宋_GBK" w:hAnsi="Times New Roman" w:eastAsia="方正仿宋_GBK"/>
                <w:szCs w:val="21"/>
              </w:rPr>
            </w:pPr>
          </w:p>
        </w:tc>
        <w:tc>
          <w:tcPr>
            <w:tcW w:w="2126" w:type="dxa"/>
            <w:vAlign w:val="center"/>
          </w:tcPr>
          <w:p w14:paraId="062882F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查封、取缔擅自从事报废汽车回收活动</w:t>
            </w:r>
          </w:p>
        </w:tc>
        <w:tc>
          <w:tcPr>
            <w:tcW w:w="709" w:type="dxa"/>
            <w:vAlign w:val="center"/>
          </w:tcPr>
          <w:p w14:paraId="44B6BC7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0786E55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6EDE390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《报废汽车回收管理办法》第三条</w:t>
            </w:r>
          </w:p>
        </w:tc>
        <w:tc>
          <w:tcPr>
            <w:tcW w:w="3094" w:type="dxa"/>
            <w:vAlign w:val="center"/>
          </w:tcPr>
          <w:p w14:paraId="716343F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设定依据《报废汽车回收管理办法》已废止。</w:t>
            </w:r>
          </w:p>
        </w:tc>
      </w:tr>
      <w:tr w14:paraId="6E5D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D228F89">
            <w:pPr>
              <w:numPr>
                <w:ilvl w:val="0"/>
                <w:numId w:val="1"/>
              </w:numPr>
              <w:spacing w:line="320" w:lineRule="exact"/>
              <w:jc w:val="center"/>
              <w:rPr>
                <w:rFonts w:ascii="方正仿宋_GBK" w:hAnsi="Times New Roman" w:eastAsia="方正仿宋_GBK"/>
                <w:szCs w:val="21"/>
              </w:rPr>
            </w:pPr>
          </w:p>
        </w:tc>
        <w:tc>
          <w:tcPr>
            <w:tcW w:w="2126" w:type="dxa"/>
            <w:vAlign w:val="center"/>
          </w:tcPr>
          <w:p w14:paraId="22884A9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对无酒类商品生产许可证生产酒类商品或伪造、涂改、转借、出售、出租酒类商品生产许可证的处罚</w:t>
            </w:r>
          </w:p>
        </w:tc>
        <w:tc>
          <w:tcPr>
            <w:tcW w:w="709" w:type="dxa"/>
            <w:vAlign w:val="center"/>
          </w:tcPr>
          <w:p w14:paraId="7AA16B6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08575D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71CE9E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《重庆市酒类商品管理条例》第二十四条</w:t>
            </w:r>
          </w:p>
        </w:tc>
        <w:tc>
          <w:tcPr>
            <w:tcW w:w="3094" w:type="dxa"/>
            <w:vAlign w:val="center"/>
          </w:tcPr>
          <w:p w14:paraId="1F07E3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依据《中华人民共和国食品安全法》，酒类商品生产许可证已取消，有关处罚事项相应取消。</w:t>
            </w:r>
          </w:p>
        </w:tc>
      </w:tr>
      <w:tr w14:paraId="3D91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7789AF3">
            <w:pPr>
              <w:numPr>
                <w:ilvl w:val="0"/>
                <w:numId w:val="1"/>
              </w:numPr>
              <w:spacing w:line="320" w:lineRule="exact"/>
              <w:jc w:val="center"/>
              <w:rPr>
                <w:rFonts w:ascii="方正仿宋_GBK" w:hAnsi="Times New Roman" w:eastAsia="方正仿宋_GBK"/>
                <w:szCs w:val="21"/>
              </w:rPr>
            </w:pPr>
          </w:p>
        </w:tc>
        <w:tc>
          <w:tcPr>
            <w:tcW w:w="2126" w:type="dxa"/>
            <w:vAlign w:val="center"/>
          </w:tcPr>
          <w:p w14:paraId="745B9B7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拍卖活动备案</w:t>
            </w:r>
          </w:p>
        </w:tc>
        <w:tc>
          <w:tcPr>
            <w:tcW w:w="709" w:type="dxa"/>
            <w:vAlign w:val="center"/>
          </w:tcPr>
          <w:p w14:paraId="412CD16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15C4946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027400C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《拍卖监督管理办法》（国家工商总局令第59号）第五条</w:t>
            </w:r>
          </w:p>
        </w:tc>
        <w:tc>
          <w:tcPr>
            <w:tcW w:w="3094" w:type="dxa"/>
            <w:vAlign w:val="center"/>
          </w:tcPr>
          <w:p w14:paraId="012789E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《拍卖监督管理办法》（</w:t>
            </w:r>
            <w:r>
              <w:rPr>
                <w:rFonts w:hint="eastAsia" w:ascii="方正仿宋_GBK" w:hAnsi="Times New Roman" w:eastAsia="方正仿宋_GBK"/>
                <w:szCs w:val="21"/>
                <w:shd w:val="clear" w:color="auto" w:fill="FFFFFF"/>
              </w:rPr>
              <w:t>2017年9月30日第二次修订</w:t>
            </w:r>
            <w:r>
              <w:rPr>
                <w:rFonts w:hint="eastAsia" w:ascii="方正仿宋_GBK" w:hAnsi="Times New Roman" w:eastAsia="方正仿宋_GBK"/>
                <w:szCs w:val="21"/>
              </w:rPr>
              <w:t>）已取消本权力事项。</w:t>
            </w:r>
          </w:p>
        </w:tc>
      </w:tr>
      <w:tr w14:paraId="6E98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6912AD5">
            <w:pPr>
              <w:numPr>
                <w:ilvl w:val="0"/>
                <w:numId w:val="1"/>
              </w:numPr>
              <w:spacing w:line="320" w:lineRule="exact"/>
              <w:jc w:val="center"/>
              <w:rPr>
                <w:rFonts w:ascii="方正仿宋_GBK" w:hAnsi="Times New Roman" w:eastAsia="方正仿宋_GBK"/>
                <w:szCs w:val="21"/>
              </w:rPr>
            </w:pPr>
          </w:p>
        </w:tc>
        <w:tc>
          <w:tcPr>
            <w:tcW w:w="2126" w:type="dxa"/>
            <w:vAlign w:val="center"/>
          </w:tcPr>
          <w:p w14:paraId="46960EB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广告经营资格检查</w:t>
            </w:r>
          </w:p>
        </w:tc>
        <w:tc>
          <w:tcPr>
            <w:tcW w:w="709" w:type="dxa"/>
            <w:vAlign w:val="center"/>
          </w:tcPr>
          <w:p w14:paraId="40ECA33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042750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3255789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广告经营许可证管理办法》（国家工商总局令第16号）第十五条、第十六条、第十九条；2．《广告经营资格检查办法》（国家工商总局令第86号修订）第二条、第三条、第四条、第十一条、第十二条、第十五条</w:t>
            </w:r>
          </w:p>
        </w:tc>
        <w:tc>
          <w:tcPr>
            <w:tcW w:w="3094" w:type="dxa"/>
            <w:vAlign w:val="center"/>
          </w:tcPr>
          <w:p w14:paraId="0DC8060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设定依据《广告经营许可证管理办法》（国家工商总局令第16号）、《广告经营资格检查办法》（国家工商总局令第86号修订）已废止。</w:t>
            </w:r>
          </w:p>
        </w:tc>
      </w:tr>
      <w:tr w14:paraId="6D1A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34" w:type="dxa"/>
            <w:vAlign w:val="center"/>
          </w:tcPr>
          <w:p w14:paraId="1CB7F31F">
            <w:pPr>
              <w:numPr>
                <w:ilvl w:val="0"/>
                <w:numId w:val="1"/>
              </w:numPr>
              <w:spacing w:line="320" w:lineRule="exact"/>
              <w:jc w:val="center"/>
              <w:rPr>
                <w:rFonts w:ascii="方正仿宋_GBK" w:hAnsi="Times New Roman" w:eastAsia="方正仿宋_GBK"/>
                <w:szCs w:val="21"/>
              </w:rPr>
            </w:pPr>
          </w:p>
        </w:tc>
        <w:tc>
          <w:tcPr>
            <w:tcW w:w="2126" w:type="dxa"/>
            <w:vAlign w:val="center"/>
          </w:tcPr>
          <w:p w14:paraId="1319487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固定形式印刷品广告登记证撤回和缴销</w:t>
            </w:r>
          </w:p>
        </w:tc>
        <w:tc>
          <w:tcPr>
            <w:tcW w:w="709" w:type="dxa"/>
            <w:vAlign w:val="center"/>
          </w:tcPr>
          <w:p w14:paraId="5F723F5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3477D7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0679C2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《印刷品广告管理办法》（国家工商总局令第17号）第二十条</w:t>
            </w:r>
          </w:p>
        </w:tc>
        <w:tc>
          <w:tcPr>
            <w:tcW w:w="3094" w:type="dxa"/>
            <w:vAlign w:val="center"/>
          </w:tcPr>
          <w:p w14:paraId="5A6952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设定依据《印刷品广告管理办法》（国家工商总局令第17号）已废止。</w:t>
            </w:r>
          </w:p>
        </w:tc>
      </w:tr>
      <w:tr w14:paraId="457E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0808FC3">
            <w:pPr>
              <w:numPr>
                <w:ilvl w:val="0"/>
                <w:numId w:val="1"/>
              </w:numPr>
              <w:spacing w:line="320" w:lineRule="exact"/>
              <w:jc w:val="center"/>
              <w:rPr>
                <w:rFonts w:ascii="方正仿宋_GBK" w:hAnsi="Times New Roman" w:eastAsia="方正仿宋_GBK"/>
                <w:szCs w:val="21"/>
              </w:rPr>
            </w:pPr>
          </w:p>
        </w:tc>
        <w:tc>
          <w:tcPr>
            <w:tcW w:w="2126" w:type="dxa"/>
            <w:vAlign w:val="center"/>
          </w:tcPr>
          <w:p w14:paraId="2DADED0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对未取得检验资格许可证书擅自开展，或超批准的范围开展机动车安全技术检验的处罚</w:t>
            </w:r>
          </w:p>
        </w:tc>
        <w:tc>
          <w:tcPr>
            <w:tcW w:w="709" w:type="dxa"/>
            <w:vAlign w:val="center"/>
          </w:tcPr>
          <w:p w14:paraId="1D569E6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F59666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7D252AF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《机动车安全技术检验机构监督管理办法》（国家质检总局令第121号）第二十五条、第三十一条</w:t>
            </w:r>
          </w:p>
        </w:tc>
        <w:tc>
          <w:tcPr>
            <w:tcW w:w="3094" w:type="dxa"/>
            <w:vAlign w:val="center"/>
          </w:tcPr>
          <w:p w14:paraId="023268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机动车安全技术检验机构监督管理办法》（国家质检总局令第121号）已废止。《国务院关于第三批取消中央指定地方实施行政许可事项的决定》（国发〔2017〕7号）已取消机动车安全技术检验机构检验资格许可事项，相应处罚随之取消。</w:t>
            </w:r>
          </w:p>
        </w:tc>
      </w:tr>
      <w:tr w14:paraId="4B7A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DA0B9A8">
            <w:pPr>
              <w:numPr>
                <w:ilvl w:val="0"/>
                <w:numId w:val="1"/>
              </w:numPr>
              <w:spacing w:line="320" w:lineRule="exact"/>
              <w:jc w:val="center"/>
              <w:rPr>
                <w:rFonts w:ascii="方正仿宋_GBK" w:hAnsi="Times New Roman" w:eastAsia="方正仿宋_GBK"/>
                <w:szCs w:val="21"/>
              </w:rPr>
            </w:pPr>
          </w:p>
        </w:tc>
        <w:tc>
          <w:tcPr>
            <w:tcW w:w="2126" w:type="dxa"/>
            <w:vAlign w:val="center"/>
          </w:tcPr>
          <w:p w14:paraId="2AC0D4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对伪造、冒用计量许可证书、标志、编号，变造、倒卖、出租、出借或者以其他方式非法转让其证书、标志、编号违法行为的处罚</w:t>
            </w:r>
          </w:p>
        </w:tc>
        <w:tc>
          <w:tcPr>
            <w:tcW w:w="709" w:type="dxa"/>
            <w:vAlign w:val="center"/>
          </w:tcPr>
          <w:p w14:paraId="5704F9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958FDA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0438CF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《制造、修理计量器具许可监督管理办法》（国家质检总局令第104号）第四十二条</w:t>
            </w:r>
          </w:p>
        </w:tc>
        <w:tc>
          <w:tcPr>
            <w:tcW w:w="3094" w:type="dxa"/>
            <w:vAlign w:val="center"/>
          </w:tcPr>
          <w:p w14:paraId="78FC65C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设定依据《制造、修理计量器具许可监督管理办法》（国家质检总局令第104号）已废止。《中华人民共和国计量法》已取消制造、修理计量器具许可审批事项，相应处罚随之取消。</w:t>
            </w:r>
          </w:p>
        </w:tc>
      </w:tr>
      <w:tr w14:paraId="68B9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57CD3D7">
            <w:pPr>
              <w:numPr>
                <w:ilvl w:val="0"/>
                <w:numId w:val="1"/>
              </w:numPr>
              <w:spacing w:line="320" w:lineRule="exact"/>
              <w:jc w:val="center"/>
              <w:rPr>
                <w:rFonts w:ascii="方正仿宋_GBK" w:hAnsi="Times New Roman" w:eastAsia="方正仿宋_GBK"/>
                <w:szCs w:val="21"/>
              </w:rPr>
            </w:pPr>
          </w:p>
        </w:tc>
        <w:tc>
          <w:tcPr>
            <w:tcW w:w="2126" w:type="dxa"/>
            <w:vAlign w:val="center"/>
          </w:tcPr>
          <w:p w14:paraId="2C720A4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对未按照规定办理、使用组织机构代码证等违法行为的处罚</w:t>
            </w:r>
          </w:p>
        </w:tc>
        <w:tc>
          <w:tcPr>
            <w:tcW w:w="709" w:type="dxa"/>
            <w:vAlign w:val="center"/>
          </w:tcPr>
          <w:p w14:paraId="05C7B42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B443E0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5D69E7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1．《组织机构代码管理办法》（国家质检总局令第158号）第二十五条；2．《重庆市统一代码管理办法》（重庆市人民政府令第94号）第十六条、第十七条</w:t>
            </w:r>
          </w:p>
        </w:tc>
        <w:tc>
          <w:tcPr>
            <w:tcW w:w="3094" w:type="dxa"/>
            <w:vAlign w:val="center"/>
          </w:tcPr>
          <w:p w14:paraId="6175955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设定依据《组织机构代码管理办法》（国家质检总局令第158号）、《重庆市统一代码管理办法》（重庆市人民政府令第94号）已废止。</w:t>
            </w:r>
          </w:p>
        </w:tc>
      </w:tr>
      <w:tr w14:paraId="2760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783DB11">
            <w:pPr>
              <w:numPr>
                <w:ilvl w:val="0"/>
                <w:numId w:val="1"/>
              </w:numPr>
              <w:spacing w:line="320" w:lineRule="exact"/>
              <w:jc w:val="center"/>
              <w:rPr>
                <w:rFonts w:ascii="方正仿宋_GBK" w:hAnsi="Times New Roman" w:eastAsia="方正仿宋_GBK"/>
                <w:szCs w:val="21"/>
              </w:rPr>
            </w:pPr>
          </w:p>
        </w:tc>
        <w:tc>
          <w:tcPr>
            <w:tcW w:w="2126" w:type="dxa"/>
            <w:vAlign w:val="center"/>
          </w:tcPr>
          <w:p w14:paraId="2DA21C8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对未取得设备监理单位资格而承揽设备监理业务，或超范围实施监理行为的处罚</w:t>
            </w:r>
          </w:p>
        </w:tc>
        <w:tc>
          <w:tcPr>
            <w:tcW w:w="709" w:type="dxa"/>
            <w:vAlign w:val="center"/>
          </w:tcPr>
          <w:p w14:paraId="2560235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05E1E8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w:t>
            </w:r>
            <w:r>
              <w:rPr>
                <w:rFonts w:ascii="方正仿宋_GBK" w:hAnsi="Times New Roman" w:eastAsia="方正仿宋_GBK"/>
                <w:szCs w:val="21"/>
              </w:rPr>
              <w:t>市场监管局</w:t>
            </w:r>
          </w:p>
        </w:tc>
        <w:tc>
          <w:tcPr>
            <w:tcW w:w="2126" w:type="dxa"/>
            <w:vAlign w:val="center"/>
          </w:tcPr>
          <w:p w14:paraId="0356F9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《设备监理单位资格管理办法》（国家质检总局令第157号）第二十四条</w:t>
            </w:r>
          </w:p>
        </w:tc>
        <w:tc>
          <w:tcPr>
            <w:tcW w:w="3094" w:type="dxa"/>
            <w:vAlign w:val="center"/>
          </w:tcPr>
          <w:p w14:paraId="509E121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《国务院关于第二批取消152项中央指定地方实施行政审批事项的决定》（国发〔2016〕9号）已取消设备监理单位有关资格证书核发事项，相应处罚随之取消。</w:t>
            </w:r>
          </w:p>
        </w:tc>
      </w:tr>
      <w:tr w14:paraId="347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34" w:type="dxa"/>
            <w:vAlign w:val="center"/>
          </w:tcPr>
          <w:p w14:paraId="39AF6AB6">
            <w:pPr>
              <w:numPr>
                <w:ilvl w:val="0"/>
                <w:numId w:val="1"/>
              </w:numPr>
              <w:spacing w:line="320" w:lineRule="exact"/>
              <w:jc w:val="center"/>
              <w:rPr>
                <w:rFonts w:ascii="方正仿宋_GBK" w:hAnsi="Times New Roman" w:eastAsia="方正仿宋_GBK"/>
                <w:szCs w:val="21"/>
              </w:rPr>
            </w:pPr>
          </w:p>
        </w:tc>
        <w:tc>
          <w:tcPr>
            <w:tcW w:w="2126" w:type="dxa"/>
            <w:vAlign w:val="center"/>
          </w:tcPr>
          <w:p w14:paraId="427FA3E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对生产、销售、使用小型和常压锅炉违法行为的处罚</w:t>
            </w:r>
          </w:p>
        </w:tc>
        <w:tc>
          <w:tcPr>
            <w:tcW w:w="709" w:type="dxa"/>
            <w:vAlign w:val="center"/>
          </w:tcPr>
          <w:p w14:paraId="4C53F16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BBDFD5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县市场监管局</w:t>
            </w:r>
          </w:p>
        </w:tc>
        <w:tc>
          <w:tcPr>
            <w:tcW w:w="2126" w:type="dxa"/>
            <w:vAlign w:val="center"/>
          </w:tcPr>
          <w:p w14:paraId="58BF9E6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《小型和常压热水锅炉安全监察规定》（国家质量技术监督局令第11号）第五十四条、第五十五条</w:t>
            </w:r>
          </w:p>
        </w:tc>
        <w:tc>
          <w:tcPr>
            <w:tcW w:w="3094" w:type="dxa"/>
            <w:vAlign w:val="center"/>
          </w:tcPr>
          <w:p w14:paraId="3CB85FD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设定依据《小型和常压热水锅炉安全监察规定》（国家质量技术监督局令第11号）已废止。</w:t>
            </w:r>
          </w:p>
        </w:tc>
      </w:tr>
      <w:tr w14:paraId="4DED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8DDE765">
            <w:pPr>
              <w:numPr>
                <w:ilvl w:val="0"/>
                <w:numId w:val="1"/>
              </w:numPr>
              <w:spacing w:line="320" w:lineRule="exact"/>
              <w:jc w:val="center"/>
              <w:rPr>
                <w:rFonts w:ascii="方正仿宋_GBK" w:hAnsi="Times New Roman" w:eastAsia="方正仿宋_GBK"/>
                <w:szCs w:val="21"/>
              </w:rPr>
            </w:pPr>
          </w:p>
        </w:tc>
        <w:tc>
          <w:tcPr>
            <w:tcW w:w="2126" w:type="dxa"/>
            <w:vAlign w:val="center"/>
          </w:tcPr>
          <w:p w14:paraId="677450C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对不按照批准的用途使用环境保护专项资金的处罚</w:t>
            </w:r>
          </w:p>
        </w:tc>
        <w:tc>
          <w:tcPr>
            <w:tcW w:w="709" w:type="dxa"/>
            <w:vAlign w:val="center"/>
          </w:tcPr>
          <w:p w14:paraId="235FD6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D0ACE7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6054DEC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《排污费征收使用管理条例》第二十三条</w:t>
            </w:r>
          </w:p>
        </w:tc>
        <w:tc>
          <w:tcPr>
            <w:tcW w:w="3094" w:type="dxa"/>
            <w:vAlign w:val="center"/>
          </w:tcPr>
          <w:p w14:paraId="6D9948D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设定依据《排污费征收使用管理条例》已废止。</w:t>
            </w:r>
          </w:p>
        </w:tc>
      </w:tr>
      <w:tr w14:paraId="7645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AE60E27">
            <w:pPr>
              <w:numPr>
                <w:ilvl w:val="0"/>
                <w:numId w:val="1"/>
              </w:numPr>
              <w:spacing w:line="320" w:lineRule="exact"/>
              <w:jc w:val="center"/>
              <w:rPr>
                <w:rFonts w:ascii="方正仿宋_GBK" w:hAnsi="Times New Roman" w:eastAsia="方正仿宋_GBK"/>
                <w:szCs w:val="21"/>
              </w:rPr>
            </w:pPr>
          </w:p>
        </w:tc>
        <w:tc>
          <w:tcPr>
            <w:tcW w:w="2126" w:type="dxa"/>
            <w:vAlign w:val="center"/>
          </w:tcPr>
          <w:p w14:paraId="602979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危险化学品生产、使用、储存企业风险源申报登记</w:t>
            </w:r>
          </w:p>
        </w:tc>
        <w:tc>
          <w:tcPr>
            <w:tcW w:w="709" w:type="dxa"/>
            <w:vAlign w:val="center"/>
          </w:tcPr>
          <w:p w14:paraId="68A6080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4D5CA19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3328F81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1．《危险化学品安全管理条例》第六条第四项；2．《危险化学品、废弃化学品突发环境事件应急预案》3. 2. 1</w:t>
            </w:r>
          </w:p>
        </w:tc>
        <w:tc>
          <w:tcPr>
            <w:tcW w:w="3094" w:type="dxa"/>
            <w:vAlign w:val="center"/>
          </w:tcPr>
          <w:p w14:paraId="55683B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环境保护部关于废止部分环保部门规章和规范性文件的决定》（环境保护部令第40号）已废止《关于发布〈危险化学品生产使用环境管理登记申请表〉等四项〈危险化学品环境管理登记办法（试行）〉配套文件的通知》（环办〔2013〕28号），原设定依据失效。</w:t>
            </w:r>
          </w:p>
        </w:tc>
      </w:tr>
      <w:tr w14:paraId="01D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012384C">
            <w:pPr>
              <w:numPr>
                <w:ilvl w:val="0"/>
                <w:numId w:val="1"/>
              </w:numPr>
              <w:spacing w:line="320" w:lineRule="exact"/>
              <w:jc w:val="center"/>
              <w:rPr>
                <w:rFonts w:ascii="方正仿宋_GBK" w:hAnsi="Times New Roman" w:eastAsia="方正仿宋_GBK"/>
                <w:szCs w:val="21"/>
              </w:rPr>
            </w:pPr>
          </w:p>
        </w:tc>
        <w:tc>
          <w:tcPr>
            <w:tcW w:w="2126" w:type="dxa"/>
            <w:vAlign w:val="center"/>
          </w:tcPr>
          <w:p w14:paraId="0BDD763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污染物排放申报登记及变更登记</w:t>
            </w:r>
          </w:p>
        </w:tc>
        <w:tc>
          <w:tcPr>
            <w:tcW w:w="709" w:type="dxa"/>
            <w:vAlign w:val="center"/>
          </w:tcPr>
          <w:p w14:paraId="573FB3F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1171BF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204E39A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《中华人民共和国水污染防治法》第二十一条第二款</w:t>
            </w:r>
          </w:p>
        </w:tc>
        <w:tc>
          <w:tcPr>
            <w:tcW w:w="3094" w:type="dxa"/>
            <w:vAlign w:val="center"/>
          </w:tcPr>
          <w:p w14:paraId="27E250E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《中华人民共和国水污染防治法》（2017年6月27日修正）无本事项规定。</w:t>
            </w:r>
          </w:p>
        </w:tc>
      </w:tr>
      <w:tr w14:paraId="7987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8894404">
            <w:pPr>
              <w:numPr>
                <w:ilvl w:val="0"/>
                <w:numId w:val="1"/>
              </w:numPr>
              <w:spacing w:line="320" w:lineRule="exact"/>
              <w:jc w:val="center"/>
              <w:rPr>
                <w:rFonts w:ascii="方正仿宋_GBK" w:hAnsi="Times New Roman" w:eastAsia="方正仿宋_GBK"/>
                <w:szCs w:val="21"/>
              </w:rPr>
            </w:pPr>
          </w:p>
        </w:tc>
        <w:tc>
          <w:tcPr>
            <w:tcW w:w="2126" w:type="dxa"/>
            <w:vAlign w:val="center"/>
          </w:tcPr>
          <w:p w14:paraId="0DEDA3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限期治理验收</w:t>
            </w:r>
          </w:p>
        </w:tc>
        <w:tc>
          <w:tcPr>
            <w:tcW w:w="709" w:type="dxa"/>
            <w:vAlign w:val="center"/>
          </w:tcPr>
          <w:p w14:paraId="07245E4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428073A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48CC4CB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《中华人民共和国水污染防治法实施细则》第十六条</w:t>
            </w:r>
          </w:p>
        </w:tc>
        <w:tc>
          <w:tcPr>
            <w:tcW w:w="3094" w:type="dxa"/>
            <w:vAlign w:val="center"/>
          </w:tcPr>
          <w:p w14:paraId="58EF4C1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1．《中华人民共和国水污染防治法》（2017年6月27日修正）已删除涉及“限期治理”的条款。2．《中华人民共和国水污染防治法实施细则》已废止。</w:t>
            </w:r>
          </w:p>
        </w:tc>
      </w:tr>
      <w:tr w14:paraId="5164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7D25381">
            <w:pPr>
              <w:numPr>
                <w:ilvl w:val="0"/>
                <w:numId w:val="1"/>
              </w:numPr>
              <w:spacing w:line="320" w:lineRule="exact"/>
              <w:jc w:val="center"/>
              <w:rPr>
                <w:rFonts w:ascii="方正仿宋_GBK" w:hAnsi="Times New Roman" w:eastAsia="方正仿宋_GBK"/>
                <w:szCs w:val="21"/>
              </w:rPr>
            </w:pPr>
          </w:p>
        </w:tc>
        <w:tc>
          <w:tcPr>
            <w:tcW w:w="2126" w:type="dxa"/>
            <w:vAlign w:val="center"/>
          </w:tcPr>
          <w:p w14:paraId="401B83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对未将环境保护设施的设计图备案的处罚</w:t>
            </w:r>
          </w:p>
        </w:tc>
        <w:tc>
          <w:tcPr>
            <w:tcW w:w="709" w:type="dxa"/>
            <w:vAlign w:val="center"/>
          </w:tcPr>
          <w:p w14:paraId="392A37E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EDD79C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6D5E8CF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《重庆市环境保护条例》第八条第二款、第九十七条</w:t>
            </w:r>
          </w:p>
        </w:tc>
        <w:tc>
          <w:tcPr>
            <w:tcW w:w="3094" w:type="dxa"/>
            <w:vAlign w:val="center"/>
          </w:tcPr>
          <w:p w14:paraId="2DCE5D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《重庆市环境保护条例》（2018年7月26日修订）已取消本权力事项。</w:t>
            </w:r>
          </w:p>
        </w:tc>
      </w:tr>
      <w:tr w14:paraId="66EF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EE0E72D">
            <w:pPr>
              <w:numPr>
                <w:ilvl w:val="0"/>
                <w:numId w:val="1"/>
              </w:numPr>
              <w:spacing w:line="320" w:lineRule="exact"/>
              <w:jc w:val="center"/>
              <w:rPr>
                <w:rFonts w:ascii="方正仿宋_GBK" w:hAnsi="Times New Roman" w:eastAsia="方正仿宋_GBK"/>
                <w:szCs w:val="21"/>
              </w:rPr>
            </w:pPr>
          </w:p>
        </w:tc>
        <w:tc>
          <w:tcPr>
            <w:tcW w:w="2126" w:type="dxa"/>
            <w:vAlign w:val="center"/>
          </w:tcPr>
          <w:p w14:paraId="686F26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对建设项目未经批准擅自投入试生产或擅自延长试生产期的处罚</w:t>
            </w:r>
          </w:p>
        </w:tc>
        <w:tc>
          <w:tcPr>
            <w:tcW w:w="709" w:type="dxa"/>
            <w:vAlign w:val="center"/>
          </w:tcPr>
          <w:p w14:paraId="3BA3C39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2A819C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2FF3D2B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《重庆市环境保护条例》第八条第二款、第九十八条</w:t>
            </w:r>
          </w:p>
        </w:tc>
        <w:tc>
          <w:tcPr>
            <w:tcW w:w="3094" w:type="dxa"/>
            <w:vAlign w:val="center"/>
          </w:tcPr>
          <w:p w14:paraId="3876337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《重庆市环境保护条例》（2018年7月26日修订）已取消本权力事项。</w:t>
            </w:r>
          </w:p>
        </w:tc>
      </w:tr>
      <w:tr w14:paraId="4A40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E096B60">
            <w:pPr>
              <w:numPr>
                <w:ilvl w:val="0"/>
                <w:numId w:val="1"/>
              </w:numPr>
              <w:spacing w:line="320" w:lineRule="exact"/>
              <w:jc w:val="center"/>
              <w:rPr>
                <w:rFonts w:ascii="方正仿宋_GBK" w:hAnsi="Times New Roman" w:eastAsia="方正仿宋_GBK"/>
                <w:szCs w:val="21"/>
              </w:rPr>
            </w:pPr>
          </w:p>
        </w:tc>
        <w:tc>
          <w:tcPr>
            <w:tcW w:w="2126" w:type="dxa"/>
            <w:vAlign w:val="center"/>
          </w:tcPr>
          <w:p w14:paraId="10E68A6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对试生产建设项目配套建设的环境保护设施未与主体工程同时投入试运行的处罚</w:t>
            </w:r>
          </w:p>
        </w:tc>
        <w:tc>
          <w:tcPr>
            <w:tcW w:w="709" w:type="dxa"/>
            <w:vAlign w:val="center"/>
          </w:tcPr>
          <w:p w14:paraId="4F30259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2168FA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274BA9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1．《建设项目环境保护管理条例》第二十六条；2．《重庆市环境保护条例》第八条第二款</w:t>
            </w:r>
          </w:p>
        </w:tc>
        <w:tc>
          <w:tcPr>
            <w:tcW w:w="3094" w:type="dxa"/>
            <w:vAlign w:val="center"/>
          </w:tcPr>
          <w:p w14:paraId="0E7ACCC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《建设项目环境保护管理条例》（2017年7月16日修订）《重庆市环境保护条例》（2018年7月26日修订）已取消本权力事项。</w:t>
            </w:r>
          </w:p>
        </w:tc>
      </w:tr>
      <w:tr w14:paraId="3C0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4FBFA19">
            <w:pPr>
              <w:numPr>
                <w:ilvl w:val="0"/>
                <w:numId w:val="1"/>
              </w:numPr>
              <w:spacing w:line="320" w:lineRule="exact"/>
              <w:jc w:val="center"/>
              <w:rPr>
                <w:rFonts w:ascii="方正仿宋_GBK" w:hAnsi="Times New Roman" w:eastAsia="方正仿宋_GBK"/>
                <w:szCs w:val="21"/>
              </w:rPr>
            </w:pPr>
          </w:p>
        </w:tc>
        <w:tc>
          <w:tcPr>
            <w:tcW w:w="2126" w:type="dxa"/>
            <w:vAlign w:val="center"/>
          </w:tcPr>
          <w:p w14:paraId="5DDB64D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对建设项目试生产期间违法行为的处罚</w:t>
            </w:r>
          </w:p>
        </w:tc>
        <w:tc>
          <w:tcPr>
            <w:tcW w:w="709" w:type="dxa"/>
            <w:vAlign w:val="center"/>
          </w:tcPr>
          <w:p w14:paraId="2139EE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05F26E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572CF26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1．《建设项目环境保护管理条例》第十八条；2．《重庆市环境保护条例》第八条第二款、第九十八条</w:t>
            </w:r>
          </w:p>
        </w:tc>
        <w:tc>
          <w:tcPr>
            <w:tcW w:w="3094" w:type="dxa"/>
            <w:vAlign w:val="center"/>
          </w:tcPr>
          <w:p w14:paraId="262D51F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《建设项目环境保护管理条例》（2017年7月16日修订）《重庆市环境保护条例》（2018年7月26日修订）已取消本权力事项。</w:t>
            </w:r>
          </w:p>
        </w:tc>
      </w:tr>
      <w:tr w14:paraId="75CF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3CAA945">
            <w:pPr>
              <w:numPr>
                <w:ilvl w:val="0"/>
                <w:numId w:val="1"/>
              </w:numPr>
              <w:spacing w:line="320" w:lineRule="exact"/>
              <w:jc w:val="center"/>
              <w:rPr>
                <w:rFonts w:ascii="方正仿宋_GBK" w:hAnsi="Times New Roman" w:eastAsia="方正仿宋_GBK"/>
                <w:szCs w:val="21"/>
              </w:rPr>
            </w:pPr>
          </w:p>
        </w:tc>
        <w:tc>
          <w:tcPr>
            <w:tcW w:w="2126" w:type="dxa"/>
            <w:vAlign w:val="center"/>
          </w:tcPr>
          <w:p w14:paraId="7BFB1B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对建设项目投入试生产超过3个月且未按限期要求办理环境保护设施竣工验收手续的处罚</w:t>
            </w:r>
          </w:p>
        </w:tc>
        <w:tc>
          <w:tcPr>
            <w:tcW w:w="709" w:type="dxa"/>
            <w:vAlign w:val="center"/>
          </w:tcPr>
          <w:p w14:paraId="079B5B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1B733E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5C9E53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1．《建设项目环境保护管理条例》第二十七条；2．《重庆市环境保护条例》第八条第二款</w:t>
            </w:r>
          </w:p>
        </w:tc>
        <w:tc>
          <w:tcPr>
            <w:tcW w:w="3094" w:type="dxa"/>
            <w:vAlign w:val="center"/>
          </w:tcPr>
          <w:p w14:paraId="5C1E03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《建设项目环境保护管理条例》（</w:t>
            </w:r>
            <w:r>
              <w:rPr>
                <w:rFonts w:hint="eastAsia" w:ascii="方正仿宋_GBK" w:hAnsi="Times New Roman" w:eastAsia="方正仿宋_GBK"/>
                <w:szCs w:val="21"/>
                <w:shd w:val="clear" w:color="auto" w:fill="FFFFFF"/>
              </w:rPr>
              <w:t>2017年7月16日修订</w:t>
            </w:r>
            <w:r>
              <w:rPr>
                <w:rFonts w:hint="eastAsia" w:ascii="方正仿宋_GBK" w:hAnsi="Times New Roman" w:eastAsia="方正仿宋_GBK"/>
                <w:szCs w:val="21"/>
              </w:rPr>
              <w:t>）《重庆市环境保护条例》（</w:t>
            </w:r>
            <w:r>
              <w:rPr>
                <w:rFonts w:hint="eastAsia" w:ascii="方正仿宋_GBK" w:hAnsi="Times New Roman" w:eastAsia="方正仿宋_GBK"/>
                <w:szCs w:val="21"/>
                <w:shd w:val="clear" w:color="auto" w:fill="FFFFFF"/>
              </w:rPr>
              <w:t>2018年7月26日修订</w:t>
            </w:r>
            <w:r>
              <w:rPr>
                <w:rFonts w:hint="eastAsia" w:ascii="方正仿宋_GBK" w:hAnsi="Times New Roman" w:eastAsia="方正仿宋_GBK"/>
                <w:szCs w:val="21"/>
              </w:rPr>
              <w:t>）已取消本权力事项。</w:t>
            </w:r>
          </w:p>
        </w:tc>
      </w:tr>
      <w:tr w14:paraId="628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AAEB01A">
            <w:pPr>
              <w:numPr>
                <w:ilvl w:val="0"/>
                <w:numId w:val="1"/>
              </w:numPr>
              <w:spacing w:line="320" w:lineRule="exact"/>
              <w:jc w:val="center"/>
              <w:rPr>
                <w:rFonts w:ascii="方正仿宋_GBK" w:hAnsi="Times New Roman" w:eastAsia="方正仿宋_GBK"/>
                <w:szCs w:val="21"/>
              </w:rPr>
            </w:pPr>
          </w:p>
        </w:tc>
        <w:tc>
          <w:tcPr>
            <w:tcW w:w="2126" w:type="dxa"/>
            <w:vAlign w:val="center"/>
          </w:tcPr>
          <w:p w14:paraId="14F797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对违反限期治理任务的处罚</w:t>
            </w:r>
          </w:p>
        </w:tc>
        <w:tc>
          <w:tcPr>
            <w:tcW w:w="709" w:type="dxa"/>
            <w:vAlign w:val="center"/>
          </w:tcPr>
          <w:p w14:paraId="653278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1EE87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459E2A2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水污染防治法》第七十四条；2．《中华人民共和国大气污染防治法》第四十八条；3．《中华人民共和国环境噪声污染防治法》第十七条、第五十二条；4．《中华人民共和国固体废物污染环境防治法》第八十一条；5．《重庆市环境保护条例》第八条第二款</w:t>
            </w:r>
          </w:p>
        </w:tc>
        <w:tc>
          <w:tcPr>
            <w:tcW w:w="3094" w:type="dxa"/>
            <w:vAlign w:val="center"/>
          </w:tcPr>
          <w:p w14:paraId="3252B07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《中华人民共和国环境保护法》（</w:t>
            </w:r>
            <w:r>
              <w:rPr>
                <w:rFonts w:hint="eastAsia" w:ascii="方正仿宋_GBK" w:hAnsi="Times New Roman" w:eastAsia="方正仿宋_GBK"/>
                <w:szCs w:val="21"/>
                <w:shd w:val="clear" w:color="auto" w:fill="FFFFFF"/>
              </w:rPr>
              <w:t>2014年4月24日修订</w:t>
            </w:r>
            <w:r>
              <w:rPr>
                <w:rFonts w:hint="eastAsia" w:ascii="方正仿宋_GBK" w:hAnsi="Times New Roman" w:eastAsia="方正仿宋_GBK"/>
                <w:szCs w:val="21"/>
              </w:rPr>
              <w:t>）已删除“限期治理”有关规定。作为本权力事项直接依据的相关单行法律、法规也陆续修订。</w:t>
            </w:r>
          </w:p>
        </w:tc>
      </w:tr>
      <w:tr w14:paraId="26C2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32BEBA7">
            <w:pPr>
              <w:numPr>
                <w:ilvl w:val="0"/>
                <w:numId w:val="1"/>
              </w:numPr>
              <w:spacing w:line="320" w:lineRule="exact"/>
              <w:jc w:val="center"/>
              <w:rPr>
                <w:rFonts w:ascii="方正仿宋_GBK" w:hAnsi="Times New Roman" w:eastAsia="方正仿宋_GBK"/>
                <w:szCs w:val="21"/>
              </w:rPr>
            </w:pPr>
          </w:p>
        </w:tc>
        <w:tc>
          <w:tcPr>
            <w:tcW w:w="2126" w:type="dxa"/>
            <w:vAlign w:val="center"/>
          </w:tcPr>
          <w:p w14:paraId="27F4F8A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对排污者未按照规定缴纳或以欺骗手段骗取批准减缴、免缴或者缓缴排污费的处罚</w:t>
            </w:r>
          </w:p>
        </w:tc>
        <w:tc>
          <w:tcPr>
            <w:tcW w:w="709" w:type="dxa"/>
            <w:vAlign w:val="center"/>
          </w:tcPr>
          <w:p w14:paraId="48A5764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1E1889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338491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环境噪声污染防治法》第五十一条；2．《中华人民共和国固体废物污染环境防治法》第七十五条；3．《排污费征收使用管理条例》第二十一条、第二十二条；4．《重庆市环境保护条例》第八条第二款</w:t>
            </w:r>
          </w:p>
        </w:tc>
        <w:tc>
          <w:tcPr>
            <w:tcW w:w="3094" w:type="dxa"/>
            <w:vAlign w:val="center"/>
          </w:tcPr>
          <w:p w14:paraId="78FC3F3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《中华人民共和国环境保护税法》实施后，排污费已停止征收。</w:t>
            </w:r>
          </w:p>
        </w:tc>
      </w:tr>
      <w:tr w14:paraId="4ED3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5892375">
            <w:pPr>
              <w:numPr>
                <w:ilvl w:val="0"/>
                <w:numId w:val="1"/>
              </w:numPr>
              <w:spacing w:line="320" w:lineRule="exact"/>
              <w:jc w:val="center"/>
              <w:rPr>
                <w:rFonts w:ascii="方正仿宋_GBK" w:hAnsi="Times New Roman" w:eastAsia="方正仿宋_GBK"/>
                <w:szCs w:val="21"/>
              </w:rPr>
            </w:pPr>
          </w:p>
        </w:tc>
        <w:tc>
          <w:tcPr>
            <w:tcW w:w="2126" w:type="dxa"/>
            <w:vAlign w:val="center"/>
          </w:tcPr>
          <w:p w14:paraId="756DB35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排污费征收</w:t>
            </w:r>
          </w:p>
        </w:tc>
        <w:tc>
          <w:tcPr>
            <w:tcW w:w="709" w:type="dxa"/>
            <w:vAlign w:val="center"/>
          </w:tcPr>
          <w:p w14:paraId="181CC4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3845600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440E77A1">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1．《排污费征收使用管理条例》第二条；2．《排污费征收标准管理办法》第三条</w:t>
            </w:r>
          </w:p>
        </w:tc>
        <w:tc>
          <w:tcPr>
            <w:tcW w:w="3094" w:type="dxa"/>
            <w:vAlign w:val="center"/>
          </w:tcPr>
          <w:p w14:paraId="1F26508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《中华人民共和国环境保护税法》实施后，排污费已停止征收。</w:t>
            </w:r>
          </w:p>
        </w:tc>
      </w:tr>
      <w:tr w14:paraId="1AF2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ED4858A">
            <w:pPr>
              <w:numPr>
                <w:ilvl w:val="0"/>
                <w:numId w:val="1"/>
              </w:numPr>
              <w:spacing w:line="320" w:lineRule="exact"/>
              <w:jc w:val="center"/>
              <w:rPr>
                <w:rFonts w:ascii="方正仿宋_GBK" w:hAnsi="Times New Roman" w:eastAsia="方正仿宋_GBK"/>
                <w:szCs w:val="21"/>
              </w:rPr>
            </w:pPr>
          </w:p>
        </w:tc>
        <w:tc>
          <w:tcPr>
            <w:tcW w:w="2126" w:type="dxa"/>
            <w:vAlign w:val="center"/>
          </w:tcPr>
          <w:p w14:paraId="2389B40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城市放射性废物收贮费征收</w:t>
            </w:r>
          </w:p>
        </w:tc>
        <w:tc>
          <w:tcPr>
            <w:tcW w:w="709" w:type="dxa"/>
            <w:vAlign w:val="center"/>
          </w:tcPr>
          <w:p w14:paraId="49EC50F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2D32A74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710F32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放射性污染防治法》第四十五条；2．《放射性废物安全管理条例》第十九条；3．《重庆市环境保护条例》第七十五条；4．《城市放射性废物管理办法》（国家环保总局环放字第239号）第三十六条；5．《市机构编制委员会关于同意设立重庆市辐射环境监督管理站的批复》（渝编〔2013〕109号）</w:t>
            </w:r>
          </w:p>
        </w:tc>
        <w:tc>
          <w:tcPr>
            <w:tcW w:w="3094" w:type="dxa"/>
            <w:vAlign w:val="center"/>
          </w:tcPr>
          <w:p w14:paraId="04237D2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根据《财政部国家发展改革委关于清理规范一批行政事业性收费有关政策的通知》（财税〔2017〕20号），城市放射性废物收贮费已停止征收。</w:t>
            </w:r>
          </w:p>
        </w:tc>
      </w:tr>
      <w:tr w14:paraId="59EC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8444477">
            <w:pPr>
              <w:numPr>
                <w:ilvl w:val="0"/>
                <w:numId w:val="1"/>
              </w:numPr>
              <w:spacing w:line="320" w:lineRule="exact"/>
              <w:jc w:val="center"/>
              <w:rPr>
                <w:rFonts w:ascii="方正仿宋_GBK" w:hAnsi="Times New Roman" w:eastAsia="方正仿宋_GBK"/>
                <w:szCs w:val="21"/>
              </w:rPr>
            </w:pPr>
          </w:p>
        </w:tc>
        <w:tc>
          <w:tcPr>
            <w:tcW w:w="2126" w:type="dxa"/>
            <w:vAlign w:val="center"/>
          </w:tcPr>
          <w:p w14:paraId="1F9D4A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机动车环保标志核发</w:t>
            </w:r>
          </w:p>
        </w:tc>
        <w:tc>
          <w:tcPr>
            <w:tcW w:w="709" w:type="dxa"/>
            <w:vAlign w:val="center"/>
          </w:tcPr>
          <w:p w14:paraId="07F372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0BADA1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4C6113E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1．《重庆市机动车排气污染防治办法》（重庆市人民政府令第236号）第十三条；2．《机动车环保检验合格标志管理规定》（环发〔2009〕87号）第五条</w:t>
            </w:r>
          </w:p>
        </w:tc>
        <w:tc>
          <w:tcPr>
            <w:tcW w:w="3094" w:type="dxa"/>
            <w:vAlign w:val="center"/>
          </w:tcPr>
          <w:p w14:paraId="673DF29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《中华人民共和国大气污染防治法》（</w:t>
            </w:r>
            <w:r>
              <w:rPr>
                <w:rFonts w:hint="eastAsia" w:ascii="方正仿宋_GBK" w:hAnsi="Times New Roman" w:eastAsia="方正仿宋_GBK"/>
                <w:szCs w:val="21"/>
                <w:shd w:val="clear" w:color="auto" w:fill="FFFFFF"/>
              </w:rPr>
              <w:t>2018年修正</w:t>
            </w:r>
            <w:r>
              <w:rPr>
                <w:rFonts w:hint="eastAsia" w:ascii="方正仿宋_GBK" w:hAnsi="Times New Roman" w:eastAsia="方正仿宋_GBK"/>
                <w:szCs w:val="21"/>
              </w:rPr>
              <w:t>）已取消本权力事项。《环保部公安部国家认监委关于进一步规范排放检验加强机动车环境监督管理工作的通知》（国环规大气〔2016〕2号）已明确环保部门不再核发机动车环保检验合格标志。</w:t>
            </w:r>
          </w:p>
        </w:tc>
      </w:tr>
      <w:tr w14:paraId="14F1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35E5799">
            <w:pPr>
              <w:numPr>
                <w:ilvl w:val="0"/>
                <w:numId w:val="1"/>
              </w:numPr>
              <w:spacing w:line="320" w:lineRule="exact"/>
              <w:jc w:val="center"/>
              <w:rPr>
                <w:rFonts w:ascii="方正仿宋_GBK" w:hAnsi="Times New Roman" w:eastAsia="方正仿宋_GBK"/>
                <w:szCs w:val="21"/>
              </w:rPr>
            </w:pPr>
          </w:p>
        </w:tc>
        <w:tc>
          <w:tcPr>
            <w:tcW w:w="2126" w:type="dxa"/>
            <w:vAlign w:val="center"/>
          </w:tcPr>
          <w:p w14:paraId="4EAA5A6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危险化学品生产使用环境管理登记</w:t>
            </w:r>
          </w:p>
        </w:tc>
        <w:tc>
          <w:tcPr>
            <w:tcW w:w="709" w:type="dxa"/>
            <w:vAlign w:val="center"/>
          </w:tcPr>
          <w:p w14:paraId="3FB931C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2D29FF7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县生态环境局</w:t>
            </w:r>
          </w:p>
        </w:tc>
        <w:tc>
          <w:tcPr>
            <w:tcW w:w="2126" w:type="dxa"/>
            <w:vAlign w:val="center"/>
          </w:tcPr>
          <w:p w14:paraId="5E7D5CA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《危险化学品环境管理登记办法（试行）》（环境保护部令第22号）第七条</w:t>
            </w:r>
          </w:p>
        </w:tc>
        <w:tc>
          <w:tcPr>
            <w:tcW w:w="3094" w:type="dxa"/>
            <w:vAlign w:val="center"/>
          </w:tcPr>
          <w:p w14:paraId="03CB5F8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《关于废止部分环保部门规章和规范性文件的决定》（环境保护部令第40号）已废止设定依据《危险化学品环境管理登记办法（试行）》。</w:t>
            </w:r>
          </w:p>
        </w:tc>
      </w:tr>
      <w:tr w14:paraId="11E1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4A5F8CB">
            <w:pPr>
              <w:numPr>
                <w:ilvl w:val="0"/>
                <w:numId w:val="1"/>
              </w:numPr>
              <w:spacing w:line="320" w:lineRule="exact"/>
              <w:jc w:val="center"/>
              <w:rPr>
                <w:rFonts w:ascii="方正仿宋_GBK" w:hAnsi="Times New Roman" w:eastAsia="方正仿宋_GBK"/>
                <w:szCs w:val="21"/>
              </w:rPr>
            </w:pPr>
          </w:p>
        </w:tc>
        <w:tc>
          <w:tcPr>
            <w:tcW w:w="2126" w:type="dxa"/>
            <w:vAlign w:val="center"/>
          </w:tcPr>
          <w:p w14:paraId="09CEFE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对再生资源回收企业未按规定备案的处罚</w:t>
            </w:r>
          </w:p>
        </w:tc>
        <w:tc>
          <w:tcPr>
            <w:tcW w:w="709" w:type="dxa"/>
            <w:vAlign w:val="center"/>
          </w:tcPr>
          <w:p w14:paraId="5F2A78F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D6ED2C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县商务委</w:t>
            </w:r>
          </w:p>
        </w:tc>
        <w:tc>
          <w:tcPr>
            <w:tcW w:w="2126" w:type="dxa"/>
            <w:vAlign w:val="center"/>
          </w:tcPr>
          <w:p w14:paraId="2F9B17E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《再生资源回收管理办法》（商务部、国家发展改革委、公安部、建设部、国家工商总局、国家环保总局令第8号）第二十一条</w:t>
            </w:r>
          </w:p>
        </w:tc>
        <w:tc>
          <w:tcPr>
            <w:tcW w:w="3094" w:type="dxa"/>
            <w:vAlign w:val="center"/>
          </w:tcPr>
          <w:p w14:paraId="085EB6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《国家工商总局等十三部门关于推进全国统一“多证合一”改革的意见》（工商企注字〔2018〕31号）已取消本权力事项。</w:t>
            </w:r>
          </w:p>
        </w:tc>
      </w:tr>
      <w:tr w14:paraId="6714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853AB56">
            <w:pPr>
              <w:numPr>
                <w:ilvl w:val="0"/>
                <w:numId w:val="1"/>
              </w:numPr>
              <w:spacing w:line="320" w:lineRule="exact"/>
              <w:jc w:val="center"/>
              <w:rPr>
                <w:rFonts w:ascii="方正仿宋_GBK" w:hAnsi="Times New Roman" w:eastAsia="方正仿宋_GBK"/>
                <w:szCs w:val="21"/>
              </w:rPr>
            </w:pPr>
          </w:p>
        </w:tc>
        <w:tc>
          <w:tcPr>
            <w:tcW w:w="2126" w:type="dxa"/>
            <w:vAlign w:val="center"/>
          </w:tcPr>
          <w:p w14:paraId="6653BEA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二手车交易市场和经营主体备案</w:t>
            </w:r>
          </w:p>
        </w:tc>
        <w:tc>
          <w:tcPr>
            <w:tcW w:w="709" w:type="dxa"/>
            <w:vAlign w:val="center"/>
          </w:tcPr>
          <w:p w14:paraId="3C3CED2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DAEA56E">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2CC410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《二手车流通管理办法》（商务部、公安部、国家工商总局、国家税务总局2005年第2号令）第三十条</w:t>
            </w:r>
          </w:p>
        </w:tc>
        <w:tc>
          <w:tcPr>
            <w:tcW w:w="3094" w:type="dxa"/>
            <w:vAlign w:val="center"/>
          </w:tcPr>
          <w:p w14:paraId="5BFE684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《重庆市人民政府关于公布2014年行政审批制度改革事项目录（第一批）的决定》（渝府发〔2014〕32号），取消了二手车交易市场准入条件，2015年以来已不再实施二手车交易市场备案。</w:t>
            </w:r>
          </w:p>
        </w:tc>
      </w:tr>
      <w:tr w14:paraId="66E1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E5C2185">
            <w:pPr>
              <w:numPr>
                <w:ilvl w:val="0"/>
                <w:numId w:val="1"/>
              </w:numPr>
              <w:spacing w:line="320" w:lineRule="exact"/>
              <w:jc w:val="center"/>
              <w:rPr>
                <w:rFonts w:ascii="方正仿宋_GBK" w:hAnsi="Times New Roman" w:eastAsia="方正仿宋_GBK"/>
                <w:szCs w:val="21"/>
              </w:rPr>
            </w:pPr>
          </w:p>
        </w:tc>
        <w:tc>
          <w:tcPr>
            <w:tcW w:w="2126" w:type="dxa"/>
            <w:vAlign w:val="center"/>
          </w:tcPr>
          <w:p w14:paraId="5D118D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对经营者不履行备案登记手续或备案登记事项变化后不履行变更手续的处罚</w:t>
            </w:r>
          </w:p>
        </w:tc>
        <w:tc>
          <w:tcPr>
            <w:tcW w:w="709" w:type="dxa"/>
            <w:vAlign w:val="center"/>
          </w:tcPr>
          <w:p w14:paraId="0716BF9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B55C828">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243514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《酒类流通管理办法》（商务部令第25号）第六条、第二十七条第一款</w:t>
            </w:r>
          </w:p>
        </w:tc>
        <w:tc>
          <w:tcPr>
            <w:tcW w:w="3094" w:type="dxa"/>
            <w:vAlign w:val="center"/>
          </w:tcPr>
          <w:p w14:paraId="06D108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16F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2E739B7">
            <w:pPr>
              <w:numPr>
                <w:ilvl w:val="0"/>
                <w:numId w:val="1"/>
              </w:numPr>
              <w:spacing w:line="320" w:lineRule="exact"/>
              <w:jc w:val="center"/>
              <w:rPr>
                <w:rFonts w:ascii="方正仿宋_GBK" w:hAnsi="Times New Roman" w:eastAsia="方正仿宋_GBK"/>
                <w:szCs w:val="21"/>
              </w:rPr>
            </w:pPr>
          </w:p>
        </w:tc>
        <w:tc>
          <w:tcPr>
            <w:tcW w:w="2126" w:type="dxa"/>
            <w:vAlign w:val="center"/>
          </w:tcPr>
          <w:p w14:paraId="4A9CFEA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对供货商违反酒类流通溯源制度的处罚</w:t>
            </w:r>
          </w:p>
        </w:tc>
        <w:tc>
          <w:tcPr>
            <w:tcW w:w="709" w:type="dxa"/>
            <w:vAlign w:val="center"/>
          </w:tcPr>
          <w:p w14:paraId="215F0D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777087C">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24F2F2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《酒类流通管理办法》（商务部令第25号）第十四条、二十八条</w:t>
            </w:r>
          </w:p>
        </w:tc>
        <w:tc>
          <w:tcPr>
            <w:tcW w:w="3094" w:type="dxa"/>
            <w:vAlign w:val="center"/>
          </w:tcPr>
          <w:p w14:paraId="3EEE8E7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1079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010E4A5">
            <w:pPr>
              <w:numPr>
                <w:ilvl w:val="0"/>
                <w:numId w:val="1"/>
              </w:numPr>
              <w:spacing w:line="320" w:lineRule="exact"/>
              <w:jc w:val="center"/>
              <w:rPr>
                <w:rFonts w:ascii="方正仿宋_GBK" w:hAnsi="Times New Roman" w:eastAsia="方正仿宋_GBK"/>
                <w:szCs w:val="21"/>
              </w:rPr>
            </w:pPr>
          </w:p>
        </w:tc>
        <w:tc>
          <w:tcPr>
            <w:tcW w:w="2126" w:type="dxa"/>
            <w:vAlign w:val="center"/>
          </w:tcPr>
          <w:p w14:paraId="05A58A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对进货商违反酒类流通溯源制度的处罚</w:t>
            </w:r>
          </w:p>
        </w:tc>
        <w:tc>
          <w:tcPr>
            <w:tcW w:w="709" w:type="dxa"/>
            <w:vAlign w:val="center"/>
          </w:tcPr>
          <w:p w14:paraId="78E6929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596FE56">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23607F8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《酒类流通管理办法》（商务部令第25号）第十五条、二十八条</w:t>
            </w:r>
          </w:p>
        </w:tc>
        <w:tc>
          <w:tcPr>
            <w:tcW w:w="3094" w:type="dxa"/>
            <w:vAlign w:val="center"/>
          </w:tcPr>
          <w:p w14:paraId="6A165D9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3ABD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CC0AB05">
            <w:pPr>
              <w:numPr>
                <w:ilvl w:val="0"/>
                <w:numId w:val="1"/>
              </w:numPr>
              <w:spacing w:line="320" w:lineRule="exact"/>
              <w:jc w:val="center"/>
              <w:rPr>
                <w:rFonts w:ascii="方正仿宋_GBK" w:hAnsi="Times New Roman" w:eastAsia="方正仿宋_GBK"/>
                <w:szCs w:val="21"/>
              </w:rPr>
            </w:pPr>
          </w:p>
        </w:tc>
        <w:tc>
          <w:tcPr>
            <w:tcW w:w="2126" w:type="dxa"/>
            <w:vAlign w:val="center"/>
          </w:tcPr>
          <w:p w14:paraId="088CC16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对违反酒类商品储运规定的处罚</w:t>
            </w:r>
          </w:p>
        </w:tc>
        <w:tc>
          <w:tcPr>
            <w:tcW w:w="709" w:type="dxa"/>
            <w:vAlign w:val="center"/>
          </w:tcPr>
          <w:p w14:paraId="1A30196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0A46944">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69A17F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《酒类流通管理办法》（商务部令第25号）第十七条、二十九条</w:t>
            </w:r>
          </w:p>
        </w:tc>
        <w:tc>
          <w:tcPr>
            <w:tcW w:w="3094" w:type="dxa"/>
            <w:vAlign w:val="center"/>
          </w:tcPr>
          <w:p w14:paraId="57A8919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3BE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2B757CA">
            <w:pPr>
              <w:numPr>
                <w:ilvl w:val="0"/>
                <w:numId w:val="1"/>
              </w:numPr>
              <w:spacing w:line="320" w:lineRule="exact"/>
              <w:jc w:val="center"/>
              <w:rPr>
                <w:rFonts w:ascii="方正仿宋_GBK" w:hAnsi="Times New Roman" w:eastAsia="方正仿宋_GBK"/>
                <w:szCs w:val="21"/>
              </w:rPr>
            </w:pPr>
          </w:p>
        </w:tc>
        <w:tc>
          <w:tcPr>
            <w:tcW w:w="2126" w:type="dxa"/>
            <w:vAlign w:val="center"/>
          </w:tcPr>
          <w:p w14:paraId="42F1E30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对转移销毁待查受检酒类商品的处罚</w:t>
            </w:r>
          </w:p>
        </w:tc>
        <w:tc>
          <w:tcPr>
            <w:tcW w:w="709" w:type="dxa"/>
            <w:vAlign w:val="center"/>
          </w:tcPr>
          <w:p w14:paraId="4FF0E5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EFB2989">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4863FDF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《酒类流通管理办法》（商务部令第25号）第二十二条第三款、第三十二条</w:t>
            </w:r>
          </w:p>
        </w:tc>
        <w:tc>
          <w:tcPr>
            <w:tcW w:w="3094" w:type="dxa"/>
            <w:vAlign w:val="center"/>
          </w:tcPr>
          <w:p w14:paraId="73899BF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272D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81F565E">
            <w:pPr>
              <w:numPr>
                <w:ilvl w:val="0"/>
                <w:numId w:val="1"/>
              </w:numPr>
              <w:spacing w:line="320" w:lineRule="exact"/>
              <w:jc w:val="center"/>
              <w:rPr>
                <w:rFonts w:ascii="方正仿宋_GBK" w:hAnsi="Times New Roman" w:eastAsia="方正仿宋_GBK"/>
                <w:szCs w:val="21"/>
              </w:rPr>
            </w:pPr>
          </w:p>
        </w:tc>
        <w:tc>
          <w:tcPr>
            <w:tcW w:w="2126" w:type="dxa"/>
            <w:vAlign w:val="center"/>
          </w:tcPr>
          <w:p w14:paraId="5FA45F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酒类流通委托执法权</w:t>
            </w:r>
          </w:p>
        </w:tc>
        <w:tc>
          <w:tcPr>
            <w:tcW w:w="709" w:type="dxa"/>
            <w:vAlign w:val="center"/>
          </w:tcPr>
          <w:p w14:paraId="4CDC6B1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4C5F09F9">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525F4A4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《酒类流通管理办法》（商务部令第25号）第三十六条</w:t>
            </w:r>
          </w:p>
        </w:tc>
        <w:tc>
          <w:tcPr>
            <w:tcW w:w="3094" w:type="dxa"/>
            <w:vAlign w:val="center"/>
          </w:tcPr>
          <w:p w14:paraId="37DB415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设定依据《酒类流通管理办法》（商务部令第25号）已废止。</w:t>
            </w:r>
          </w:p>
        </w:tc>
      </w:tr>
      <w:tr w14:paraId="2D93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95F93E2">
            <w:pPr>
              <w:numPr>
                <w:ilvl w:val="0"/>
                <w:numId w:val="1"/>
              </w:numPr>
              <w:spacing w:line="320" w:lineRule="exact"/>
              <w:jc w:val="center"/>
              <w:rPr>
                <w:rFonts w:ascii="方正仿宋_GBK" w:hAnsi="Times New Roman" w:eastAsia="方正仿宋_GBK"/>
                <w:szCs w:val="21"/>
              </w:rPr>
            </w:pPr>
          </w:p>
        </w:tc>
        <w:tc>
          <w:tcPr>
            <w:tcW w:w="2126" w:type="dxa"/>
            <w:vAlign w:val="center"/>
          </w:tcPr>
          <w:p w14:paraId="4969668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对未取得对外承包工程资格擅自开展对外承包工程的处罚</w:t>
            </w:r>
          </w:p>
        </w:tc>
        <w:tc>
          <w:tcPr>
            <w:tcW w:w="709" w:type="dxa"/>
            <w:vAlign w:val="center"/>
          </w:tcPr>
          <w:p w14:paraId="4403624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517D84E">
            <w:pPr>
              <w:spacing w:line="320" w:lineRule="exact"/>
              <w:jc w:val="center"/>
              <w:rPr>
                <w:szCs w:val="21"/>
              </w:rPr>
            </w:pPr>
            <w:r>
              <w:rPr>
                <w:rFonts w:hint="eastAsia" w:ascii="方正仿宋_GBK" w:hAnsi="Times New Roman" w:eastAsia="方正仿宋_GBK"/>
                <w:szCs w:val="21"/>
              </w:rPr>
              <w:t>县商务委</w:t>
            </w:r>
          </w:p>
        </w:tc>
        <w:tc>
          <w:tcPr>
            <w:tcW w:w="2126" w:type="dxa"/>
            <w:vAlign w:val="center"/>
          </w:tcPr>
          <w:p w14:paraId="55DE0ECC">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1．《对外承包工程管理条例》第二十四条；2．《对外承包工程资格管理办法》（商务部、</w:t>
            </w:r>
            <w:r>
              <w:rPr>
                <w:rFonts w:hint="eastAsia" w:ascii="方正仿宋_GBK" w:hAnsi="Times New Roman" w:eastAsia="方正仿宋_GBK"/>
                <w:spacing w:val="-15"/>
                <w:szCs w:val="21"/>
                <w:lang w:eastAsia="zh-CN"/>
              </w:rPr>
              <w:t>住房和城乡建设部</w:t>
            </w:r>
            <w:r>
              <w:rPr>
                <w:rFonts w:hint="eastAsia" w:ascii="方正仿宋_GBK" w:hAnsi="Times New Roman" w:eastAsia="方正仿宋_GBK"/>
                <w:spacing w:val="-15"/>
                <w:szCs w:val="21"/>
              </w:rPr>
              <w:t>令第9号）第十九条</w:t>
            </w:r>
          </w:p>
        </w:tc>
        <w:tc>
          <w:tcPr>
            <w:tcW w:w="3094" w:type="dxa"/>
            <w:vAlign w:val="center"/>
          </w:tcPr>
          <w:p w14:paraId="6DEF003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《对外承包工程管理条例》（</w:t>
            </w:r>
            <w:r>
              <w:rPr>
                <w:rFonts w:hint="eastAsia" w:ascii="方正仿宋_GBK" w:hAnsi="Times New Roman" w:eastAsia="方正仿宋_GBK"/>
                <w:szCs w:val="21"/>
                <w:shd w:val="clear" w:color="auto" w:fill="FFFFFF"/>
              </w:rPr>
              <w:t>2017年3月1日修订</w:t>
            </w:r>
            <w:r>
              <w:rPr>
                <w:rFonts w:hint="eastAsia" w:ascii="方正仿宋_GBK" w:hAnsi="Times New Roman" w:eastAsia="方正仿宋_GBK"/>
                <w:szCs w:val="21"/>
              </w:rPr>
              <w:t>）已取消本权力事项。《对外承包工程资格管理办法》（商务部、</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令第9号）已废止。</w:t>
            </w:r>
          </w:p>
        </w:tc>
      </w:tr>
      <w:tr w14:paraId="1DF1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9DBEE75">
            <w:pPr>
              <w:numPr>
                <w:ilvl w:val="0"/>
                <w:numId w:val="1"/>
              </w:numPr>
              <w:spacing w:line="320" w:lineRule="exact"/>
              <w:jc w:val="center"/>
              <w:rPr>
                <w:rFonts w:ascii="方正仿宋_GBK" w:hAnsi="Times New Roman" w:eastAsia="方正仿宋_GBK"/>
                <w:szCs w:val="21"/>
              </w:rPr>
            </w:pPr>
          </w:p>
        </w:tc>
        <w:tc>
          <w:tcPr>
            <w:tcW w:w="2126" w:type="dxa"/>
            <w:vAlign w:val="center"/>
          </w:tcPr>
          <w:p w14:paraId="0FC8F0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人民防空工程管理费征收</w:t>
            </w:r>
          </w:p>
        </w:tc>
        <w:tc>
          <w:tcPr>
            <w:tcW w:w="709" w:type="dxa"/>
            <w:vAlign w:val="center"/>
          </w:tcPr>
          <w:p w14:paraId="582E78A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446FBBF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2E50A1D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《重庆市物价局重庆市财政局关于重新核定我市人防部门行政事业性收费标准的通知》（渝价〔2001〕493号）</w:t>
            </w:r>
          </w:p>
        </w:tc>
        <w:tc>
          <w:tcPr>
            <w:tcW w:w="3094" w:type="dxa"/>
            <w:vAlign w:val="center"/>
          </w:tcPr>
          <w:p w14:paraId="5BE493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根据《重庆市物价局关于平时使用人防工程使用费有关问题的函》（渝财综函价〔2018〕21号），原设定依据中关于“征收人民防空工程管理费”的规定不再适用。</w:t>
            </w:r>
          </w:p>
        </w:tc>
      </w:tr>
      <w:tr w14:paraId="11F0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F5C1D68">
            <w:pPr>
              <w:numPr>
                <w:ilvl w:val="0"/>
                <w:numId w:val="1"/>
              </w:numPr>
              <w:spacing w:line="320" w:lineRule="exact"/>
              <w:jc w:val="center"/>
              <w:rPr>
                <w:rFonts w:ascii="方正仿宋_GBK" w:hAnsi="Times New Roman" w:eastAsia="方正仿宋_GBK"/>
                <w:szCs w:val="21"/>
              </w:rPr>
            </w:pPr>
          </w:p>
        </w:tc>
        <w:tc>
          <w:tcPr>
            <w:tcW w:w="2126" w:type="dxa"/>
            <w:vAlign w:val="center"/>
          </w:tcPr>
          <w:p w14:paraId="5F2A4EE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指导、监督人民防空工程建设定额管理权</w:t>
            </w:r>
          </w:p>
        </w:tc>
        <w:tc>
          <w:tcPr>
            <w:tcW w:w="709" w:type="dxa"/>
            <w:vAlign w:val="center"/>
          </w:tcPr>
          <w:p w14:paraId="3FE0CB3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C32FA3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1E384E2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《国家人防办关于颁发〈人民防空工程建设定额管理暂行办法〉的通知》（〔1991〕人防办字第105号）第四条</w:t>
            </w:r>
          </w:p>
        </w:tc>
        <w:tc>
          <w:tcPr>
            <w:tcW w:w="3094" w:type="dxa"/>
            <w:vAlign w:val="center"/>
          </w:tcPr>
          <w:p w14:paraId="31280C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市场机制能够有效调节。</w:t>
            </w:r>
          </w:p>
        </w:tc>
      </w:tr>
      <w:tr w14:paraId="45BC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224B264">
            <w:pPr>
              <w:numPr>
                <w:ilvl w:val="0"/>
                <w:numId w:val="1"/>
              </w:numPr>
              <w:spacing w:line="320" w:lineRule="exact"/>
              <w:jc w:val="center"/>
              <w:rPr>
                <w:rFonts w:ascii="方正仿宋_GBK" w:hAnsi="Times New Roman" w:eastAsia="方正仿宋_GBK"/>
                <w:szCs w:val="21"/>
              </w:rPr>
            </w:pPr>
          </w:p>
        </w:tc>
        <w:tc>
          <w:tcPr>
            <w:tcW w:w="2126" w:type="dxa"/>
            <w:vAlign w:val="center"/>
          </w:tcPr>
          <w:p w14:paraId="5EFE279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对人民防空工程平时使用证的发放审查</w:t>
            </w:r>
          </w:p>
        </w:tc>
        <w:tc>
          <w:tcPr>
            <w:tcW w:w="709" w:type="dxa"/>
            <w:vAlign w:val="center"/>
          </w:tcPr>
          <w:p w14:paraId="694A8D9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438D9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县住房城乡建委</w:t>
            </w:r>
          </w:p>
        </w:tc>
        <w:tc>
          <w:tcPr>
            <w:tcW w:w="2126" w:type="dxa"/>
            <w:vAlign w:val="center"/>
          </w:tcPr>
          <w:p w14:paraId="28D16EC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《人民防空工程平时开发利用管理办法》（〔2001〕国人防办字第211号）第九条</w:t>
            </w:r>
          </w:p>
        </w:tc>
        <w:tc>
          <w:tcPr>
            <w:tcW w:w="3094" w:type="dxa"/>
            <w:vAlign w:val="center"/>
          </w:tcPr>
          <w:p w14:paraId="394DBD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民防办公室重庆市国土房管局关于办理人防工程项目权属登记有关问题的通知》（渝防办发〔2010〕184号）第三部分，明确对2009年1月1日以后批准新建的人防工程项目权属登记按照《重庆市土地房屋权属登记条例》及《重庆市国土房管局关于人防工程权属登记有关问题的通知》（渝国土房管发〔2009〕51号）的规定执行。</w:t>
            </w:r>
          </w:p>
        </w:tc>
      </w:tr>
      <w:tr w14:paraId="54F2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19DCE8F">
            <w:pPr>
              <w:numPr>
                <w:ilvl w:val="0"/>
                <w:numId w:val="1"/>
              </w:numPr>
              <w:spacing w:line="320" w:lineRule="exact"/>
              <w:jc w:val="center"/>
              <w:rPr>
                <w:rFonts w:ascii="方正仿宋_GBK" w:hAnsi="Times New Roman" w:eastAsia="方正仿宋_GBK"/>
                <w:szCs w:val="21"/>
              </w:rPr>
            </w:pPr>
          </w:p>
        </w:tc>
        <w:tc>
          <w:tcPr>
            <w:tcW w:w="2126" w:type="dxa"/>
            <w:vAlign w:val="center"/>
          </w:tcPr>
          <w:p w14:paraId="11830E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对在自然保护区、禁猎区破坏国家或者地方重点保护野生动物主要生息繁衍场所的处罚</w:t>
            </w:r>
          </w:p>
        </w:tc>
        <w:tc>
          <w:tcPr>
            <w:tcW w:w="709" w:type="dxa"/>
            <w:vAlign w:val="center"/>
          </w:tcPr>
          <w:p w14:paraId="31D0CB5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118FC0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0F84337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1．《中华人民共和国野生动物保护法》第三十四条；2．《水生野生动物保护实施条例》第二十七条</w:t>
            </w:r>
          </w:p>
        </w:tc>
        <w:tc>
          <w:tcPr>
            <w:tcW w:w="3094" w:type="dxa"/>
            <w:vAlign w:val="center"/>
          </w:tcPr>
          <w:p w14:paraId="6E553A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《中华人民共和国野生动物保护法》（</w:t>
            </w:r>
            <w:r>
              <w:rPr>
                <w:rFonts w:hint="eastAsia" w:ascii="方正仿宋_GBK" w:hAnsi="Times New Roman" w:eastAsia="方正仿宋_GBK"/>
                <w:szCs w:val="21"/>
                <w:shd w:val="clear" w:color="auto" w:fill="FFFFFF"/>
              </w:rPr>
              <w:t>2016年7月2日修订</w:t>
            </w:r>
            <w:r>
              <w:rPr>
                <w:rFonts w:hint="eastAsia" w:ascii="方正仿宋_GBK" w:hAnsi="Times New Roman" w:eastAsia="方正仿宋_GBK"/>
                <w:szCs w:val="21"/>
              </w:rPr>
              <w:t>）取消本权力事项。《水生野生动物保护实施条例》第二十七条的处罚已无上位法依据。</w:t>
            </w:r>
          </w:p>
        </w:tc>
      </w:tr>
      <w:tr w14:paraId="2F22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D44CE98">
            <w:pPr>
              <w:numPr>
                <w:ilvl w:val="0"/>
                <w:numId w:val="1"/>
              </w:numPr>
              <w:spacing w:line="320" w:lineRule="exact"/>
              <w:jc w:val="center"/>
              <w:rPr>
                <w:rFonts w:ascii="方正仿宋_GBK" w:hAnsi="Times New Roman" w:eastAsia="方正仿宋_GBK"/>
                <w:szCs w:val="21"/>
              </w:rPr>
            </w:pPr>
          </w:p>
        </w:tc>
        <w:tc>
          <w:tcPr>
            <w:tcW w:w="2126" w:type="dxa"/>
            <w:vAlign w:val="center"/>
          </w:tcPr>
          <w:p w14:paraId="4A9C5C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对外国人未经批准在本市行政区域内对非国家重点保护野生动物进行野外考察、标本采集或者在野外拍摄电影、录像的处罚</w:t>
            </w:r>
          </w:p>
        </w:tc>
        <w:tc>
          <w:tcPr>
            <w:tcW w:w="709" w:type="dxa"/>
            <w:vAlign w:val="center"/>
          </w:tcPr>
          <w:p w14:paraId="32381B9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212810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348FEE2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《重庆市实施〈野生动物保护法〉办法》第三十五条</w:t>
            </w:r>
          </w:p>
        </w:tc>
        <w:tc>
          <w:tcPr>
            <w:tcW w:w="3094" w:type="dxa"/>
            <w:vAlign w:val="center"/>
          </w:tcPr>
          <w:p w14:paraId="682B26B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w:t>
            </w:r>
            <w:r>
              <w:rPr>
                <w:rFonts w:hint="eastAsia" w:ascii="方正仿宋_GBK" w:hAnsi="Times New Roman" w:eastAsia="方正仿宋_GBK"/>
                <w:szCs w:val="21"/>
                <w:shd w:val="clear" w:color="auto" w:fill="FFFFFF"/>
              </w:rPr>
              <w:t>（2014年9月25日修订）</w:t>
            </w:r>
            <w:r>
              <w:rPr>
                <w:rFonts w:hint="eastAsia" w:ascii="方正仿宋_GBK" w:hAnsi="Times New Roman" w:eastAsia="方正仿宋_GBK"/>
                <w:szCs w:val="21"/>
              </w:rPr>
              <w:t>取消了本权力事项。</w:t>
            </w:r>
          </w:p>
        </w:tc>
      </w:tr>
      <w:tr w14:paraId="6FF2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CF47879">
            <w:pPr>
              <w:numPr>
                <w:ilvl w:val="0"/>
                <w:numId w:val="1"/>
              </w:numPr>
              <w:spacing w:line="320" w:lineRule="exact"/>
              <w:jc w:val="center"/>
              <w:rPr>
                <w:rFonts w:ascii="方正仿宋_GBK" w:hAnsi="Times New Roman" w:eastAsia="方正仿宋_GBK"/>
                <w:szCs w:val="21"/>
              </w:rPr>
            </w:pPr>
          </w:p>
        </w:tc>
        <w:tc>
          <w:tcPr>
            <w:tcW w:w="2126" w:type="dxa"/>
            <w:vAlign w:val="center"/>
          </w:tcPr>
          <w:p w14:paraId="213B065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植物检疫费征收</w:t>
            </w:r>
          </w:p>
        </w:tc>
        <w:tc>
          <w:tcPr>
            <w:tcW w:w="709" w:type="dxa"/>
            <w:vAlign w:val="center"/>
          </w:tcPr>
          <w:p w14:paraId="7076DB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3FE7BDD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2859CB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《植物检疫条例》第二十一条</w:t>
            </w:r>
          </w:p>
        </w:tc>
        <w:tc>
          <w:tcPr>
            <w:tcW w:w="3094" w:type="dxa"/>
            <w:vAlign w:val="center"/>
          </w:tcPr>
          <w:p w14:paraId="4BAA7D2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《财政部国家发展改革委关于扩大18项行政事业性收费免征范围的通知》（财税〔2016〕42号）将“国内植物检疫费”在内的对小微企业免征的18项行政事业性收费的免征范围扩大到所有企业和个人。</w:t>
            </w:r>
          </w:p>
        </w:tc>
      </w:tr>
      <w:tr w14:paraId="6C40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E35623F">
            <w:pPr>
              <w:numPr>
                <w:ilvl w:val="0"/>
                <w:numId w:val="1"/>
              </w:numPr>
              <w:spacing w:line="320" w:lineRule="exact"/>
              <w:jc w:val="center"/>
              <w:rPr>
                <w:rFonts w:ascii="方正仿宋_GBK" w:hAnsi="Times New Roman" w:eastAsia="方正仿宋_GBK"/>
                <w:szCs w:val="21"/>
              </w:rPr>
            </w:pPr>
          </w:p>
        </w:tc>
        <w:tc>
          <w:tcPr>
            <w:tcW w:w="2126" w:type="dxa"/>
            <w:vAlign w:val="center"/>
          </w:tcPr>
          <w:p w14:paraId="1C2D06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非主要农作物品种鉴定（备案登记）</w:t>
            </w:r>
          </w:p>
        </w:tc>
        <w:tc>
          <w:tcPr>
            <w:tcW w:w="709" w:type="dxa"/>
            <w:vAlign w:val="center"/>
          </w:tcPr>
          <w:p w14:paraId="5B09A0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334FCF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4DDE91D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1．《重庆市实施〈中华人民共和国种子法〉办法》第二十条；2．《重庆市非主要农作物品种鉴定办法》（渝品审发〔2011〕2号）第五条</w:t>
            </w:r>
          </w:p>
        </w:tc>
        <w:tc>
          <w:tcPr>
            <w:tcW w:w="3094" w:type="dxa"/>
            <w:vAlign w:val="center"/>
          </w:tcPr>
          <w:p w14:paraId="45CC45B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设定依据《重庆市实施〈中华人民共和国种子法〉办法》已废止。</w:t>
            </w:r>
          </w:p>
        </w:tc>
      </w:tr>
      <w:tr w14:paraId="76B9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5504311">
            <w:pPr>
              <w:numPr>
                <w:ilvl w:val="0"/>
                <w:numId w:val="1"/>
              </w:numPr>
              <w:spacing w:line="320" w:lineRule="exact"/>
              <w:jc w:val="center"/>
              <w:rPr>
                <w:rFonts w:ascii="方正仿宋_GBK" w:hAnsi="Times New Roman" w:eastAsia="方正仿宋_GBK"/>
                <w:szCs w:val="21"/>
              </w:rPr>
            </w:pPr>
          </w:p>
        </w:tc>
        <w:tc>
          <w:tcPr>
            <w:tcW w:w="2126" w:type="dxa"/>
            <w:vAlign w:val="center"/>
          </w:tcPr>
          <w:p w14:paraId="67335E7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对未取得农药临时登记证而擅自分装农药的处罚</w:t>
            </w:r>
          </w:p>
        </w:tc>
        <w:tc>
          <w:tcPr>
            <w:tcW w:w="709" w:type="dxa"/>
            <w:vAlign w:val="center"/>
          </w:tcPr>
          <w:p w14:paraId="4EAC1D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B980D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7E5D82B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《农药管理条例实施办法》（农业部令第9号）第三十七条</w:t>
            </w:r>
          </w:p>
        </w:tc>
        <w:tc>
          <w:tcPr>
            <w:tcW w:w="3094" w:type="dxa"/>
            <w:vAlign w:val="center"/>
          </w:tcPr>
          <w:p w14:paraId="640B4A8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14:paraId="50AD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0C8A6AE">
            <w:pPr>
              <w:numPr>
                <w:ilvl w:val="0"/>
                <w:numId w:val="1"/>
              </w:numPr>
              <w:spacing w:line="320" w:lineRule="exact"/>
              <w:jc w:val="center"/>
              <w:rPr>
                <w:rFonts w:ascii="方正仿宋_GBK" w:hAnsi="Times New Roman" w:eastAsia="方正仿宋_GBK"/>
                <w:szCs w:val="21"/>
              </w:rPr>
            </w:pPr>
          </w:p>
        </w:tc>
        <w:tc>
          <w:tcPr>
            <w:tcW w:w="2126" w:type="dxa"/>
            <w:vAlign w:val="center"/>
          </w:tcPr>
          <w:p w14:paraId="7860CA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对经营未注明过期农药字样的超过产品质量保证期的农药产品的处罚</w:t>
            </w:r>
          </w:p>
        </w:tc>
        <w:tc>
          <w:tcPr>
            <w:tcW w:w="709" w:type="dxa"/>
            <w:vAlign w:val="center"/>
          </w:tcPr>
          <w:p w14:paraId="7F13731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65FD38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6BF2C16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《农药管理条例实施办法》（农业部令第9号）第三十九条</w:t>
            </w:r>
          </w:p>
        </w:tc>
        <w:tc>
          <w:tcPr>
            <w:tcW w:w="3094" w:type="dxa"/>
            <w:vAlign w:val="center"/>
          </w:tcPr>
          <w:p w14:paraId="485BB6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14:paraId="780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4C292DE">
            <w:pPr>
              <w:numPr>
                <w:ilvl w:val="0"/>
                <w:numId w:val="1"/>
              </w:numPr>
              <w:spacing w:line="320" w:lineRule="exact"/>
              <w:jc w:val="center"/>
              <w:rPr>
                <w:rFonts w:ascii="方正仿宋_GBK" w:hAnsi="Times New Roman" w:eastAsia="方正仿宋_GBK"/>
                <w:szCs w:val="21"/>
              </w:rPr>
            </w:pPr>
          </w:p>
        </w:tc>
        <w:tc>
          <w:tcPr>
            <w:tcW w:w="2126" w:type="dxa"/>
            <w:vAlign w:val="center"/>
          </w:tcPr>
          <w:p w14:paraId="57463F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对生产、经营的农药产品净重（容）量低于标明值，且超过允许负偏差的处罚</w:t>
            </w:r>
          </w:p>
        </w:tc>
        <w:tc>
          <w:tcPr>
            <w:tcW w:w="709" w:type="dxa"/>
            <w:vAlign w:val="center"/>
          </w:tcPr>
          <w:p w14:paraId="06C256D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42BAD0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4FADB2F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《农药管理条例实施办法》（农业部令第9号）第三十八条第一款</w:t>
            </w:r>
          </w:p>
        </w:tc>
        <w:tc>
          <w:tcPr>
            <w:tcW w:w="3094" w:type="dxa"/>
            <w:vAlign w:val="center"/>
          </w:tcPr>
          <w:p w14:paraId="48E4FED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设定依据《农药管理条例实施办法》（农业部令第9号）已失效。</w:t>
            </w:r>
          </w:p>
        </w:tc>
      </w:tr>
      <w:tr w14:paraId="169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92066F3">
            <w:pPr>
              <w:numPr>
                <w:ilvl w:val="0"/>
                <w:numId w:val="1"/>
              </w:numPr>
              <w:spacing w:line="320" w:lineRule="exact"/>
              <w:jc w:val="center"/>
              <w:rPr>
                <w:rFonts w:ascii="方正仿宋_GBK" w:hAnsi="Times New Roman" w:eastAsia="方正仿宋_GBK"/>
                <w:szCs w:val="21"/>
              </w:rPr>
            </w:pPr>
          </w:p>
        </w:tc>
        <w:tc>
          <w:tcPr>
            <w:tcW w:w="2126" w:type="dxa"/>
            <w:vAlign w:val="center"/>
          </w:tcPr>
          <w:p w14:paraId="489657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对野生动物或其产品经营者逾期不缴纳野生动物资源保护管理费的处罚</w:t>
            </w:r>
          </w:p>
        </w:tc>
        <w:tc>
          <w:tcPr>
            <w:tcW w:w="709" w:type="dxa"/>
            <w:vAlign w:val="center"/>
          </w:tcPr>
          <w:p w14:paraId="4D66F7B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372A6F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县农业农村委</w:t>
            </w:r>
          </w:p>
        </w:tc>
        <w:tc>
          <w:tcPr>
            <w:tcW w:w="2126" w:type="dxa"/>
            <w:vAlign w:val="center"/>
          </w:tcPr>
          <w:p w14:paraId="60CB451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《重庆市实施〈野生动物保护法〉办法》第三十二条、第四十五条</w:t>
            </w:r>
          </w:p>
        </w:tc>
        <w:tc>
          <w:tcPr>
            <w:tcW w:w="3094" w:type="dxa"/>
            <w:vAlign w:val="center"/>
          </w:tcPr>
          <w:p w14:paraId="57C205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《财政部国家发展改革委关于公布取消和免征一批行政事业性收费的通知》（财综〔2013〕67号）已免征野生动物资源保护管理费。《中华人民共和国野生动物保护法》（2016年7月2日修订）已取消本权力事项。</w:t>
            </w:r>
          </w:p>
        </w:tc>
      </w:tr>
      <w:tr w14:paraId="4AC6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D9A855F">
            <w:pPr>
              <w:numPr>
                <w:ilvl w:val="0"/>
                <w:numId w:val="1"/>
              </w:numPr>
              <w:spacing w:line="320" w:lineRule="exact"/>
              <w:jc w:val="center"/>
              <w:rPr>
                <w:rFonts w:ascii="方正仿宋_GBK" w:hAnsi="Times New Roman" w:eastAsia="方正仿宋_GBK"/>
                <w:szCs w:val="21"/>
              </w:rPr>
            </w:pPr>
          </w:p>
        </w:tc>
        <w:tc>
          <w:tcPr>
            <w:tcW w:w="2126" w:type="dxa"/>
            <w:vAlign w:val="center"/>
          </w:tcPr>
          <w:p w14:paraId="33650C5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煤矿建设项目竣工验收</w:t>
            </w:r>
          </w:p>
        </w:tc>
        <w:tc>
          <w:tcPr>
            <w:tcW w:w="709" w:type="dxa"/>
            <w:vAlign w:val="center"/>
          </w:tcPr>
          <w:p w14:paraId="66EDAD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3A9597F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5039D4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《中华人民共和国煤炭法》第十九条</w:t>
            </w:r>
          </w:p>
        </w:tc>
        <w:tc>
          <w:tcPr>
            <w:tcW w:w="3094" w:type="dxa"/>
            <w:vAlign w:val="center"/>
          </w:tcPr>
          <w:p w14:paraId="2D1A07F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《国家能源局关于印发煤矿建设项目竣工验收管理办法（修订版）的通知》（国能发煤炭〔2019〕1号）规定，煤矿建设项目竣工验收工作实行政府监管、企业负责，即该事项由煤矿项目建设单位组织实施。</w:t>
            </w:r>
          </w:p>
        </w:tc>
      </w:tr>
      <w:tr w14:paraId="5854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639A01A">
            <w:pPr>
              <w:numPr>
                <w:ilvl w:val="0"/>
                <w:numId w:val="1"/>
              </w:numPr>
              <w:spacing w:line="320" w:lineRule="exact"/>
              <w:jc w:val="center"/>
              <w:rPr>
                <w:rFonts w:ascii="方正仿宋_GBK" w:hAnsi="Times New Roman" w:eastAsia="方正仿宋_GBK"/>
                <w:szCs w:val="21"/>
              </w:rPr>
            </w:pPr>
          </w:p>
        </w:tc>
        <w:tc>
          <w:tcPr>
            <w:tcW w:w="2126" w:type="dxa"/>
            <w:vAlign w:val="center"/>
          </w:tcPr>
          <w:p w14:paraId="41E0124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涉外养老机构和市政府利用市级财政资金投资兴办的养老机构（含分支机构）设立、变更、注销许可</w:t>
            </w:r>
          </w:p>
        </w:tc>
        <w:tc>
          <w:tcPr>
            <w:tcW w:w="709" w:type="dxa"/>
            <w:vAlign w:val="center"/>
          </w:tcPr>
          <w:p w14:paraId="5A5FAED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2760435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52AEAA6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1．《中华人民共和国老年人权益保障法》第四十四条；2．《养老机构设立许可办法》（民政部令第48号）第八条、第十条、第十七条、第十八条</w:t>
            </w:r>
          </w:p>
        </w:tc>
        <w:tc>
          <w:tcPr>
            <w:tcW w:w="3094" w:type="dxa"/>
            <w:vAlign w:val="center"/>
          </w:tcPr>
          <w:p w14:paraId="4997E4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1．《中华人民共和国老年人权益保障法》已修订，删除了关于设立养老机构的有关规定，明确规定设立公益性养老机构和经营性养老机构均只须办理登记。</w:t>
            </w:r>
          </w:p>
          <w:p w14:paraId="723D70F5">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2．《养老机构设立许可办法》（民政部令第48号）已废止。</w:t>
            </w:r>
          </w:p>
        </w:tc>
      </w:tr>
      <w:tr w14:paraId="42F4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EFC4102">
            <w:pPr>
              <w:numPr>
                <w:ilvl w:val="0"/>
                <w:numId w:val="1"/>
              </w:numPr>
              <w:spacing w:line="320" w:lineRule="exact"/>
              <w:jc w:val="center"/>
              <w:rPr>
                <w:rFonts w:ascii="方正仿宋_GBK" w:hAnsi="Times New Roman" w:eastAsia="方正仿宋_GBK"/>
                <w:szCs w:val="21"/>
              </w:rPr>
            </w:pPr>
          </w:p>
        </w:tc>
        <w:tc>
          <w:tcPr>
            <w:tcW w:w="2126" w:type="dxa"/>
            <w:vAlign w:val="center"/>
          </w:tcPr>
          <w:p w14:paraId="65BE75C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对社会福利机构违法行为的处罚</w:t>
            </w:r>
          </w:p>
        </w:tc>
        <w:tc>
          <w:tcPr>
            <w:tcW w:w="709" w:type="dxa"/>
            <w:vAlign w:val="center"/>
          </w:tcPr>
          <w:p w14:paraId="6C93914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B193BE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029719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《社会福利机构管理暂行办法》（民政部令第19号）第二十七条</w:t>
            </w:r>
          </w:p>
        </w:tc>
        <w:tc>
          <w:tcPr>
            <w:tcW w:w="3094" w:type="dxa"/>
            <w:vAlign w:val="center"/>
          </w:tcPr>
          <w:p w14:paraId="11F7402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设定依据《社会福利机构管理暂行办法》（民政部令第19号）已废止。</w:t>
            </w:r>
          </w:p>
        </w:tc>
      </w:tr>
      <w:tr w14:paraId="2720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DC4BBB7">
            <w:pPr>
              <w:numPr>
                <w:ilvl w:val="0"/>
                <w:numId w:val="1"/>
              </w:numPr>
              <w:spacing w:line="320" w:lineRule="exact"/>
              <w:jc w:val="center"/>
              <w:rPr>
                <w:rFonts w:ascii="方正仿宋_GBK" w:hAnsi="Times New Roman" w:eastAsia="方正仿宋_GBK"/>
                <w:szCs w:val="21"/>
              </w:rPr>
            </w:pPr>
          </w:p>
        </w:tc>
        <w:tc>
          <w:tcPr>
            <w:tcW w:w="2126" w:type="dxa"/>
            <w:vAlign w:val="center"/>
          </w:tcPr>
          <w:p w14:paraId="60D1344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社会福利机构年检</w:t>
            </w:r>
          </w:p>
        </w:tc>
        <w:tc>
          <w:tcPr>
            <w:tcW w:w="709" w:type="dxa"/>
            <w:vAlign w:val="center"/>
          </w:tcPr>
          <w:p w14:paraId="4AC211D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3CCB0E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4348A67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《社会福利机构管理暂行办法》（民政部令第19号）第二十五条</w:t>
            </w:r>
          </w:p>
        </w:tc>
        <w:tc>
          <w:tcPr>
            <w:tcW w:w="3094" w:type="dxa"/>
            <w:vAlign w:val="center"/>
          </w:tcPr>
          <w:p w14:paraId="00E098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设定依据《社会福利机构管理暂行办法》（民政部令第19号）已废止。</w:t>
            </w:r>
          </w:p>
        </w:tc>
      </w:tr>
      <w:tr w14:paraId="4914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72DCDE4">
            <w:pPr>
              <w:numPr>
                <w:ilvl w:val="0"/>
                <w:numId w:val="1"/>
              </w:numPr>
              <w:spacing w:line="320" w:lineRule="exact"/>
              <w:jc w:val="center"/>
              <w:rPr>
                <w:rFonts w:ascii="方正仿宋_GBK" w:hAnsi="Times New Roman" w:eastAsia="方正仿宋_GBK"/>
                <w:szCs w:val="21"/>
              </w:rPr>
            </w:pPr>
          </w:p>
        </w:tc>
        <w:tc>
          <w:tcPr>
            <w:tcW w:w="2126" w:type="dxa"/>
            <w:vAlign w:val="center"/>
          </w:tcPr>
          <w:p w14:paraId="40F75C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社会工作员职业水平评价</w:t>
            </w:r>
          </w:p>
        </w:tc>
        <w:tc>
          <w:tcPr>
            <w:tcW w:w="709" w:type="dxa"/>
            <w:vAlign w:val="center"/>
          </w:tcPr>
          <w:p w14:paraId="7981679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635761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县民政局</w:t>
            </w:r>
          </w:p>
        </w:tc>
        <w:tc>
          <w:tcPr>
            <w:tcW w:w="2126" w:type="dxa"/>
            <w:vAlign w:val="center"/>
          </w:tcPr>
          <w:p w14:paraId="6366AB6C">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《重庆市人力资源和社会保障局关于印发〈重庆市社会工作员职业水平评价暂行规定〉和〈重庆市社会工作员职业水平考试实施办法〉的通知》（渝人社发〔2011〕190号）第五条、第十一条、第十六条、第十七条</w:t>
            </w:r>
          </w:p>
        </w:tc>
        <w:tc>
          <w:tcPr>
            <w:tcW w:w="3094" w:type="dxa"/>
            <w:vAlign w:val="center"/>
          </w:tcPr>
          <w:p w14:paraId="5629DD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《重庆市人民政府关于取消一批职业资格许可和认定事项的决定》（渝府发〔2016〕54号）已取消“社会工作员职业水平考试”事项。</w:t>
            </w:r>
          </w:p>
        </w:tc>
      </w:tr>
      <w:tr w14:paraId="5E41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BE1F31B">
            <w:pPr>
              <w:numPr>
                <w:ilvl w:val="0"/>
                <w:numId w:val="1"/>
              </w:numPr>
              <w:spacing w:line="320" w:lineRule="exact"/>
              <w:jc w:val="center"/>
              <w:rPr>
                <w:rFonts w:ascii="方正仿宋_GBK" w:hAnsi="Times New Roman" w:eastAsia="方正仿宋_GBK"/>
                <w:szCs w:val="21"/>
              </w:rPr>
            </w:pPr>
          </w:p>
        </w:tc>
        <w:tc>
          <w:tcPr>
            <w:tcW w:w="2126" w:type="dxa"/>
            <w:vAlign w:val="center"/>
          </w:tcPr>
          <w:p w14:paraId="3A62661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对擅自采集林木或其他森林植物的根、茎、叶、花、果、皮、液等活动，致使林木或森林植物受到毁坏的处罚</w:t>
            </w:r>
          </w:p>
        </w:tc>
        <w:tc>
          <w:tcPr>
            <w:tcW w:w="709" w:type="dxa"/>
            <w:vAlign w:val="center"/>
          </w:tcPr>
          <w:p w14:paraId="67463FA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31409D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6527664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《重庆市林业行政处罚条例》第十四条</w:t>
            </w:r>
          </w:p>
        </w:tc>
        <w:tc>
          <w:tcPr>
            <w:tcW w:w="3094" w:type="dxa"/>
            <w:vAlign w:val="center"/>
          </w:tcPr>
          <w:p w14:paraId="3CF3F8A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4BAD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50A5578">
            <w:pPr>
              <w:numPr>
                <w:ilvl w:val="0"/>
                <w:numId w:val="1"/>
              </w:numPr>
              <w:spacing w:line="320" w:lineRule="exact"/>
              <w:jc w:val="center"/>
              <w:rPr>
                <w:rFonts w:ascii="方正仿宋_GBK" w:hAnsi="Times New Roman" w:eastAsia="方正仿宋_GBK"/>
                <w:szCs w:val="21"/>
              </w:rPr>
            </w:pPr>
          </w:p>
        </w:tc>
        <w:tc>
          <w:tcPr>
            <w:tcW w:w="2126" w:type="dxa"/>
            <w:vAlign w:val="center"/>
          </w:tcPr>
          <w:p w14:paraId="6E6B77A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对非法设点收购林木或其他森林植物的根、茎、叶、花、果、皮、液的处罚</w:t>
            </w:r>
          </w:p>
        </w:tc>
        <w:tc>
          <w:tcPr>
            <w:tcW w:w="709" w:type="dxa"/>
            <w:vAlign w:val="center"/>
          </w:tcPr>
          <w:p w14:paraId="1FE0444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0E650E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7AB9661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《重庆市林业行政处罚条例》第四条、第十四条、第二十六条</w:t>
            </w:r>
          </w:p>
        </w:tc>
        <w:tc>
          <w:tcPr>
            <w:tcW w:w="3094" w:type="dxa"/>
            <w:vAlign w:val="center"/>
          </w:tcPr>
          <w:p w14:paraId="66DEB2C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6F1A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D80C206">
            <w:pPr>
              <w:numPr>
                <w:ilvl w:val="0"/>
                <w:numId w:val="1"/>
              </w:numPr>
              <w:spacing w:line="320" w:lineRule="exact"/>
              <w:jc w:val="center"/>
              <w:rPr>
                <w:rFonts w:ascii="方正仿宋_GBK" w:hAnsi="Times New Roman" w:eastAsia="方正仿宋_GBK"/>
                <w:szCs w:val="21"/>
              </w:rPr>
            </w:pPr>
          </w:p>
        </w:tc>
        <w:tc>
          <w:tcPr>
            <w:tcW w:w="2126" w:type="dxa"/>
            <w:vAlign w:val="center"/>
          </w:tcPr>
          <w:p w14:paraId="67B5D9B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对单位或家庭搬迁、个人工作调动携带木材或规定林产品超过市林业主管部门规定数量未办木材运输证的处罚</w:t>
            </w:r>
          </w:p>
        </w:tc>
        <w:tc>
          <w:tcPr>
            <w:tcW w:w="709" w:type="dxa"/>
            <w:vAlign w:val="center"/>
          </w:tcPr>
          <w:p w14:paraId="663F29A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1342A36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43AD5F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《重庆市林业行政处罚条例》第二十一条</w:t>
            </w:r>
          </w:p>
        </w:tc>
        <w:tc>
          <w:tcPr>
            <w:tcW w:w="3094" w:type="dxa"/>
            <w:vAlign w:val="center"/>
          </w:tcPr>
          <w:p w14:paraId="6BC961D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4116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B4CEC26">
            <w:pPr>
              <w:numPr>
                <w:ilvl w:val="0"/>
                <w:numId w:val="1"/>
              </w:numPr>
              <w:spacing w:line="320" w:lineRule="exact"/>
              <w:jc w:val="center"/>
              <w:rPr>
                <w:rFonts w:ascii="方正仿宋_GBK" w:hAnsi="Times New Roman" w:eastAsia="方正仿宋_GBK"/>
                <w:szCs w:val="21"/>
              </w:rPr>
            </w:pPr>
          </w:p>
        </w:tc>
        <w:tc>
          <w:tcPr>
            <w:tcW w:w="2126" w:type="dxa"/>
            <w:vAlign w:val="center"/>
          </w:tcPr>
          <w:p w14:paraId="34FCE83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对使用过期、转让或其他失效木材运输证运输木材或规定林产品的处罚</w:t>
            </w:r>
          </w:p>
        </w:tc>
        <w:tc>
          <w:tcPr>
            <w:tcW w:w="709" w:type="dxa"/>
            <w:vAlign w:val="center"/>
          </w:tcPr>
          <w:p w14:paraId="1F6C7A4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8197B4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06FFA4B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《重庆市林业行政处罚条例》第二十二条第三项</w:t>
            </w:r>
          </w:p>
        </w:tc>
        <w:tc>
          <w:tcPr>
            <w:tcW w:w="3094" w:type="dxa"/>
            <w:vAlign w:val="center"/>
          </w:tcPr>
          <w:p w14:paraId="5602A8B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14F8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8A2CD53">
            <w:pPr>
              <w:numPr>
                <w:ilvl w:val="0"/>
                <w:numId w:val="1"/>
              </w:numPr>
              <w:spacing w:line="320" w:lineRule="exact"/>
              <w:jc w:val="center"/>
              <w:rPr>
                <w:rFonts w:ascii="方正仿宋_GBK" w:hAnsi="Times New Roman" w:eastAsia="方正仿宋_GBK"/>
                <w:szCs w:val="21"/>
              </w:rPr>
            </w:pPr>
          </w:p>
        </w:tc>
        <w:tc>
          <w:tcPr>
            <w:tcW w:w="2126" w:type="dxa"/>
            <w:vAlign w:val="center"/>
          </w:tcPr>
          <w:p w14:paraId="4CC7F3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对超出木材运输证规定的地点和重复使用运输证的处罚</w:t>
            </w:r>
          </w:p>
        </w:tc>
        <w:tc>
          <w:tcPr>
            <w:tcW w:w="709" w:type="dxa"/>
            <w:vAlign w:val="center"/>
          </w:tcPr>
          <w:p w14:paraId="2A7882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761AE9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2BFF478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《重庆市林业行政处罚条例》第二十二条第四项</w:t>
            </w:r>
          </w:p>
        </w:tc>
        <w:tc>
          <w:tcPr>
            <w:tcW w:w="3094" w:type="dxa"/>
            <w:vAlign w:val="center"/>
          </w:tcPr>
          <w:p w14:paraId="69935DD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5BA6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C71FD93">
            <w:pPr>
              <w:numPr>
                <w:ilvl w:val="0"/>
                <w:numId w:val="1"/>
              </w:numPr>
              <w:spacing w:line="320" w:lineRule="exact"/>
              <w:jc w:val="center"/>
              <w:rPr>
                <w:rFonts w:ascii="方正仿宋_GBK" w:hAnsi="Times New Roman" w:eastAsia="方正仿宋_GBK"/>
                <w:szCs w:val="21"/>
              </w:rPr>
            </w:pPr>
          </w:p>
        </w:tc>
        <w:tc>
          <w:tcPr>
            <w:tcW w:w="2126" w:type="dxa"/>
            <w:vAlign w:val="center"/>
          </w:tcPr>
          <w:p w14:paraId="071E52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对擅自砍伐有争议的林木的处罚</w:t>
            </w:r>
          </w:p>
        </w:tc>
        <w:tc>
          <w:tcPr>
            <w:tcW w:w="709" w:type="dxa"/>
            <w:vAlign w:val="center"/>
          </w:tcPr>
          <w:p w14:paraId="10DBD8A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3F1E9E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742B9A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《重庆市林业行政处罚条例》第十二条</w:t>
            </w:r>
          </w:p>
        </w:tc>
        <w:tc>
          <w:tcPr>
            <w:tcW w:w="3094" w:type="dxa"/>
            <w:vAlign w:val="center"/>
          </w:tcPr>
          <w:p w14:paraId="433382E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2961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FDC919E">
            <w:pPr>
              <w:numPr>
                <w:ilvl w:val="0"/>
                <w:numId w:val="1"/>
              </w:numPr>
              <w:spacing w:line="320" w:lineRule="exact"/>
              <w:jc w:val="center"/>
              <w:rPr>
                <w:rFonts w:ascii="方正仿宋_GBK" w:hAnsi="Times New Roman" w:eastAsia="方正仿宋_GBK"/>
                <w:szCs w:val="21"/>
              </w:rPr>
            </w:pPr>
          </w:p>
        </w:tc>
        <w:tc>
          <w:tcPr>
            <w:tcW w:w="2126" w:type="dxa"/>
            <w:vAlign w:val="center"/>
          </w:tcPr>
          <w:p w14:paraId="514EF38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对为泄愤、报复等毁坏他人林木的处罚</w:t>
            </w:r>
          </w:p>
        </w:tc>
        <w:tc>
          <w:tcPr>
            <w:tcW w:w="709" w:type="dxa"/>
            <w:vAlign w:val="center"/>
          </w:tcPr>
          <w:p w14:paraId="12E302A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F762D6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6945590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《重庆市林业行政处罚条例》第十五条</w:t>
            </w:r>
          </w:p>
        </w:tc>
        <w:tc>
          <w:tcPr>
            <w:tcW w:w="3094" w:type="dxa"/>
            <w:vAlign w:val="center"/>
          </w:tcPr>
          <w:p w14:paraId="336C6D5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54C8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34" w:type="dxa"/>
            <w:vAlign w:val="center"/>
          </w:tcPr>
          <w:p w14:paraId="59C34770">
            <w:pPr>
              <w:numPr>
                <w:ilvl w:val="0"/>
                <w:numId w:val="1"/>
              </w:numPr>
              <w:spacing w:line="320" w:lineRule="exact"/>
              <w:jc w:val="center"/>
              <w:rPr>
                <w:rFonts w:ascii="方正仿宋_GBK" w:hAnsi="Times New Roman" w:eastAsia="方正仿宋_GBK"/>
                <w:szCs w:val="21"/>
              </w:rPr>
            </w:pPr>
          </w:p>
        </w:tc>
        <w:tc>
          <w:tcPr>
            <w:tcW w:w="2126" w:type="dxa"/>
            <w:vAlign w:val="center"/>
          </w:tcPr>
          <w:p w14:paraId="728DCFE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对在森林防火期内，违反《重庆市林业行政处罚条例》第二十条有关森林防火规定的处罚</w:t>
            </w:r>
          </w:p>
        </w:tc>
        <w:tc>
          <w:tcPr>
            <w:tcW w:w="709" w:type="dxa"/>
            <w:vAlign w:val="center"/>
          </w:tcPr>
          <w:p w14:paraId="0C5B278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94D9C8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2E457C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《重庆市林业行政处罚条例》第二十条</w:t>
            </w:r>
          </w:p>
        </w:tc>
        <w:tc>
          <w:tcPr>
            <w:tcW w:w="3094" w:type="dxa"/>
            <w:vAlign w:val="center"/>
          </w:tcPr>
          <w:p w14:paraId="0CF071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7646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BF96686">
            <w:pPr>
              <w:numPr>
                <w:ilvl w:val="0"/>
                <w:numId w:val="1"/>
              </w:numPr>
              <w:spacing w:line="320" w:lineRule="exact"/>
              <w:jc w:val="center"/>
              <w:rPr>
                <w:rFonts w:ascii="方正仿宋_GBK" w:hAnsi="Times New Roman" w:eastAsia="方正仿宋_GBK"/>
                <w:szCs w:val="21"/>
              </w:rPr>
            </w:pPr>
          </w:p>
        </w:tc>
        <w:tc>
          <w:tcPr>
            <w:tcW w:w="2126" w:type="dxa"/>
            <w:vAlign w:val="center"/>
          </w:tcPr>
          <w:p w14:paraId="5C214ED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对因勘察设计、修筑工程设施、架（铺）设输油（气）、输电及通讯管线等，未按规定办理砍伐手续的处罚</w:t>
            </w:r>
          </w:p>
        </w:tc>
        <w:tc>
          <w:tcPr>
            <w:tcW w:w="709" w:type="dxa"/>
            <w:vAlign w:val="center"/>
          </w:tcPr>
          <w:p w14:paraId="4F10CD1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224ADA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1E6A07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《重庆市林业行政处罚条例》第十三条</w:t>
            </w:r>
          </w:p>
        </w:tc>
        <w:tc>
          <w:tcPr>
            <w:tcW w:w="3094" w:type="dxa"/>
            <w:vAlign w:val="center"/>
          </w:tcPr>
          <w:p w14:paraId="36992BF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766C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E1927E6">
            <w:pPr>
              <w:numPr>
                <w:ilvl w:val="0"/>
                <w:numId w:val="1"/>
              </w:numPr>
              <w:spacing w:line="320" w:lineRule="exact"/>
              <w:jc w:val="center"/>
              <w:rPr>
                <w:rFonts w:ascii="方正仿宋_GBK" w:hAnsi="Times New Roman" w:eastAsia="方正仿宋_GBK"/>
                <w:szCs w:val="21"/>
              </w:rPr>
            </w:pPr>
          </w:p>
        </w:tc>
        <w:tc>
          <w:tcPr>
            <w:tcW w:w="2126" w:type="dxa"/>
            <w:vAlign w:val="center"/>
          </w:tcPr>
          <w:p w14:paraId="6A0574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对未经批准，超过年采伐限额计划或者超越权限发放采伐（采集）许可证的处罚</w:t>
            </w:r>
          </w:p>
        </w:tc>
        <w:tc>
          <w:tcPr>
            <w:tcW w:w="709" w:type="dxa"/>
            <w:vAlign w:val="center"/>
          </w:tcPr>
          <w:p w14:paraId="2F8E60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7A0327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6665C7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《重庆市林业行政处罚条例》第十八条</w:t>
            </w:r>
          </w:p>
        </w:tc>
        <w:tc>
          <w:tcPr>
            <w:tcW w:w="3094" w:type="dxa"/>
            <w:vAlign w:val="center"/>
          </w:tcPr>
          <w:p w14:paraId="3D09689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6EFD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8F3FBB4">
            <w:pPr>
              <w:numPr>
                <w:ilvl w:val="0"/>
                <w:numId w:val="1"/>
              </w:numPr>
              <w:spacing w:line="320" w:lineRule="exact"/>
              <w:jc w:val="center"/>
              <w:rPr>
                <w:rFonts w:ascii="方正仿宋_GBK" w:hAnsi="Times New Roman" w:eastAsia="方正仿宋_GBK"/>
                <w:szCs w:val="21"/>
              </w:rPr>
            </w:pPr>
          </w:p>
        </w:tc>
        <w:tc>
          <w:tcPr>
            <w:tcW w:w="2126" w:type="dxa"/>
            <w:vAlign w:val="center"/>
          </w:tcPr>
          <w:p w14:paraId="5126848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对以伪装、藏匿或其他方式逃避木材运输检查的处罚</w:t>
            </w:r>
          </w:p>
        </w:tc>
        <w:tc>
          <w:tcPr>
            <w:tcW w:w="709" w:type="dxa"/>
            <w:vAlign w:val="center"/>
          </w:tcPr>
          <w:p w14:paraId="3BF7486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4837D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76DFC2F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《重庆市林业行政处罚条例》第二十二条第六项</w:t>
            </w:r>
          </w:p>
        </w:tc>
        <w:tc>
          <w:tcPr>
            <w:tcW w:w="3094" w:type="dxa"/>
            <w:vAlign w:val="center"/>
          </w:tcPr>
          <w:p w14:paraId="36012F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5B0B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3A63E2E">
            <w:pPr>
              <w:numPr>
                <w:ilvl w:val="0"/>
                <w:numId w:val="1"/>
              </w:numPr>
              <w:spacing w:line="320" w:lineRule="exact"/>
              <w:jc w:val="center"/>
              <w:rPr>
                <w:rFonts w:ascii="方正仿宋_GBK" w:hAnsi="Times New Roman" w:eastAsia="方正仿宋_GBK"/>
                <w:szCs w:val="21"/>
              </w:rPr>
            </w:pPr>
          </w:p>
        </w:tc>
        <w:tc>
          <w:tcPr>
            <w:tcW w:w="2126" w:type="dxa"/>
            <w:vAlign w:val="center"/>
          </w:tcPr>
          <w:p w14:paraId="517199E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对违反引种试验规定的处罚</w:t>
            </w:r>
          </w:p>
        </w:tc>
        <w:tc>
          <w:tcPr>
            <w:tcW w:w="709" w:type="dxa"/>
            <w:vAlign w:val="center"/>
          </w:tcPr>
          <w:p w14:paraId="01B596E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6AA510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76D9F44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《重庆市实施〈中华人民共和国种子法〉办法》第四十九条</w:t>
            </w:r>
          </w:p>
        </w:tc>
        <w:tc>
          <w:tcPr>
            <w:tcW w:w="3094" w:type="dxa"/>
            <w:vAlign w:val="center"/>
          </w:tcPr>
          <w:p w14:paraId="454C93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w:t>
            </w:r>
            <w:r>
              <w:rPr>
                <w:rFonts w:hint="eastAsia" w:ascii="方正仿宋_GBK" w:hAnsi="Times New Roman" w:eastAsia="方正仿宋_GBK"/>
                <w:szCs w:val="21"/>
                <w:shd w:val="clear" w:color="auto" w:fill="FFFFFF"/>
              </w:rPr>
              <w:t>重庆市实施</w:t>
            </w:r>
            <w:r>
              <w:rPr>
                <w:rFonts w:hint="eastAsia" w:ascii="方正仿宋_GBK" w:hAnsi="Times New Roman" w:eastAsia="方正仿宋_GBK"/>
                <w:szCs w:val="21"/>
              </w:rPr>
              <w:t>〈中华人民共和国种子法〉</w:t>
            </w:r>
            <w:r>
              <w:rPr>
                <w:rFonts w:hint="eastAsia" w:ascii="方正仿宋_GBK" w:hAnsi="Times New Roman" w:eastAsia="方正仿宋_GBK"/>
                <w:szCs w:val="21"/>
                <w:shd w:val="clear" w:color="auto" w:fill="FFFFFF"/>
              </w:rPr>
              <w:t>办法</w:t>
            </w:r>
            <w:r>
              <w:rPr>
                <w:rFonts w:hint="eastAsia" w:ascii="方正仿宋_GBK" w:hAnsi="Times New Roman" w:eastAsia="方正仿宋_GBK"/>
                <w:szCs w:val="21"/>
              </w:rPr>
              <w:t>》已废止。实践中已不存在违反引种试验规定的情况。</w:t>
            </w:r>
          </w:p>
        </w:tc>
      </w:tr>
      <w:tr w14:paraId="3CA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99931BA">
            <w:pPr>
              <w:numPr>
                <w:ilvl w:val="0"/>
                <w:numId w:val="1"/>
              </w:numPr>
              <w:spacing w:line="320" w:lineRule="exact"/>
              <w:jc w:val="center"/>
              <w:rPr>
                <w:rFonts w:ascii="方正仿宋_GBK" w:hAnsi="Times New Roman" w:eastAsia="方正仿宋_GBK"/>
                <w:szCs w:val="21"/>
              </w:rPr>
            </w:pPr>
          </w:p>
        </w:tc>
        <w:tc>
          <w:tcPr>
            <w:tcW w:w="2126" w:type="dxa"/>
            <w:vAlign w:val="center"/>
          </w:tcPr>
          <w:p w14:paraId="7286B1F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对违反缴纳野生动物资源保护管理费规定的处罚</w:t>
            </w:r>
          </w:p>
        </w:tc>
        <w:tc>
          <w:tcPr>
            <w:tcW w:w="709" w:type="dxa"/>
            <w:vAlign w:val="center"/>
          </w:tcPr>
          <w:p w14:paraId="2C575DE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9373A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472DF59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《重庆市实施〈中华人民共和国野生动物保护法〉办法》第三十二条、第四十六条</w:t>
            </w:r>
          </w:p>
        </w:tc>
        <w:tc>
          <w:tcPr>
            <w:tcW w:w="3094" w:type="dxa"/>
            <w:vAlign w:val="center"/>
          </w:tcPr>
          <w:p w14:paraId="0060D11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明确免征野生动物资源保护管理费。《中华人民共和国野生动物保护法》（2016年7月2日修订）对本权力事项有关规定已作调整。</w:t>
            </w:r>
          </w:p>
        </w:tc>
      </w:tr>
      <w:tr w14:paraId="5304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9C32C99">
            <w:pPr>
              <w:numPr>
                <w:ilvl w:val="0"/>
                <w:numId w:val="1"/>
              </w:numPr>
              <w:spacing w:line="320" w:lineRule="exact"/>
              <w:jc w:val="center"/>
              <w:rPr>
                <w:rFonts w:ascii="方正仿宋_GBK" w:hAnsi="Times New Roman" w:eastAsia="方正仿宋_GBK"/>
                <w:szCs w:val="21"/>
              </w:rPr>
            </w:pPr>
          </w:p>
        </w:tc>
        <w:tc>
          <w:tcPr>
            <w:tcW w:w="2126" w:type="dxa"/>
            <w:vAlign w:val="center"/>
          </w:tcPr>
          <w:p w14:paraId="55143A3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对运输木材和规定林产品的行政强制</w:t>
            </w:r>
          </w:p>
        </w:tc>
        <w:tc>
          <w:tcPr>
            <w:tcW w:w="709" w:type="dxa"/>
            <w:vAlign w:val="center"/>
          </w:tcPr>
          <w:p w14:paraId="2D1AE96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6E049F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1DDC13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《重庆市林业行政处罚条例》第二十一条</w:t>
            </w:r>
          </w:p>
        </w:tc>
        <w:tc>
          <w:tcPr>
            <w:tcW w:w="3094" w:type="dxa"/>
            <w:vAlign w:val="center"/>
          </w:tcPr>
          <w:p w14:paraId="68AD254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设定依据《重庆市林业行政处罚条例》已失效。</w:t>
            </w:r>
          </w:p>
        </w:tc>
      </w:tr>
      <w:tr w14:paraId="51BE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70734C2">
            <w:pPr>
              <w:numPr>
                <w:ilvl w:val="0"/>
                <w:numId w:val="1"/>
              </w:numPr>
              <w:spacing w:line="320" w:lineRule="exact"/>
              <w:jc w:val="center"/>
              <w:rPr>
                <w:rFonts w:ascii="方正仿宋_GBK" w:hAnsi="Times New Roman" w:eastAsia="方正仿宋_GBK"/>
                <w:szCs w:val="21"/>
              </w:rPr>
            </w:pPr>
          </w:p>
        </w:tc>
        <w:tc>
          <w:tcPr>
            <w:tcW w:w="2126" w:type="dxa"/>
            <w:vAlign w:val="center"/>
          </w:tcPr>
          <w:p w14:paraId="67D19E8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对非法经营利用野生动物或其产品追缴野生动物资源保护管理费</w:t>
            </w:r>
          </w:p>
        </w:tc>
        <w:tc>
          <w:tcPr>
            <w:tcW w:w="709" w:type="dxa"/>
            <w:vAlign w:val="center"/>
          </w:tcPr>
          <w:p w14:paraId="3BA710E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240C137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县林业局</w:t>
            </w:r>
          </w:p>
        </w:tc>
        <w:tc>
          <w:tcPr>
            <w:tcW w:w="2126" w:type="dxa"/>
            <w:vAlign w:val="center"/>
          </w:tcPr>
          <w:p w14:paraId="01860F9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《重庆市实施〈中华人民共和国野生动物保护法〉办法》第四十六条</w:t>
            </w:r>
          </w:p>
        </w:tc>
        <w:tc>
          <w:tcPr>
            <w:tcW w:w="3094" w:type="dxa"/>
            <w:vAlign w:val="center"/>
          </w:tcPr>
          <w:p w14:paraId="6F094A8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《财政部国家发展改革委关于公布取消和免征一批行政事业性收费的通知》（财综〔2013〕67号）已明确免征野生动物资源保护管理费。《中华人民共和国野生动物保护法》（2016年7月2日修订）已取消本权力事项。</w:t>
            </w:r>
          </w:p>
        </w:tc>
      </w:tr>
      <w:tr w14:paraId="7E1D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29455D5">
            <w:pPr>
              <w:numPr>
                <w:ilvl w:val="0"/>
                <w:numId w:val="1"/>
              </w:numPr>
              <w:spacing w:line="320" w:lineRule="exact"/>
              <w:jc w:val="center"/>
              <w:rPr>
                <w:rFonts w:ascii="方正仿宋_GBK" w:hAnsi="Times New Roman" w:eastAsia="方正仿宋_GBK"/>
                <w:szCs w:val="21"/>
              </w:rPr>
            </w:pPr>
          </w:p>
        </w:tc>
        <w:tc>
          <w:tcPr>
            <w:tcW w:w="2126" w:type="dxa"/>
            <w:vAlign w:val="center"/>
          </w:tcPr>
          <w:p w14:paraId="450B258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渔业船舶及船用产品检验</w:t>
            </w:r>
          </w:p>
        </w:tc>
        <w:tc>
          <w:tcPr>
            <w:tcW w:w="709" w:type="dxa"/>
            <w:vAlign w:val="center"/>
          </w:tcPr>
          <w:p w14:paraId="125F821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5B824A2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39991A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《渔业船舶检验条例》第三条</w:t>
            </w:r>
          </w:p>
        </w:tc>
        <w:tc>
          <w:tcPr>
            <w:tcW w:w="3094" w:type="dxa"/>
            <w:vAlign w:val="center"/>
          </w:tcPr>
          <w:p w14:paraId="5705A10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《中华人民共和国海事行政许可条件规定》（2018年修正）中无此许可事项，渔业船舶及船用产品检验由船检机构实施，船检机构不是行政单位，不能实施行政许可。</w:t>
            </w:r>
          </w:p>
        </w:tc>
      </w:tr>
      <w:tr w14:paraId="4E63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2F9C9AD">
            <w:pPr>
              <w:numPr>
                <w:ilvl w:val="0"/>
                <w:numId w:val="1"/>
              </w:numPr>
              <w:spacing w:line="320" w:lineRule="exact"/>
              <w:jc w:val="center"/>
              <w:rPr>
                <w:rFonts w:ascii="方正仿宋_GBK" w:hAnsi="Times New Roman" w:eastAsia="方正仿宋_GBK"/>
                <w:szCs w:val="21"/>
              </w:rPr>
            </w:pPr>
          </w:p>
        </w:tc>
        <w:tc>
          <w:tcPr>
            <w:tcW w:w="2126" w:type="dxa"/>
            <w:vAlign w:val="center"/>
          </w:tcPr>
          <w:p w14:paraId="1F69685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船舶法定检验（含船舶图纸审查）</w:t>
            </w:r>
          </w:p>
        </w:tc>
        <w:tc>
          <w:tcPr>
            <w:tcW w:w="709" w:type="dxa"/>
            <w:vAlign w:val="center"/>
          </w:tcPr>
          <w:p w14:paraId="52EFB72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7E9EA89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2CC1464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1．《中华人民共和国海上交通安全法》第四条；2. 《中华人民共和国船舶和海上设施检验条例》第三条、第四条、第六条；3．《</w:t>
            </w:r>
            <w:r>
              <w:rPr>
                <w:rFonts w:hint="eastAsia" w:ascii="方正仿宋_GBK" w:hAnsi="Times New Roman" w:eastAsia="方正仿宋_GBK"/>
                <w:szCs w:val="21"/>
                <w:lang w:val="en-US" w:eastAsia="zh-CN"/>
              </w:rPr>
              <w:t>中华人民共和国</w:t>
            </w:r>
            <w:r>
              <w:rPr>
                <w:rFonts w:hint="eastAsia" w:ascii="方正仿宋_GBK" w:hAnsi="Times New Roman" w:eastAsia="方正仿宋_GBK"/>
                <w:szCs w:val="21"/>
              </w:rPr>
              <w:t>内河交通安全管理条例》第六条；4. 《船舶检验管理规定》（交通运输部令第2号）第四条</w:t>
            </w:r>
          </w:p>
        </w:tc>
        <w:tc>
          <w:tcPr>
            <w:tcW w:w="3094" w:type="dxa"/>
            <w:vAlign w:val="center"/>
          </w:tcPr>
          <w:p w14:paraId="3E3362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《中华人民共和国海事行政许可条件规定》（2018年修正）中无此许可事项，船舶法定检验由船检机构实施，船检机构不是行政单位，不能实施行政许可。</w:t>
            </w:r>
          </w:p>
        </w:tc>
      </w:tr>
      <w:tr w14:paraId="5733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DA052E0">
            <w:pPr>
              <w:numPr>
                <w:ilvl w:val="0"/>
                <w:numId w:val="1"/>
              </w:numPr>
              <w:spacing w:line="320" w:lineRule="exact"/>
              <w:jc w:val="center"/>
              <w:rPr>
                <w:rFonts w:ascii="方正仿宋_GBK" w:hAnsi="Times New Roman" w:eastAsia="方正仿宋_GBK"/>
                <w:szCs w:val="21"/>
              </w:rPr>
            </w:pPr>
          </w:p>
        </w:tc>
        <w:tc>
          <w:tcPr>
            <w:tcW w:w="2126" w:type="dxa"/>
            <w:vAlign w:val="center"/>
          </w:tcPr>
          <w:p w14:paraId="47E616C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对机动车综合性能检测机构不按国家有关技术规范进行检测、未经检测出具检测结果或者不如实出具检测结果的处罚</w:t>
            </w:r>
          </w:p>
        </w:tc>
        <w:tc>
          <w:tcPr>
            <w:tcW w:w="709" w:type="dxa"/>
            <w:vAlign w:val="center"/>
          </w:tcPr>
          <w:p w14:paraId="5DE4A4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B81CA9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16CDF80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道路货物运输及货运站管理规定》（交通运输部令第1号）第七十一条；2．《道路旅客运输及客运站管理规定》（交通运输部令第8号）第九十四条；3．《重庆市人民政府关于在全市交通领域实行综合行政执法试点工作的意见》（渝府发〔2005〕61号）</w:t>
            </w:r>
          </w:p>
        </w:tc>
        <w:tc>
          <w:tcPr>
            <w:tcW w:w="3094" w:type="dxa"/>
            <w:vAlign w:val="center"/>
          </w:tcPr>
          <w:p w14:paraId="072EC78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《道路货物运输及站场管理规定》（2019年6月20日修订）《道路旅客运输及客运站管理规定》（交通运输部令第82号）取消了本权力事项。</w:t>
            </w:r>
          </w:p>
        </w:tc>
      </w:tr>
      <w:tr w14:paraId="0366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88AC1AE">
            <w:pPr>
              <w:numPr>
                <w:ilvl w:val="0"/>
                <w:numId w:val="1"/>
              </w:numPr>
              <w:spacing w:line="320" w:lineRule="exact"/>
              <w:jc w:val="center"/>
              <w:rPr>
                <w:rFonts w:ascii="方正仿宋_GBK" w:hAnsi="Times New Roman" w:eastAsia="方正仿宋_GBK"/>
                <w:szCs w:val="21"/>
              </w:rPr>
            </w:pPr>
          </w:p>
        </w:tc>
        <w:tc>
          <w:tcPr>
            <w:tcW w:w="2126" w:type="dxa"/>
            <w:vAlign w:val="center"/>
          </w:tcPr>
          <w:p w14:paraId="238D99F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擅自在公路上设置障碍、堆放物件材料，或违法在建筑物控制区内修建建筑物，又拒不服从管理的强行排（拆）除</w:t>
            </w:r>
          </w:p>
        </w:tc>
        <w:tc>
          <w:tcPr>
            <w:tcW w:w="709" w:type="dxa"/>
            <w:vAlign w:val="center"/>
          </w:tcPr>
          <w:p w14:paraId="58D8380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行政强制</w:t>
            </w:r>
          </w:p>
        </w:tc>
        <w:tc>
          <w:tcPr>
            <w:tcW w:w="992" w:type="dxa"/>
            <w:vAlign w:val="center"/>
          </w:tcPr>
          <w:p w14:paraId="64950D2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412632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1．《重庆市公路路政管理条例》第三十五条第三款；2．《重庆市人民政府关于在全市交通领域实行综合行政执法试点工作的意见》（渝府发〔2005〕61号）</w:t>
            </w:r>
          </w:p>
        </w:tc>
        <w:tc>
          <w:tcPr>
            <w:tcW w:w="3094" w:type="dxa"/>
            <w:vAlign w:val="center"/>
          </w:tcPr>
          <w:p w14:paraId="687A68D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设定依据《重庆市公路路政管理条例》已废止。</w:t>
            </w:r>
          </w:p>
        </w:tc>
      </w:tr>
      <w:tr w14:paraId="4E9F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9391FD3">
            <w:pPr>
              <w:numPr>
                <w:ilvl w:val="0"/>
                <w:numId w:val="1"/>
              </w:numPr>
              <w:spacing w:line="320" w:lineRule="exact"/>
              <w:jc w:val="center"/>
              <w:rPr>
                <w:rFonts w:ascii="方正仿宋_GBK" w:hAnsi="Times New Roman" w:eastAsia="方正仿宋_GBK"/>
                <w:szCs w:val="21"/>
              </w:rPr>
            </w:pPr>
          </w:p>
        </w:tc>
        <w:tc>
          <w:tcPr>
            <w:tcW w:w="2126" w:type="dxa"/>
            <w:vAlign w:val="center"/>
          </w:tcPr>
          <w:p w14:paraId="3EDC7D9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征收船舶港务费</w:t>
            </w:r>
          </w:p>
        </w:tc>
        <w:tc>
          <w:tcPr>
            <w:tcW w:w="709" w:type="dxa"/>
            <w:vAlign w:val="center"/>
          </w:tcPr>
          <w:p w14:paraId="4CFD98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7A0965C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4DE7120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1．《国家物价局财政部关于发布交通部水上安全监督收费项目及标准的通知》（价费字〔1992〕191号）；2．《重庆市物价局市财政局关于调整规范我市货物港务费等收费标准的通知》（渝价〔2000〕386号）</w:t>
            </w:r>
          </w:p>
        </w:tc>
        <w:tc>
          <w:tcPr>
            <w:tcW w:w="3094" w:type="dxa"/>
            <w:vAlign w:val="center"/>
          </w:tcPr>
          <w:p w14:paraId="6026B49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《财政部国家发展改革委关于取消有关水运涉企行政事业性收费项目的通知》（财税〔2015〕92号）取消了船舶港务费。</w:t>
            </w:r>
          </w:p>
        </w:tc>
      </w:tr>
      <w:tr w14:paraId="4F81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888CD76">
            <w:pPr>
              <w:numPr>
                <w:ilvl w:val="0"/>
                <w:numId w:val="1"/>
              </w:numPr>
              <w:spacing w:line="320" w:lineRule="exact"/>
              <w:jc w:val="center"/>
              <w:rPr>
                <w:rFonts w:ascii="方正仿宋_GBK" w:hAnsi="Times New Roman" w:eastAsia="方正仿宋_GBK"/>
                <w:szCs w:val="21"/>
              </w:rPr>
            </w:pPr>
          </w:p>
        </w:tc>
        <w:tc>
          <w:tcPr>
            <w:tcW w:w="2126" w:type="dxa"/>
            <w:vAlign w:val="center"/>
          </w:tcPr>
          <w:p w14:paraId="40B7AF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征收港口费（货物港务费）</w:t>
            </w:r>
          </w:p>
        </w:tc>
        <w:tc>
          <w:tcPr>
            <w:tcW w:w="709" w:type="dxa"/>
            <w:vAlign w:val="center"/>
          </w:tcPr>
          <w:p w14:paraId="19A95A7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4B33ECF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56F9DB3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1．《中华人民共和国港口收费规则（内贸部分）》（交通部令第8号）第一条；2．《重庆市物价局重庆市财政局关于调整规范我市货物港务费等收费标准的通知》（渝价〔2000〕386号）</w:t>
            </w:r>
          </w:p>
        </w:tc>
        <w:tc>
          <w:tcPr>
            <w:tcW w:w="3094" w:type="dxa"/>
            <w:vAlign w:val="center"/>
          </w:tcPr>
          <w:p w14:paraId="06362C8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设定依据《中华人民共和国港口收费规则（内贸部分）》（交通部令第8号）已失效。《重庆市财政局重庆市物价局关于取消我市交通部门货物港务费的通知》（渝财综〔2017〕13号）取消了货物港务费。</w:t>
            </w:r>
          </w:p>
        </w:tc>
      </w:tr>
      <w:tr w14:paraId="62F2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D98773D">
            <w:pPr>
              <w:numPr>
                <w:ilvl w:val="0"/>
                <w:numId w:val="1"/>
              </w:numPr>
              <w:spacing w:line="320" w:lineRule="exact"/>
              <w:jc w:val="center"/>
              <w:rPr>
                <w:rFonts w:ascii="方正仿宋_GBK" w:hAnsi="Times New Roman" w:eastAsia="方正仿宋_GBK"/>
                <w:szCs w:val="21"/>
              </w:rPr>
            </w:pPr>
          </w:p>
        </w:tc>
        <w:tc>
          <w:tcPr>
            <w:tcW w:w="2126" w:type="dxa"/>
            <w:vAlign w:val="center"/>
          </w:tcPr>
          <w:p w14:paraId="404E70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对船舶存在的缺陷与船舶检验机构、发证机构和认可组织有关的处理调查</w:t>
            </w:r>
          </w:p>
        </w:tc>
        <w:tc>
          <w:tcPr>
            <w:tcW w:w="709" w:type="dxa"/>
            <w:vAlign w:val="center"/>
          </w:tcPr>
          <w:p w14:paraId="70E8E49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1EB620E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0813F53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1．《中华人民共和国船舶安全检查规则》（交通运输部令第15号）第三十二条；2．《重庆市人民政府关于在全市交通领域实行综合行政执法试点工作的意见》（渝府发〔2005〕61号）</w:t>
            </w:r>
          </w:p>
        </w:tc>
        <w:tc>
          <w:tcPr>
            <w:tcW w:w="3094" w:type="dxa"/>
            <w:vAlign w:val="center"/>
          </w:tcPr>
          <w:p w14:paraId="5B39862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设定依据《中华人民共和国船舶安全检查规则》（交通运输部令第15号）已废止。</w:t>
            </w:r>
          </w:p>
        </w:tc>
      </w:tr>
      <w:tr w14:paraId="6D1B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6ADDFBE1">
            <w:pPr>
              <w:numPr>
                <w:ilvl w:val="0"/>
                <w:numId w:val="1"/>
              </w:numPr>
              <w:spacing w:line="320" w:lineRule="exact"/>
              <w:jc w:val="center"/>
              <w:rPr>
                <w:rFonts w:ascii="方正仿宋_GBK" w:hAnsi="Times New Roman" w:eastAsia="方正仿宋_GBK"/>
                <w:szCs w:val="21"/>
              </w:rPr>
            </w:pPr>
          </w:p>
        </w:tc>
        <w:tc>
          <w:tcPr>
            <w:tcW w:w="2126" w:type="dxa"/>
            <w:vAlign w:val="center"/>
          </w:tcPr>
          <w:p w14:paraId="4A10C7F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责令项目法人违反港口规划建设港口工程和未经依法批准使用港口岸线的限期改正</w:t>
            </w:r>
          </w:p>
        </w:tc>
        <w:tc>
          <w:tcPr>
            <w:tcW w:w="709" w:type="dxa"/>
            <w:vAlign w:val="center"/>
          </w:tcPr>
          <w:p w14:paraId="31F8CE4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7BA78E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4C7D51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1．《港口建设管理规定》（交通部令第5号）第四条、第五十七条；2．《重庆市人民政府关于在全市交通领域实行综合行政执法试点工作的意见》（渝府发〔2005〕61号）</w:t>
            </w:r>
          </w:p>
        </w:tc>
        <w:tc>
          <w:tcPr>
            <w:tcW w:w="3094" w:type="dxa"/>
            <w:vAlign w:val="center"/>
          </w:tcPr>
          <w:p w14:paraId="1DFBF43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设定依据《港口建设管理规定》（交通部令第5号）已废止。</w:t>
            </w:r>
          </w:p>
        </w:tc>
      </w:tr>
      <w:tr w14:paraId="42E3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DE88303">
            <w:pPr>
              <w:numPr>
                <w:ilvl w:val="0"/>
                <w:numId w:val="1"/>
              </w:numPr>
              <w:spacing w:line="320" w:lineRule="exact"/>
              <w:jc w:val="center"/>
              <w:rPr>
                <w:rFonts w:ascii="方正仿宋_GBK" w:hAnsi="Times New Roman" w:eastAsia="方正仿宋_GBK"/>
                <w:szCs w:val="21"/>
              </w:rPr>
            </w:pPr>
          </w:p>
        </w:tc>
        <w:tc>
          <w:tcPr>
            <w:tcW w:w="2126" w:type="dxa"/>
            <w:vAlign w:val="center"/>
          </w:tcPr>
          <w:p w14:paraId="06F3A8B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对质监机构对不合格的公路工程出具质量合格文件的责令改正</w:t>
            </w:r>
          </w:p>
        </w:tc>
        <w:tc>
          <w:tcPr>
            <w:tcW w:w="709" w:type="dxa"/>
            <w:vAlign w:val="center"/>
          </w:tcPr>
          <w:p w14:paraId="14FFFFA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08570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35D6D21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《公路工程质量监督规定》（交通部令第4号）第五条、第三十五条</w:t>
            </w:r>
          </w:p>
        </w:tc>
        <w:tc>
          <w:tcPr>
            <w:tcW w:w="3094" w:type="dxa"/>
            <w:vAlign w:val="center"/>
          </w:tcPr>
          <w:p w14:paraId="68788A7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设定依据《公路工程质量监督规定》（交通部令第4号）已废止。</w:t>
            </w:r>
          </w:p>
        </w:tc>
      </w:tr>
      <w:tr w14:paraId="3C40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7BD47FD">
            <w:pPr>
              <w:numPr>
                <w:ilvl w:val="0"/>
                <w:numId w:val="1"/>
              </w:numPr>
              <w:spacing w:line="320" w:lineRule="exact"/>
              <w:jc w:val="center"/>
              <w:rPr>
                <w:rFonts w:ascii="方正仿宋_GBK" w:hAnsi="Times New Roman" w:eastAsia="方正仿宋_GBK"/>
                <w:szCs w:val="21"/>
              </w:rPr>
            </w:pPr>
          </w:p>
        </w:tc>
        <w:tc>
          <w:tcPr>
            <w:tcW w:w="2126" w:type="dxa"/>
            <w:vAlign w:val="center"/>
          </w:tcPr>
          <w:p w14:paraId="0244D34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对质监机构不按规定履行职责的通报批评、责令整改</w:t>
            </w:r>
          </w:p>
        </w:tc>
        <w:tc>
          <w:tcPr>
            <w:tcW w:w="709" w:type="dxa"/>
            <w:vAlign w:val="center"/>
          </w:tcPr>
          <w:p w14:paraId="22A724B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523810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0ED3C59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《水运工程质量监督规定》（交通部令第3号）第五十二条</w:t>
            </w:r>
          </w:p>
        </w:tc>
        <w:tc>
          <w:tcPr>
            <w:tcW w:w="3094" w:type="dxa"/>
            <w:vAlign w:val="center"/>
          </w:tcPr>
          <w:p w14:paraId="362502D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设定依据《水运工程质量监督规定》（交通部令第3号）已废止。</w:t>
            </w:r>
          </w:p>
        </w:tc>
      </w:tr>
      <w:tr w14:paraId="10B0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447C1A0">
            <w:pPr>
              <w:numPr>
                <w:ilvl w:val="0"/>
                <w:numId w:val="1"/>
              </w:numPr>
              <w:spacing w:line="320" w:lineRule="exact"/>
              <w:jc w:val="center"/>
              <w:rPr>
                <w:rFonts w:ascii="方正仿宋_GBK" w:hAnsi="Times New Roman" w:eastAsia="方正仿宋_GBK"/>
                <w:szCs w:val="21"/>
              </w:rPr>
            </w:pPr>
          </w:p>
        </w:tc>
        <w:tc>
          <w:tcPr>
            <w:tcW w:w="2126" w:type="dxa"/>
            <w:vAlign w:val="center"/>
          </w:tcPr>
          <w:p w14:paraId="55A028E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发现船舶不再满足办理定期船舶签证条件的，应当要求船舶按规定办理航次船舶签证，并通知准予定期船舶签证的海事管理机构撤销有关船舶的定期船舶签证</w:t>
            </w:r>
          </w:p>
        </w:tc>
        <w:tc>
          <w:tcPr>
            <w:tcW w:w="709" w:type="dxa"/>
            <w:vAlign w:val="center"/>
          </w:tcPr>
          <w:p w14:paraId="1775E81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0F1E393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75399EE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1．《中华人民共和国船舶签证管理规则》（交通部令第7号）第二十九条；2．《重庆市人民政府关于在全市交通领域实行综合行政执法试点工作的意见》（渝府发〔2005〕61号）</w:t>
            </w:r>
          </w:p>
        </w:tc>
        <w:tc>
          <w:tcPr>
            <w:tcW w:w="3094" w:type="dxa"/>
            <w:vAlign w:val="center"/>
          </w:tcPr>
          <w:p w14:paraId="29BA347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设定依据《中华人民共和国船舶签证管理规则》（交通部令第7号）已废止。</w:t>
            </w:r>
          </w:p>
        </w:tc>
      </w:tr>
      <w:tr w14:paraId="1287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534" w:type="dxa"/>
            <w:vAlign w:val="center"/>
          </w:tcPr>
          <w:p w14:paraId="59FE0557">
            <w:pPr>
              <w:numPr>
                <w:ilvl w:val="0"/>
                <w:numId w:val="1"/>
              </w:numPr>
              <w:spacing w:line="320" w:lineRule="exact"/>
              <w:jc w:val="center"/>
              <w:rPr>
                <w:rFonts w:ascii="方正仿宋_GBK" w:hAnsi="Times New Roman" w:eastAsia="方正仿宋_GBK"/>
                <w:szCs w:val="21"/>
              </w:rPr>
            </w:pPr>
          </w:p>
        </w:tc>
        <w:tc>
          <w:tcPr>
            <w:tcW w:w="2126" w:type="dxa"/>
            <w:vAlign w:val="center"/>
          </w:tcPr>
          <w:p w14:paraId="7E6522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发现船舶以不正当手段取得船舶签证，尚未出港的，海事管理机构应当撤销船舶签证，并在船舶签证簿内签注撤销的原因、日期并加盖印章；已经出港的，海事管理机构应当进行调查处理或者通知下一抵达地的海事管理机构进行调查处理</w:t>
            </w:r>
          </w:p>
        </w:tc>
        <w:tc>
          <w:tcPr>
            <w:tcW w:w="709" w:type="dxa"/>
            <w:vAlign w:val="center"/>
          </w:tcPr>
          <w:p w14:paraId="53ED629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43E17D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6D7455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1．《中华人民共和国船舶签证管理规则》（交通部令第7号）第三十条；2．《重庆市人民政府关于在全市交通领域实行综合行政执法试点工作的意见》（渝府发〔2005〕61号</w:t>
            </w:r>
          </w:p>
        </w:tc>
        <w:tc>
          <w:tcPr>
            <w:tcW w:w="3094" w:type="dxa"/>
            <w:vAlign w:val="center"/>
          </w:tcPr>
          <w:p w14:paraId="2E2DBF0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设定依据《中华人民共和国船舶签证管理规则》（交通部令第7号）已废止。</w:t>
            </w:r>
          </w:p>
        </w:tc>
      </w:tr>
      <w:tr w14:paraId="5367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3EA29274">
            <w:pPr>
              <w:numPr>
                <w:ilvl w:val="0"/>
                <w:numId w:val="1"/>
              </w:numPr>
              <w:spacing w:line="320" w:lineRule="exact"/>
              <w:jc w:val="center"/>
              <w:rPr>
                <w:rFonts w:ascii="方正仿宋_GBK" w:hAnsi="Times New Roman" w:eastAsia="方正仿宋_GBK"/>
                <w:szCs w:val="21"/>
              </w:rPr>
            </w:pPr>
          </w:p>
        </w:tc>
        <w:tc>
          <w:tcPr>
            <w:tcW w:w="2126" w:type="dxa"/>
            <w:vAlign w:val="center"/>
          </w:tcPr>
          <w:p w14:paraId="775896F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船舶存在污染隐患的责令立即消除或者限期消除隐患、责令其临时停航、停止作业或责令驶往指定水域</w:t>
            </w:r>
          </w:p>
        </w:tc>
        <w:tc>
          <w:tcPr>
            <w:tcW w:w="709" w:type="dxa"/>
            <w:vAlign w:val="center"/>
          </w:tcPr>
          <w:p w14:paraId="19B2375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506E883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县交通局</w:t>
            </w:r>
          </w:p>
        </w:tc>
        <w:tc>
          <w:tcPr>
            <w:tcW w:w="2126" w:type="dxa"/>
            <w:vAlign w:val="center"/>
          </w:tcPr>
          <w:p w14:paraId="17DB8CFE">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1．《船舶签证管理规则》（交通部令第7号）第五十二条；2．《重庆市人民政府关于在全市交通领域实行综合行政执法试点工作的意见》（渝府发〔2005〕61号）</w:t>
            </w:r>
          </w:p>
        </w:tc>
        <w:tc>
          <w:tcPr>
            <w:tcW w:w="3094" w:type="dxa"/>
            <w:vAlign w:val="center"/>
          </w:tcPr>
          <w:p w14:paraId="7972ABB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设定依据《船舶签证管理规则》（交通部令第7号）已废止。</w:t>
            </w:r>
          </w:p>
        </w:tc>
      </w:tr>
      <w:tr w14:paraId="2C1C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45110D63">
            <w:pPr>
              <w:numPr>
                <w:ilvl w:val="0"/>
                <w:numId w:val="1"/>
              </w:numPr>
              <w:spacing w:line="320" w:lineRule="exact"/>
              <w:jc w:val="center"/>
              <w:rPr>
                <w:rFonts w:ascii="方正仿宋_GBK" w:hAnsi="Times New Roman" w:eastAsia="方正仿宋_GBK"/>
                <w:szCs w:val="21"/>
              </w:rPr>
            </w:pPr>
          </w:p>
        </w:tc>
        <w:tc>
          <w:tcPr>
            <w:tcW w:w="2126" w:type="dxa"/>
            <w:vAlign w:val="center"/>
          </w:tcPr>
          <w:p w14:paraId="536601F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对未取得地质勘查资质证书或地质勘查资质证书过期而从事地质勘查活动的违法行为的处罚</w:t>
            </w:r>
          </w:p>
        </w:tc>
        <w:tc>
          <w:tcPr>
            <w:tcW w:w="709" w:type="dxa"/>
            <w:vAlign w:val="center"/>
          </w:tcPr>
          <w:p w14:paraId="5AE28D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8B7991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705B854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《地质勘查资质管理条例》第二十七条</w:t>
            </w:r>
          </w:p>
        </w:tc>
        <w:tc>
          <w:tcPr>
            <w:tcW w:w="3094" w:type="dxa"/>
            <w:vAlign w:val="center"/>
          </w:tcPr>
          <w:p w14:paraId="78CBFD3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设定依据《地质勘查资质管理条例》已废止。从事地质勘查活动已不需取得地质勘查资质。</w:t>
            </w:r>
          </w:p>
        </w:tc>
      </w:tr>
      <w:tr w14:paraId="1927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7632C01B">
            <w:pPr>
              <w:numPr>
                <w:ilvl w:val="0"/>
                <w:numId w:val="1"/>
              </w:numPr>
              <w:spacing w:line="320" w:lineRule="exact"/>
              <w:jc w:val="center"/>
              <w:rPr>
                <w:rFonts w:ascii="方正仿宋_GBK" w:hAnsi="Times New Roman" w:eastAsia="方正仿宋_GBK"/>
                <w:szCs w:val="21"/>
              </w:rPr>
            </w:pPr>
          </w:p>
        </w:tc>
        <w:tc>
          <w:tcPr>
            <w:tcW w:w="2126" w:type="dxa"/>
            <w:vAlign w:val="center"/>
          </w:tcPr>
          <w:p w14:paraId="39982D4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对未经批准，在测绘活动中擅自采用国际坐标系统的处罚</w:t>
            </w:r>
          </w:p>
        </w:tc>
        <w:tc>
          <w:tcPr>
            <w:tcW w:w="709" w:type="dxa"/>
            <w:vAlign w:val="center"/>
          </w:tcPr>
          <w:p w14:paraId="4B8EE39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C850AE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7B45FCE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《中华人民共和国测绘法》第四条第二款、第四十一条</w:t>
            </w:r>
          </w:p>
        </w:tc>
        <w:tc>
          <w:tcPr>
            <w:tcW w:w="3094" w:type="dxa"/>
            <w:vAlign w:val="center"/>
          </w:tcPr>
          <w:p w14:paraId="5C51AD3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《中华人民共和国测绘法》（</w:t>
            </w:r>
            <w:r>
              <w:rPr>
                <w:rFonts w:hint="eastAsia" w:ascii="方正仿宋_GBK" w:hAnsi="Times New Roman" w:eastAsia="方正仿宋_GBK"/>
                <w:szCs w:val="21"/>
                <w:shd w:val="clear" w:color="auto" w:fill="FFFFFF"/>
              </w:rPr>
              <w:t>2017年4月27日修订</w:t>
            </w:r>
            <w:r>
              <w:rPr>
                <w:rFonts w:hint="eastAsia" w:ascii="方正仿宋_GBK" w:hAnsi="Times New Roman" w:eastAsia="方正仿宋_GBK"/>
                <w:szCs w:val="21"/>
              </w:rPr>
              <w:t>）取消本权力事项。</w:t>
            </w:r>
          </w:p>
        </w:tc>
      </w:tr>
      <w:tr w14:paraId="0CC8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604367CC">
            <w:pPr>
              <w:numPr>
                <w:ilvl w:val="0"/>
                <w:numId w:val="1"/>
              </w:numPr>
              <w:spacing w:line="320" w:lineRule="exact"/>
              <w:jc w:val="center"/>
              <w:rPr>
                <w:rFonts w:ascii="方正仿宋_GBK" w:hAnsi="Times New Roman" w:eastAsia="方正仿宋_GBK"/>
                <w:szCs w:val="21"/>
              </w:rPr>
            </w:pPr>
          </w:p>
        </w:tc>
        <w:tc>
          <w:tcPr>
            <w:tcW w:w="2126" w:type="dxa"/>
            <w:vAlign w:val="center"/>
          </w:tcPr>
          <w:p w14:paraId="11E2F5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对外商投资城市规划服务企业违反规定从事城市总体规划编制服务的处罚</w:t>
            </w:r>
          </w:p>
        </w:tc>
        <w:tc>
          <w:tcPr>
            <w:tcW w:w="709" w:type="dxa"/>
            <w:vAlign w:val="center"/>
          </w:tcPr>
          <w:p w14:paraId="30B76C6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6E621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646B54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1．《外商投资城市规划服务企业管理规定》（建设部、对外贸易经济合作部令第116号）第二十三条、第二十四条；2．《重庆市城乡规划条例》第六条</w:t>
            </w:r>
          </w:p>
        </w:tc>
        <w:tc>
          <w:tcPr>
            <w:tcW w:w="3094" w:type="dxa"/>
            <w:vAlign w:val="center"/>
          </w:tcPr>
          <w:p w14:paraId="0747A4A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设定依据《外商投资城市规划服务企业管理规定》（建设部、对外贸易经济合作部令第116号）已废止。</w:t>
            </w:r>
          </w:p>
        </w:tc>
      </w:tr>
      <w:tr w14:paraId="7442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021F4437">
            <w:pPr>
              <w:numPr>
                <w:ilvl w:val="0"/>
                <w:numId w:val="1"/>
              </w:numPr>
              <w:spacing w:line="320" w:lineRule="exact"/>
              <w:jc w:val="center"/>
              <w:rPr>
                <w:rFonts w:ascii="方正仿宋_GBK" w:hAnsi="Times New Roman" w:eastAsia="方正仿宋_GBK"/>
                <w:szCs w:val="21"/>
              </w:rPr>
            </w:pPr>
          </w:p>
        </w:tc>
        <w:tc>
          <w:tcPr>
            <w:tcW w:w="2126" w:type="dxa"/>
            <w:vAlign w:val="center"/>
          </w:tcPr>
          <w:p w14:paraId="75D2504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对采矿权人未按规定报送有关资料的处罚</w:t>
            </w:r>
          </w:p>
        </w:tc>
        <w:tc>
          <w:tcPr>
            <w:tcW w:w="709" w:type="dxa"/>
            <w:vAlign w:val="center"/>
          </w:tcPr>
          <w:p w14:paraId="5F3CAB0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29BA11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57B29DCB">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1．《矿产资源补偿费征收管理规定》第十六条；2．《重庆市矿产资源补偿费征收管理实施办法》（重庆市人民政府令第13号）第二十条</w:t>
            </w:r>
          </w:p>
        </w:tc>
        <w:tc>
          <w:tcPr>
            <w:tcW w:w="3094" w:type="dxa"/>
            <w:vAlign w:val="center"/>
          </w:tcPr>
          <w:p w14:paraId="399ECBA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1．国家费改税政策，矿产资源补偿费不再征收。2．《重庆市矿产资源补偿费征收管理实施办法》（重庆市人民政府令13号）已废止。</w:t>
            </w:r>
          </w:p>
        </w:tc>
      </w:tr>
      <w:tr w14:paraId="45F4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37401FD0">
            <w:pPr>
              <w:numPr>
                <w:ilvl w:val="0"/>
                <w:numId w:val="1"/>
              </w:numPr>
              <w:spacing w:line="320" w:lineRule="exact"/>
              <w:jc w:val="center"/>
              <w:rPr>
                <w:rFonts w:ascii="方正仿宋_GBK" w:hAnsi="Times New Roman" w:eastAsia="方正仿宋_GBK"/>
                <w:szCs w:val="21"/>
              </w:rPr>
            </w:pPr>
          </w:p>
        </w:tc>
        <w:tc>
          <w:tcPr>
            <w:tcW w:w="2126" w:type="dxa"/>
            <w:vAlign w:val="center"/>
          </w:tcPr>
          <w:p w14:paraId="5441E0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对采矿权人在规定期限内未足额缴纳矿产资源补偿费的处罚</w:t>
            </w:r>
          </w:p>
        </w:tc>
        <w:tc>
          <w:tcPr>
            <w:tcW w:w="709" w:type="dxa"/>
            <w:vAlign w:val="center"/>
          </w:tcPr>
          <w:p w14:paraId="0A44B4A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7EE372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00E1EF32">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1．《矿产资源补偿费征收管理规定》第十四条；2．《重庆市矿产资源补偿费征收管理实施办法》（重庆市人民政府令13号）第十八条</w:t>
            </w:r>
          </w:p>
        </w:tc>
        <w:tc>
          <w:tcPr>
            <w:tcW w:w="3094" w:type="dxa"/>
            <w:vAlign w:val="center"/>
          </w:tcPr>
          <w:p w14:paraId="72FF4FD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1．国家费改税政策，矿产资源补偿费不再征收。2．《重庆市矿产资源补偿费征收管理实施办法》（重庆市人民政府令第13号）已废止。</w:t>
            </w:r>
          </w:p>
        </w:tc>
      </w:tr>
      <w:tr w14:paraId="111A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0D4999F4">
            <w:pPr>
              <w:numPr>
                <w:ilvl w:val="0"/>
                <w:numId w:val="1"/>
              </w:numPr>
              <w:spacing w:line="320" w:lineRule="exact"/>
              <w:jc w:val="center"/>
              <w:rPr>
                <w:rFonts w:ascii="方正仿宋_GBK" w:hAnsi="Times New Roman" w:eastAsia="方正仿宋_GBK"/>
                <w:szCs w:val="21"/>
              </w:rPr>
            </w:pPr>
          </w:p>
        </w:tc>
        <w:tc>
          <w:tcPr>
            <w:tcW w:w="2126" w:type="dxa"/>
            <w:vAlign w:val="center"/>
          </w:tcPr>
          <w:p w14:paraId="5E4BB2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对采矿权人采取伪报矿种、隐匿产量或销售数量，或者伪报销售价格、实际回采率等手段，不缴、少缴矿产资源补偿费的处罚</w:t>
            </w:r>
          </w:p>
        </w:tc>
        <w:tc>
          <w:tcPr>
            <w:tcW w:w="709" w:type="dxa"/>
            <w:vAlign w:val="center"/>
          </w:tcPr>
          <w:p w14:paraId="2963E23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30AB07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47645C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1．《矿产资源补偿费征收管理规定》第十五条；2．《重庆市矿产资源补偿费征收管理实施办法》（重庆市人民政府令13号）第十九条</w:t>
            </w:r>
          </w:p>
        </w:tc>
        <w:tc>
          <w:tcPr>
            <w:tcW w:w="3094" w:type="dxa"/>
            <w:vAlign w:val="center"/>
          </w:tcPr>
          <w:p w14:paraId="1942F42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1．国家费改税政策，矿产资源补偿费不再征收。2．《重庆市矿产资源补偿费征收管理实施办法》（重庆市人民政府令第13号）已废止。</w:t>
            </w:r>
          </w:p>
        </w:tc>
      </w:tr>
      <w:tr w14:paraId="1157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14:paraId="39C1C329">
            <w:pPr>
              <w:numPr>
                <w:ilvl w:val="0"/>
                <w:numId w:val="1"/>
              </w:numPr>
              <w:spacing w:line="320" w:lineRule="exact"/>
              <w:jc w:val="center"/>
              <w:rPr>
                <w:rFonts w:ascii="方正仿宋_GBK" w:hAnsi="Times New Roman" w:eastAsia="方正仿宋_GBK"/>
                <w:szCs w:val="21"/>
              </w:rPr>
            </w:pPr>
          </w:p>
        </w:tc>
        <w:tc>
          <w:tcPr>
            <w:tcW w:w="2126" w:type="dxa"/>
            <w:vAlign w:val="center"/>
          </w:tcPr>
          <w:p w14:paraId="4DE924C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征收矿产资源补偿费</w:t>
            </w:r>
          </w:p>
        </w:tc>
        <w:tc>
          <w:tcPr>
            <w:tcW w:w="709" w:type="dxa"/>
            <w:vAlign w:val="center"/>
          </w:tcPr>
          <w:p w14:paraId="5007CBB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0548872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县规划自然资源局</w:t>
            </w:r>
          </w:p>
        </w:tc>
        <w:tc>
          <w:tcPr>
            <w:tcW w:w="2126" w:type="dxa"/>
            <w:vAlign w:val="center"/>
          </w:tcPr>
          <w:p w14:paraId="57E70C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1．《中华人民共和国矿产资源法》第五条第二款；2．《矿产资源补偿费征收管理规定》第七条</w:t>
            </w:r>
          </w:p>
        </w:tc>
        <w:tc>
          <w:tcPr>
            <w:tcW w:w="3094" w:type="dxa"/>
            <w:vAlign w:val="center"/>
          </w:tcPr>
          <w:p w14:paraId="0D1A60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国家费改税政策，矿产资源补偿费不再征收。</w:t>
            </w:r>
          </w:p>
        </w:tc>
      </w:tr>
      <w:tr w14:paraId="0BB8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C3AFCEB">
            <w:pPr>
              <w:numPr>
                <w:ilvl w:val="0"/>
                <w:numId w:val="1"/>
              </w:numPr>
              <w:spacing w:line="320" w:lineRule="exact"/>
              <w:jc w:val="center"/>
              <w:rPr>
                <w:rFonts w:ascii="方正仿宋_GBK" w:hAnsi="Times New Roman" w:eastAsia="方正仿宋_GBK"/>
                <w:szCs w:val="21"/>
              </w:rPr>
            </w:pPr>
          </w:p>
        </w:tc>
        <w:tc>
          <w:tcPr>
            <w:tcW w:w="2126" w:type="dxa"/>
            <w:vAlign w:val="center"/>
          </w:tcPr>
          <w:p w14:paraId="683876D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对依法必须招标的建筑工程项目，招标人自行组织招标或委托招标代理机构招标的在规定时间内未依法备案的处罚</w:t>
            </w:r>
          </w:p>
        </w:tc>
        <w:tc>
          <w:tcPr>
            <w:tcW w:w="709" w:type="dxa"/>
            <w:vAlign w:val="center"/>
          </w:tcPr>
          <w:p w14:paraId="4B1F97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65AA9A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21DED7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《建筑工程设计招标投标管理办法》（建设部令第82号）第二十五条</w:t>
            </w:r>
          </w:p>
        </w:tc>
        <w:tc>
          <w:tcPr>
            <w:tcW w:w="3094" w:type="dxa"/>
            <w:vAlign w:val="center"/>
          </w:tcPr>
          <w:p w14:paraId="0FB545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《建筑工程设计招标投标管理办法（2017）》（</w:t>
            </w:r>
            <w:r>
              <w:rPr>
                <w:rFonts w:hint="eastAsia" w:ascii="方正仿宋_GBK" w:hAnsi="Times New Roman" w:eastAsia="方正仿宋_GBK"/>
                <w:szCs w:val="21"/>
                <w:lang w:val="en-US" w:eastAsia="zh-CN"/>
              </w:rPr>
              <w:t>住房和城乡建设部</w:t>
            </w:r>
            <w:r>
              <w:rPr>
                <w:rFonts w:hint="eastAsia" w:ascii="方正仿宋_GBK" w:hAnsi="Times New Roman" w:eastAsia="方正仿宋_GBK"/>
                <w:szCs w:val="21"/>
              </w:rPr>
              <w:t>令第33号）已删除本权力事项相关规定。</w:t>
            </w:r>
          </w:p>
        </w:tc>
      </w:tr>
      <w:tr w14:paraId="31D3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326977B">
            <w:pPr>
              <w:numPr>
                <w:ilvl w:val="0"/>
                <w:numId w:val="1"/>
              </w:numPr>
              <w:spacing w:line="320" w:lineRule="exact"/>
              <w:jc w:val="center"/>
              <w:rPr>
                <w:rFonts w:ascii="方正仿宋_GBK" w:hAnsi="Times New Roman" w:eastAsia="方正仿宋_GBK"/>
                <w:szCs w:val="21"/>
              </w:rPr>
            </w:pPr>
          </w:p>
        </w:tc>
        <w:tc>
          <w:tcPr>
            <w:tcW w:w="2126" w:type="dxa"/>
            <w:vAlign w:val="center"/>
          </w:tcPr>
          <w:p w14:paraId="3620FFC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对招标人在中标方案确定后未在规定时间内向相关行政主管部门提交招投标情况书面报告的处罚</w:t>
            </w:r>
          </w:p>
        </w:tc>
        <w:tc>
          <w:tcPr>
            <w:tcW w:w="709" w:type="dxa"/>
            <w:vAlign w:val="center"/>
          </w:tcPr>
          <w:p w14:paraId="41629FB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A1E092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4FF5F1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1．《建筑工程设计招标投标管理办法》（建设部令第82号）第二十六条；2．《重庆市招投标条例》第五十六条</w:t>
            </w:r>
          </w:p>
        </w:tc>
        <w:tc>
          <w:tcPr>
            <w:tcW w:w="3094" w:type="dxa"/>
            <w:vAlign w:val="center"/>
          </w:tcPr>
          <w:p w14:paraId="33A3BD8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《建筑工程设计招标投标管理办法（2017）》（</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令第33号）和《重庆市招投标条例》（2018年7月26日修正）均已删除本权力事项相关规定。</w:t>
            </w:r>
          </w:p>
        </w:tc>
      </w:tr>
      <w:tr w14:paraId="3688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5BBA396">
            <w:pPr>
              <w:numPr>
                <w:ilvl w:val="0"/>
                <w:numId w:val="1"/>
              </w:numPr>
              <w:spacing w:line="320" w:lineRule="exact"/>
              <w:jc w:val="center"/>
              <w:rPr>
                <w:rFonts w:ascii="方正仿宋_GBK" w:hAnsi="Times New Roman" w:eastAsia="方正仿宋_GBK"/>
                <w:szCs w:val="21"/>
              </w:rPr>
            </w:pPr>
          </w:p>
        </w:tc>
        <w:tc>
          <w:tcPr>
            <w:tcW w:w="2126" w:type="dxa"/>
            <w:vAlign w:val="center"/>
          </w:tcPr>
          <w:p w14:paraId="5CAAEA1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对非因不可抗力原因，在发布招标公告、发出投标邀请书或者发售资格预审文件或招标文件后终止招标的处罚</w:t>
            </w:r>
          </w:p>
        </w:tc>
        <w:tc>
          <w:tcPr>
            <w:tcW w:w="709" w:type="dxa"/>
            <w:vAlign w:val="center"/>
          </w:tcPr>
          <w:p w14:paraId="21E87F3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5A4843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6DD7BA3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《重庆市招投标条例》第五十五条</w:t>
            </w:r>
          </w:p>
        </w:tc>
        <w:tc>
          <w:tcPr>
            <w:tcW w:w="3094" w:type="dxa"/>
            <w:vAlign w:val="center"/>
          </w:tcPr>
          <w:p w14:paraId="1AED960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《重庆市招投标条例》（</w:t>
            </w:r>
            <w:r>
              <w:rPr>
                <w:rFonts w:hint="eastAsia" w:ascii="方正仿宋_GBK" w:hAnsi="Times New Roman" w:eastAsia="方正仿宋_GBK"/>
                <w:szCs w:val="21"/>
                <w:shd w:val="clear" w:color="auto" w:fill="FFFFFF"/>
              </w:rPr>
              <w:t>2016年7月29日修订</w:t>
            </w:r>
            <w:r>
              <w:rPr>
                <w:rFonts w:hint="eastAsia" w:ascii="方正仿宋_GBK" w:hAnsi="Times New Roman" w:eastAsia="方正仿宋_GBK"/>
                <w:szCs w:val="21"/>
              </w:rPr>
              <w:t>）已取消本权力事项。</w:t>
            </w:r>
          </w:p>
        </w:tc>
      </w:tr>
      <w:tr w14:paraId="1018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98FDF83">
            <w:pPr>
              <w:numPr>
                <w:ilvl w:val="0"/>
                <w:numId w:val="1"/>
              </w:numPr>
              <w:spacing w:line="320" w:lineRule="exact"/>
              <w:jc w:val="center"/>
              <w:rPr>
                <w:rFonts w:ascii="方正仿宋_GBK" w:hAnsi="Times New Roman" w:eastAsia="方正仿宋_GBK"/>
                <w:szCs w:val="21"/>
              </w:rPr>
            </w:pPr>
          </w:p>
        </w:tc>
        <w:tc>
          <w:tcPr>
            <w:tcW w:w="2126" w:type="dxa"/>
            <w:vAlign w:val="center"/>
          </w:tcPr>
          <w:p w14:paraId="4E25CF5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出入境证件真伪认定</w:t>
            </w:r>
          </w:p>
        </w:tc>
        <w:tc>
          <w:tcPr>
            <w:tcW w:w="709" w:type="dxa"/>
            <w:vAlign w:val="center"/>
          </w:tcPr>
          <w:p w14:paraId="166AF58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50B3B8C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县公安局</w:t>
            </w:r>
          </w:p>
        </w:tc>
        <w:tc>
          <w:tcPr>
            <w:tcW w:w="2126" w:type="dxa"/>
            <w:vAlign w:val="center"/>
          </w:tcPr>
          <w:p w14:paraId="0767247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《中华人民共和国出境入境管理法》第六十九条</w:t>
            </w:r>
          </w:p>
        </w:tc>
        <w:tc>
          <w:tcPr>
            <w:tcW w:w="3094" w:type="dxa"/>
            <w:vAlign w:val="center"/>
          </w:tcPr>
          <w:p w14:paraId="2858E39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国家移民局已取消本权力事项。</w:t>
            </w:r>
          </w:p>
        </w:tc>
      </w:tr>
      <w:tr w14:paraId="2D7A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DD5D15F">
            <w:pPr>
              <w:numPr>
                <w:ilvl w:val="0"/>
                <w:numId w:val="1"/>
              </w:numPr>
              <w:spacing w:line="320" w:lineRule="exact"/>
              <w:jc w:val="center"/>
              <w:rPr>
                <w:rFonts w:ascii="方正仿宋_GBK" w:hAnsi="Times New Roman" w:eastAsia="方正仿宋_GBK"/>
                <w:szCs w:val="21"/>
              </w:rPr>
            </w:pPr>
          </w:p>
        </w:tc>
        <w:tc>
          <w:tcPr>
            <w:tcW w:w="2126" w:type="dxa"/>
            <w:vAlign w:val="center"/>
          </w:tcPr>
          <w:p w14:paraId="53E03F0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捡拾弃婴报案证明</w:t>
            </w:r>
          </w:p>
        </w:tc>
        <w:tc>
          <w:tcPr>
            <w:tcW w:w="709" w:type="dxa"/>
            <w:vAlign w:val="center"/>
          </w:tcPr>
          <w:p w14:paraId="53C4E23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504254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县公安局</w:t>
            </w:r>
          </w:p>
        </w:tc>
        <w:tc>
          <w:tcPr>
            <w:tcW w:w="2126" w:type="dxa"/>
            <w:vAlign w:val="center"/>
          </w:tcPr>
          <w:p w14:paraId="6BCD0F0E">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《民政部国家发展改革委公安部司法部财政部国家</w:t>
            </w:r>
            <w:r>
              <w:rPr>
                <w:rFonts w:hint="eastAsia" w:ascii="方正仿宋_GBK" w:hAnsi="Times New Roman" w:eastAsia="方正仿宋_GBK"/>
                <w:spacing w:val="-15"/>
                <w:szCs w:val="21"/>
                <w:lang w:eastAsia="zh-CN"/>
              </w:rPr>
              <w:t>卫生计生委</w:t>
            </w:r>
            <w:r>
              <w:rPr>
                <w:rFonts w:hint="eastAsia" w:ascii="方正仿宋_GBK" w:hAnsi="Times New Roman" w:eastAsia="方正仿宋_GBK"/>
                <w:spacing w:val="-15"/>
                <w:szCs w:val="21"/>
              </w:rPr>
              <w:t>国家宗教局关于进一步做好弃婴相关工作的通知》（民发〔2013〕83号）</w:t>
            </w:r>
          </w:p>
        </w:tc>
        <w:tc>
          <w:tcPr>
            <w:tcW w:w="3094" w:type="dxa"/>
            <w:vAlign w:val="center"/>
          </w:tcPr>
          <w:p w14:paraId="024BDC7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根据公安部《关于第二批不再要求提供有关规章设定证明事项和取消有关规范性文件设定证明事项的通知》（公法〔2019〕224号）规定，取消“弃婴捡拾证明”事项。</w:t>
            </w:r>
          </w:p>
        </w:tc>
      </w:tr>
      <w:tr w14:paraId="643F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F220DF1">
            <w:pPr>
              <w:numPr>
                <w:ilvl w:val="0"/>
                <w:numId w:val="1"/>
              </w:numPr>
              <w:spacing w:line="320" w:lineRule="exact"/>
              <w:jc w:val="center"/>
              <w:rPr>
                <w:rFonts w:ascii="方正仿宋_GBK" w:hAnsi="Times New Roman" w:eastAsia="方正仿宋_GBK"/>
                <w:szCs w:val="21"/>
              </w:rPr>
            </w:pPr>
          </w:p>
        </w:tc>
        <w:tc>
          <w:tcPr>
            <w:tcW w:w="2126" w:type="dxa"/>
            <w:vAlign w:val="center"/>
          </w:tcPr>
          <w:p w14:paraId="01EAFA6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重庆市重点现代物流项目确认</w:t>
            </w:r>
          </w:p>
        </w:tc>
        <w:tc>
          <w:tcPr>
            <w:tcW w:w="709" w:type="dxa"/>
            <w:vAlign w:val="center"/>
          </w:tcPr>
          <w:p w14:paraId="11FFCFE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5F50C97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571722C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《重庆市人民政府办公厅关于印发重庆市重点现代物流企业和重点现代物流项目认定办法的通知》（渝办发〔2007〕296号）第十六条第一款、第十七条</w:t>
            </w:r>
          </w:p>
        </w:tc>
        <w:tc>
          <w:tcPr>
            <w:tcW w:w="3094" w:type="dxa"/>
            <w:vAlign w:val="center"/>
          </w:tcPr>
          <w:p w14:paraId="30CB0AF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设定依据《重庆市人民政府办公厅关于印发重庆市重点现代物流企业和重点现代物流项目认定办法的通知》（渝办发〔2007〕296号）已过有效期，且实际工作中已无实施必要。</w:t>
            </w:r>
          </w:p>
        </w:tc>
      </w:tr>
      <w:tr w14:paraId="2BDF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79371E2">
            <w:pPr>
              <w:numPr>
                <w:ilvl w:val="0"/>
                <w:numId w:val="1"/>
              </w:numPr>
              <w:spacing w:line="320" w:lineRule="exact"/>
              <w:jc w:val="center"/>
              <w:rPr>
                <w:rFonts w:ascii="方正仿宋_GBK" w:hAnsi="Times New Roman" w:eastAsia="方正仿宋_GBK"/>
                <w:szCs w:val="21"/>
              </w:rPr>
            </w:pPr>
          </w:p>
        </w:tc>
        <w:tc>
          <w:tcPr>
            <w:tcW w:w="2126" w:type="dxa"/>
            <w:vAlign w:val="center"/>
          </w:tcPr>
          <w:p w14:paraId="06DA71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《新建居民住宅小区供配电设施建设管理办法》执行监督</w:t>
            </w:r>
          </w:p>
        </w:tc>
        <w:tc>
          <w:tcPr>
            <w:tcW w:w="709" w:type="dxa"/>
            <w:vAlign w:val="center"/>
          </w:tcPr>
          <w:p w14:paraId="66511DC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4560A89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县发展改革委</w:t>
            </w:r>
          </w:p>
        </w:tc>
        <w:tc>
          <w:tcPr>
            <w:tcW w:w="2126" w:type="dxa"/>
            <w:vAlign w:val="center"/>
          </w:tcPr>
          <w:p w14:paraId="1FF3459A">
            <w:pPr>
              <w:spacing w:line="320" w:lineRule="exact"/>
              <w:jc w:val="center"/>
              <w:rPr>
                <w:rFonts w:ascii="方正仿宋_GBK" w:hAnsi="Times New Roman" w:eastAsia="方正仿宋_GBK"/>
                <w:szCs w:val="21"/>
              </w:rPr>
            </w:pPr>
            <w:r>
              <w:rPr>
                <w:rFonts w:hint="eastAsia" w:ascii="方正仿宋_GBK" w:hAnsi="Times New Roman" w:eastAsia="方正仿宋_GBK"/>
                <w:spacing w:val="-15"/>
                <w:szCs w:val="21"/>
              </w:rPr>
              <w:t>《重庆市人民政府办公厅关于印发重庆市新建居民住宅小区供配电设施建设管理办法（试行）的通知》（渝府办发〔2013〕39号）第二条</w:t>
            </w:r>
          </w:p>
        </w:tc>
        <w:tc>
          <w:tcPr>
            <w:tcW w:w="3094" w:type="dxa"/>
            <w:vAlign w:val="center"/>
          </w:tcPr>
          <w:p w14:paraId="4981244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办公厅关于停止执行重庆市新建居民住宅小区供配电设施建设管理办法（试行）的通知》（渝府办发〔2016〕200号），本事项设定依据《重庆市新建居民住宅小区供配电设施建设管理办法（试行）》（渝府办发〔2013〕39号）已停止执行。</w:t>
            </w:r>
          </w:p>
        </w:tc>
      </w:tr>
      <w:tr w14:paraId="5E4C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65CA5CE">
            <w:pPr>
              <w:numPr>
                <w:ilvl w:val="0"/>
                <w:numId w:val="1"/>
              </w:numPr>
              <w:spacing w:line="320" w:lineRule="exact"/>
              <w:jc w:val="center"/>
              <w:rPr>
                <w:rFonts w:ascii="方正仿宋_GBK" w:hAnsi="Times New Roman" w:eastAsia="方正仿宋_GBK"/>
                <w:szCs w:val="21"/>
              </w:rPr>
            </w:pPr>
          </w:p>
        </w:tc>
        <w:tc>
          <w:tcPr>
            <w:tcW w:w="2126" w:type="dxa"/>
            <w:vAlign w:val="center"/>
          </w:tcPr>
          <w:p w14:paraId="32DCE2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市政环境卫生项目初步设计审查</w:t>
            </w:r>
          </w:p>
        </w:tc>
        <w:tc>
          <w:tcPr>
            <w:tcW w:w="709" w:type="dxa"/>
            <w:vAlign w:val="center"/>
          </w:tcPr>
          <w:p w14:paraId="2F04878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行政许可</w:t>
            </w:r>
          </w:p>
        </w:tc>
        <w:tc>
          <w:tcPr>
            <w:tcW w:w="992" w:type="dxa"/>
            <w:vAlign w:val="center"/>
          </w:tcPr>
          <w:p w14:paraId="46DFC23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615B115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1．《重庆市市政设施管理条例》第十条；2．《重庆市建设领域行政审批制度改革试点方案》（重庆市人民政府令第190号）</w:t>
            </w:r>
          </w:p>
        </w:tc>
        <w:tc>
          <w:tcPr>
            <w:tcW w:w="3094" w:type="dxa"/>
            <w:vAlign w:val="center"/>
          </w:tcPr>
          <w:p w14:paraId="0B04740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根据《重庆市建设工程项目审批制度改革试点方案》（渝府发〔2018〕53号），已取消初步设计环节。</w:t>
            </w:r>
          </w:p>
        </w:tc>
      </w:tr>
      <w:tr w14:paraId="314E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5EA054F">
            <w:pPr>
              <w:numPr>
                <w:ilvl w:val="0"/>
                <w:numId w:val="1"/>
              </w:numPr>
              <w:spacing w:line="320" w:lineRule="exact"/>
              <w:jc w:val="center"/>
              <w:rPr>
                <w:rFonts w:ascii="方正仿宋_GBK" w:hAnsi="Times New Roman" w:eastAsia="方正仿宋_GBK"/>
                <w:szCs w:val="21"/>
              </w:rPr>
            </w:pPr>
          </w:p>
        </w:tc>
        <w:tc>
          <w:tcPr>
            <w:tcW w:w="2126" w:type="dxa"/>
            <w:vAlign w:val="center"/>
          </w:tcPr>
          <w:p w14:paraId="05196AD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城市园林绿化工程项目交付使用前检查验收</w:t>
            </w:r>
          </w:p>
        </w:tc>
        <w:tc>
          <w:tcPr>
            <w:tcW w:w="709" w:type="dxa"/>
            <w:vAlign w:val="center"/>
          </w:tcPr>
          <w:p w14:paraId="46C0E44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行政确认</w:t>
            </w:r>
          </w:p>
        </w:tc>
        <w:tc>
          <w:tcPr>
            <w:tcW w:w="992" w:type="dxa"/>
            <w:vAlign w:val="center"/>
          </w:tcPr>
          <w:p w14:paraId="293A66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79F97C9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1．《重庆市城市园林绿化条例》第十五条第四项；2．《重庆市人民政府办公厅关于印发重庆市城市管理综合行政执法总队机构编制方案的通知》（渝府办发〔2017〕135号）</w:t>
            </w:r>
          </w:p>
        </w:tc>
        <w:tc>
          <w:tcPr>
            <w:tcW w:w="3094" w:type="dxa"/>
            <w:vAlign w:val="center"/>
          </w:tcPr>
          <w:p w14:paraId="092CDB8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代表大会常务委员会关于修改〈重庆市城市房地产开发经营管理条例〉等二十五件地方性法规的决定》（2018年7月26日重庆市第五届人民代表大会常务委员会第四次会议通过），原设定依据《重庆市城市园林绿化条例》第十五条第四项已删除。</w:t>
            </w:r>
          </w:p>
        </w:tc>
      </w:tr>
      <w:tr w14:paraId="0BA0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23283444">
            <w:pPr>
              <w:numPr>
                <w:ilvl w:val="0"/>
                <w:numId w:val="1"/>
              </w:numPr>
              <w:spacing w:line="320" w:lineRule="exact"/>
              <w:jc w:val="center"/>
              <w:rPr>
                <w:rFonts w:ascii="方正仿宋_GBK" w:hAnsi="Times New Roman" w:eastAsia="方正仿宋_GBK"/>
                <w:szCs w:val="21"/>
              </w:rPr>
            </w:pPr>
          </w:p>
        </w:tc>
        <w:tc>
          <w:tcPr>
            <w:tcW w:w="2126" w:type="dxa"/>
            <w:vAlign w:val="center"/>
          </w:tcPr>
          <w:p w14:paraId="1E3D5E0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对行驶的运输建筑垃圾、泥浆和易撒漏扬散物质车辆是否符合尘污染防治要求进行检查</w:t>
            </w:r>
          </w:p>
        </w:tc>
        <w:tc>
          <w:tcPr>
            <w:tcW w:w="709" w:type="dxa"/>
            <w:vAlign w:val="center"/>
          </w:tcPr>
          <w:p w14:paraId="75B4C3F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行政检查</w:t>
            </w:r>
          </w:p>
        </w:tc>
        <w:tc>
          <w:tcPr>
            <w:tcW w:w="992" w:type="dxa"/>
            <w:vAlign w:val="center"/>
          </w:tcPr>
          <w:p w14:paraId="451704F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25D9151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《重庆市主城区尘污染防治办法》（重庆市人民政府令第272号）第十九条第二款</w:t>
            </w:r>
          </w:p>
        </w:tc>
        <w:tc>
          <w:tcPr>
            <w:tcW w:w="3094" w:type="dxa"/>
            <w:vAlign w:val="center"/>
          </w:tcPr>
          <w:p w14:paraId="0098AE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5632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91AEFC9">
            <w:pPr>
              <w:numPr>
                <w:ilvl w:val="0"/>
                <w:numId w:val="1"/>
              </w:numPr>
              <w:spacing w:line="320" w:lineRule="exact"/>
              <w:jc w:val="center"/>
              <w:rPr>
                <w:rFonts w:ascii="方正仿宋_GBK" w:hAnsi="Times New Roman" w:eastAsia="方正仿宋_GBK"/>
                <w:szCs w:val="21"/>
              </w:rPr>
            </w:pPr>
          </w:p>
        </w:tc>
        <w:tc>
          <w:tcPr>
            <w:tcW w:w="2126" w:type="dxa"/>
            <w:vAlign w:val="center"/>
          </w:tcPr>
          <w:p w14:paraId="693D74E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对违反《重庆市主城区尘污染防治办法》第九条的处罚</w:t>
            </w:r>
          </w:p>
        </w:tc>
        <w:tc>
          <w:tcPr>
            <w:tcW w:w="709" w:type="dxa"/>
            <w:vAlign w:val="center"/>
          </w:tcPr>
          <w:p w14:paraId="18E4F48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9A8766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4441599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《重庆市主城区尘污染防治办法》（重庆市人民政府令第272号）第九条</w:t>
            </w:r>
          </w:p>
        </w:tc>
        <w:tc>
          <w:tcPr>
            <w:tcW w:w="3094" w:type="dxa"/>
            <w:vAlign w:val="center"/>
          </w:tcPr>
          <w:p w14:paraId="5C270DA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00BC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2FEE66F">
            <w:pPr>
              <w:numPr>
                <w:ilvl w:val="0"/>
                <w:numId w:val="1"/>
              </w:numPr>
              <w:spacing w:line="320" w:lineRule="exact"/>
              <w:jc w:val="center"/>
              <w:rPr>
                <w:rFonts w:ascii="方正仿宋_GBK" w:hAnsi="Times New Roman" w:eastAsia="方正仿宋_GBK"/>
                <w:szCs w:val="21"/>
              </w:rPr>
            </w:pPr>
          </w:p>
        </w:tc>
        <w:tc>
          <w:tcPr>
            <w:tcW w:w="2126" w:type="dxa"/>
            <w:vAlign w:val="center"/>
          </w:tcPr>
          <w:p w14:paraId="616055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对违反《重庆市主城区尘污染防治办法》第十四条的处罚</w:t>
            </w:r>
          </w:p>
        </w:tc>
        <w:tc>
          <w:tcPr>
            <w:tcW w:w="709" w:type="dxa"/>
            <w:vAlign w:val="center"/>
          </w:tcPr>
          <w:p w14:paraId="1955462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169C26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60F93B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《重庆市主城区尘污染防治办法》（重庆市人民政府令第272号）第十四条</w:t>
            </w:r>
          </w:p>
        </w:tc>
        <w:tc>
          <w:tcPr>
            <w:tcW w:w="3094" w:type="dxa"/>
            <w:vAlign w:val="center"/>
          </w:tcPr>
          <w:p w14:paraId="6A53322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52ED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1455566">
            <w:pPr>
              <w:numPr>
                <w:ilvl w:val="0"/>
                <w:numId w:val="1"/>
              </w:numPr>
              <w:spacing w:line="320" w:lineRule="exact"/>
              <w:jc w:val="center"/>
              <w:rPr>
                <w:rFonts w:ascii="方正仿宋_GBK" w:hAnsi="Times New Roman" w:eastAsia="方正仿宋_GBK"/>
                <w:szCs w:val="21"/>
              </w:rPr>
            </w:pPr>
          </w:p>
        </w:tc>
        <w:tc>
          <w:tcPr>
            <w:tcW w:w="2126" w:type="dxa"/>
            <w:vAlign w:val="center"/>
          </w:tcPr>
          <w:p w14:paraId="1E5A5AC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对未同步设置高于作业面且符合安全要求的密目式安全网、未按规定清除建筑垃圾的处罚</w:t>
            </w:r>
          </w:p>
        </w:tc>
        <w:tc>
          <w:tcPr>
            <w:tcW w:w="709" w:type="dxa"/>
            <w:vAlign w:val="center"/>
          </w:tcPr>
          <w:p w14:paraId="3C0BE90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6CB7D2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4411A91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《重庆市主城区尘污染防治办法》（重庆市人民政府令第272号）第十条</w:t>
            </w:r>
          </w:p>
        </w:tc>
        <w:tc>
          <w:tcPr>
            <w:tcW w:w="3094" w:type="dxa"/>
            <w:vAlign w:val="center"/>
          </w:tcPr>
          <w:p w14:paraId="7CFF016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32E3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042EF87">
            <w:pPr>
              <w:numPr>
                <w:ilvl w:val="0"/>
                <w:numId w:val="1"/>
              </w:numPr>
              <w:spacing w:line="320" w:lineRule="exact"/>
              <w:jc w:val="center"/>
              <w:rPr>
                <w:rFonts w:ascii="方正仿宋_GBK" w:hAnsi="Times New Roman" w:eastAsia="方正仿宋_GBK"/>
                <w:szCs w:val="21"/>
              </w:rPr>
            </w:pPr>
          </w:p>
        </w:tc>
        <w:tc>
          <w:tcPr>
            <w:tcW w:w="2126" w:type="dxa"/>
            <w:vAlign w:val="center"/>
          </w:tcPr>
          <w:p w14:paraId="6738593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对违章实施市政工程建设与维护设施施工的处罚</w:t>
            </w:r>
          </w:p>
        </w:tc>
        <w:tc>
          <w:tcPr>
            <w:tcW w:w="709" w:type="dxa"/>
            <w:vAlign w:val="center"/>
          </w:tcPr>
          <w:p w14:paraId="7FC5D0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53F42A3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4548EC0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《重庆市主城区尘污染防治办法》（重庆市人民政府令第272号）第十一条</w:t>
            </w:r>
          </w:p>
        </w:tc>
        <w:tc>
          <w:tcPr>
            <w:tcW w:w="3094" w:type="dxa"/>
            <w:vAlign w:val="center"/>
          </w:tcPr>
          <w:p w14:paraId="0903EB3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5C7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921994E">
            <w:pPr>
              <w:numPr>
                <w:ilvl w:val="0"/>
                <w:numId w:val="1"/>
              </w:numPr>
              <w:spacing w:line="320" w:lineRule="exact"/>
              <w:jc w:val="center"/>
              <w:rPr>
                <w:rFonts w:ascii="方正仿宋_GBK" w:hAnsi="Times New Roman" w:eastAsia="方正仿宋_GBK"/>
                <w:szCs w:val="21"/>
              </w:rPr>
            </w:pPr>
          </w:p>
        </w:tc>
        <w:tc>
          <w:tcPr>
            <w:tcW w:w="2126" w:type="dxa"/>
            <w:vAlign w:val="center"/>
          </w:tcPr>
          <w:p w14:paraId="2D51D80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对拆除建（构）筑物未对裸露泥地进行覆盖、简易铺装或者绿化的处罚</w:t>
            </w:r>
          </w:p>
        </w:tc>
        <w:tc>
          <w:tcPr>
            <w:tcW w:w="709" w:type="dxa"/>
            <w:vAlign w:val="center"/>
          </w:tcPr>
          <w:p w14:paraId="03C0C48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8451F3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284388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《重庆市主城尘区污染防治办法》（重庆市人民政府令第272号）第十二条</w:t>
            </w:r>
          </w:p>
        </w:tc>
        <w:tc>
          <w:tcPr>
            <w:tcW w:w="3094" w:type="dxa"/>
            <w:vAlign w:val="center"/>
          </w:tcPr>
          <w:p w14:paraId="2934157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7802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A4118E5">
            <w:pPr>
              <w:numPr>
                <w:ilvl w:val="0"/>
                <w:numId w:val="1"/>
              </w:numPr>
              <w:spacing w:line="320" w:lineRule="exact"/>
              <w:jc w:val="center"/>
              <w:rPr>
                <w:rFonts w:ascii="方正仿宋_GBK" w:hAnsi="Times New Roman" w:eastAsia="方正仿宋_GBK"/>
                <w:szCs w:val="21"/>
              </w:rPr>
            </w:pPr>
          </w:p>
        </w:tc>
        <w:tc>
          <w:tcPr>
            <w:tcW w:w="2126" w:type="dxa"/>
            <w:vAlign w:val="center"/>
          </w:tcPr>
          <w:p w14:paraId="70C3081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对未开工或者停工的建设用地，土地使用权人未对裸露地面进行覆盖或者绿化的处罚</w:t>
            </w:r>
          </w:p>
        </w:tc>
        <w:tc>
          <w:tcPr>
            <w:tcW w:w="709" w:type="dxa"/>
            <w:vAlign w:val="center"/>
          </w:tcPr>
          <w:p w14:paraId="7CE1FE8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C5C498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2DB304F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《重庆市主城区尘污染防治办法》（重庆市人民政府令第272号）第十三条</w:t>
            </w:r>
          </w:p>
        </w:tc>
        <w:tc>
          <w:tcPr>
            <w:tcW w:w="3094" w:type="dxa"/>
            <w:vAlign w:val="center"/>
          </w:tcPr>
          <w:p w14:paraId="5A7F796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2138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06F000C">
            <w:pPr>
              <w:numPr>
                <w:ilvl w:val="0"/>
                <w:numId w:val="1"/>
              </w:numPr>
              <w:spacing w:line="320" w:lineRule="exact"/>
              <w:jc w:val="center"/>
              <w:rPr>
                <w:rFonts w:ascii="方正仿宋_GBK" w:hAnsi="Times New Roman" w:eastAsia="方正仿宋_GBK"/>
                <w:szCs w:val="21"/>
              </w:rPr>
            </w:pPr>
          </w:p>
        </w:tc>
        <w:tc>
          <w:tcPr>
            <w:tcW w:w="2126" w:type="dxa"/>
            <w:vAlign w:val="center"/>
          </w:tcPr>
          <w:p w14:paraId="6910EB3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对违反建筑垃圾消纳场管理规定的处罚</w:t>
            </w:r>
          </w:p>
        </w:tc>
        <w:tc>
          <w:tcPr>
            <w:tcW w:w="709" w:type="dxa"/>
            <w:vAlign w:val="center"/>
          </w:tcPr>
          <w:p w14:paraId="231760C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A5B14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19EFAD5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《重庆市主城区尘污染防治办法》（重庆市人民政府令第272号）第二十条</w:t>
            </w:r>
          </w:p>
        </w:tc>
        <w:tc>
          <w:tcPr>
            <w:tcW w:w="3094" w:type="dxa"/>
            <w:vAlign w:val="center"/>
          </w:tcPr>
          <w:p w14:paraId="4F2E4B4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77DB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7416CC6">
            <w:pPr>
              <w:numPr>
                <w:ilvl w:val="0"/>
                <w:numId w:val="1"/>
              </w:numPr>
              <w:spacing w:line="320" w:lineRule="exact"/>
              <w:jc w:val="center"/>
              <w:rPr>
                <w:rFonts w:ascii="方正仿宋_GBK" w:hAnsi="Times New Roman" w:eastAsia="方正仿宋_GBK"/>
                <w:szCs w:val="21"/>
              </w:rPr>
            </w:pPr>
          </w:p>
        </w:tc>
        <w:tc>
          <w:tcPr>
            <w:tcW w:w="2126" w:type="dxa"/>
            <w:vAlign w:val="center"/>
          </w:tcPr>
          <w:p w14:paraId="665863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对建设单位对工程建设、建（构）筑物拆除、土地整治、绿化建设等项目未尽防尘污染防治义务的处罚</w:t>
            </w:r>
          </w:p>
        </w:tc>
        <w:tc>
          <w:tcPr>
            <w:tcW w:w="709" w:type="dxa"/>
            <w:vAlign w:val="center"/>
          </w:tcPr>
          <w:p w14:paraId="6F3FD6F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66A24B5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7883B9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《重庆市主城区尘污染防治办法》（重庆市人民政府令第272号）第八条</w:t>
            </w:r>
          </w:p>
        </w:tc>
        <w:tc>
          <w:tcPr>
            <w:tcW w:w="3094" w:type="dxa"/>
            <w:vAlign w:val="center"/>
          </w:tcPr>
          <w:p w14:paraId="26DB8345">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3AE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D0F0196">
            <w:pPr>
              <w:numPr>
                <w:ilvl w:val="0"/>
                <w:numId w:val="1"/>
              </w:numPr>
              <w:spacing w:line="320" w:lineRule="exact"/>
              <w:jc w:val="center"/>
              <w:rPr>
                <w:rFonts w:ascii="方正仿宋_GBK" w:hAnsi="Times New Roman" w:eastAsia="方正仿宋_GBK"/>
                <w:szCs w:val="21"/>
              </w:rPr>
            </w:pPr>
          </w:p>
        </w:tc>
        <w:tc>
          <w:tcPr>
            <w:tcW w:w="2126" w:type="dxa"/>
            <w:vAlign w:val="center"/>
          </w:tcPr>
          <w:p w14:paraId="3714A6D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对易产生尘污染的露天堆场、仓库未尽防尘污染防治义务的处罚</w:t>
            </w:r>
          </w:p>
        </w:tc>
        <w:tc>
          <w:tcPr>
            <w:tcW w:w="709" w:type="dxa"/>
            <w:vAlign w:val="center"/>
          </w:tcPr>
          <w:p w14:paraId="1886E0F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6DDEF3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8D9B85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《重庆市主城区尘污染防治办法》（重庆市人民政府令第272号）第十六条</w:t>
            </w:r>
          </w:p>
        </w:tc>
        <w:tc>
          <w:tcPr>
            <w:tcW w:w="3094" w:type="dxa"/>
            <w:vAlign w:val="center"/>
          </w:tcPr>
          <w:p w14:paraId="32FB1A3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根据《重庆市人民政府关于废止和修改部分政府规章的决定》（重庆市人民政府令第321号），《重庆市主城区尘污染防治办法》（重庆市人民政府令第272号）已废止。</w:t>
            </w:r>
          </w:p>
        </w:tc>
      </w:tr>
      <w:tr w14:paraId="2C0D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15A64233">
            <w:pPr>
              <w:numPr>
                <w:ilvl w:val="0"/>
                <w:numId w:val="1"/>
              </w:numPr>
              <w:spacing w:line="320" w:lineRule="exact"/>
              <w:jc w:val="center"/>
              <w:rPr>
                <w:rFonts w:ascii="方正仿宋_GBK" w:hAnsi="Times New Roman" w:eastAsia="方正仿宋_GBK"/>
                <w:szCs w:val="21"/>
              </w:rPr>
            </w:pPr>
          </w:p>
        </w:tc>
        <w:tc>
          <w:tcPr>
            <w:tcW w:w="2126" w:type="dxa"/>
            <w:vAlign w:val="center"/>
          </w:tcPr>
          <w:p w14:paraId="3CCE003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对城市各类建设项目的园林绿化工程未按规定时间完成或绿地建设的质量和数量未达到验收要求的处理</w:t>
            </w:r>
          </w:p>
        </w:tc>
        <w:tc>
          <w:tcPr>
            <w:tcW w:w="709" w:type="dxa"/>
            <w:vAlign w:val="center"/>
          </w:tcPr>
          <w:p w14:paraId="6F65BCE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2B19DED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796149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《重庆市城市园林绿化条例》第十五条</w:t>
            </w:r>
          </w:p>
        </w:tc>
        <w:tc>
          <w:tcPr>
            <w:tcW w:w="3094" w:type="dxa"/>
            <w:vAlign w:val="center"/>
          </w:tcPr>
          <w:p w14:paraId="0E1987F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重庆市人民代表大会常务委员会关于修改〈重庆市城市房地产开发经营管理条例〉等二十五件地方性法规的决定》（2018年7月26日重庆市第五届人民代表大会常务委员会第四次会议通过），设定依据《重庆市城市园林绿化条例》第十五条第五项已删除。</w:t>
            </w:r>
          </w:p>
        </w:tc>
      </w:tr>
      <w:tr w14:paraId="4D24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4" w:type="dxa"/>
            <w:vAlign w:val="center"/>
          </w:tcPr>
          <w:p w14:paraId="67D3920C">
            <w:pPr>
              <w:numPr>
                <w:ilvl w:val="0"/>
                <w:numId w:val="1"/>
              </w:numPr>
              <w:spacing w:line="320" w:lineRule="exact"/>
              <w:jc w:val="center"/>
              <w:rPr>
                <w:rFonts w:ascii="方正仿宋_GBK" w:hAnsi="Times New Roman" w:eastAsia="方正仿宋_GBK"/>
                <w:szCs w:val="21"/>
              </w:rPr>
            </w:pPr>
          </w:p>
        </w:tc>
        <w:tc>
          <w:tcPr>
            <w:tcW w:w="2126" w:type="dxa"/>
            <w:vAlign w:val="center"/>
          </w:tcPr>
          <w:p w14:paraId="43A2415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绿化监理单位的资质管理</w:t>
            </w:r>
          </w:p>
        </w:tc>
        <w:tc>
          <w:tcPr>
            <w:tcW w:w="709" w:type="dxa"/>
            <w:vAlign w:val="center"/>
          </w:tcPr>
          <w:p w14:paraId="01FB3A7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5C4348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79A0658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关于促进城市园林绿化事业健康发展的指导意见》（建城〔2012〕166号）第三部分第（四）项</w:t>
            </w:r>
          </w:p>
        </w:tc>
        <w:tc>
          <w:tcPr>
            <w:tcW w:w="3094" w:type="dxa"/>
            <w:vAlign w:val="center"/>
          </w:tcPr>
          <w:p w14:paraId="09CE40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市场机制能够有效调节。</w:t>
            </w:r>
          </w:p>
        </w:tc>
      </w:tr>
      <w:tr w14:paraId="3A40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64D6552">
            <w:pPr>
              <w:numPr>
                <w:ilvl w:val="0"/>
                <w:numId w:val="1"/>
              </w:numPr>
              <w:spacing w:line="320" w:lineRule="exact"/>
              <w:jc w:val="center"/>
              <w:rPr>
                <w:rFonts w:ascii="方正仿宋_GBK" w:hAnsi="Times New Roman" w:eastAsia="方正仿宋_GBK"/>
                <w:szCs w:val="21"/>
              </w:rPr>
            </w:pPr>
          </w:p>
        </w:tc>
        <w:tc>
          <w:tcPr>
            <w:tcW w:w="2126" w:type="dxa"/>
            <w:vAlign w:val="center"/>
          </w:tcPr>
          <w:p w14:paraId="78C208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主城区路桥通行费征收</w:t>
            </w:r>
          </w:p>
        </w:tc>
        <w:tc>
          <w:tcPr>
            <w:tcW w:w="709" w:type="dxa"/>
            <w:vAlign w:val="center"/>
          </w:tcPr>
          <w:p w14:paraId="4B98C59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行政征收</w:t>
            </w:r>
          </w:p>
        </w:tc>
        <w:tc>
          <w:tcPr>
            <w:tcW w:w="992" w:type="dxa"/>
            <w:vAlign w:val="center"/>
          </w:tcPr>
          <w:p w14:paraId="281628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7388D86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《重庆市主城区路桥通行费征收管理办法》（重庆市人民政府令第265号）第三条</w:t>
            </w:r>
          </w:p>
        </w:tc>
        <w:tc>
          <w:tcPr>
            <w:tcW w:w="3094" w:type="dxa"/>
            <w:vAlign w:val="center"/>
          </w:tcPr>
          <w:p w14:paraId="1F337694">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主城区路桥通行费征收管理办法》（重庆市人民政府令第233号）已被《重庆市人民政府关于废止〈重庆市主城区路桥通行费征收管理办法〉等政府规章的决定》（重庆市人民政府令第316号）废止。</w:t>
            </w:r>
          </w:p>
        </w:tc>
      </w:tr>
      <w:tr w14:paraId="043D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E100EFF">
            <w:pPr>
              <w:numPr>
                <w:ilvl w:val="0"/>
                <w:numId w:val="1"/>
              </w:numPr>
              <w:spacing w:line="320" w:lineRule="exact"/>
              <w:jc w:val="center"/>
              <w:rPr>
                <w:rFonts w:ascii="方正仿宋_GBK" w:hAnsi="Times New Roman" w:eastAsia="方正仿宋_GBK"/>
                <w:szCs w:val="21"/>
              </w:rPr>
            </w:pPr>
          </w:p>
        </w:tc>
        <w:tc>
          <w:tcPr>
            <w:tcW w:w="2126" w:type="dxa"/>
            <w:vAlign w:val="center"/>
          </w:tcPr>
          <w:p w14:paraId="318B4D6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对违反《重庆市主城区路桥通行费征收管理办法》第十七条规定的处罚</w:t>
            </w:r>
          </w:p>
        </w:tc>
        <w:tc>
          <w:tcPr>
            <w:tcW w:w="709" w:type="dxa"/>
            <w:vAlign w:val="center"/>
          </w:tcPr>
          <w:p w14:paraId="3DCD7D0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414294B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912593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《重庆市主城区路桥通行费征收管理办法》（重庆市人民政府令第265号）第十七条</w:t>
            </w:r>
          </w:p>
        </w:tc>
        <w:tc>
          <w:tcPr>
            <w:tcW w:w="3094" w:type="dxa"/>
            <w:vAlign w:val="center"/>
          </w:tcPr>
          <w:p w14:paraId="4790D38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重庆市主城区路桥通行费征收管理办法》（重庆市人民政府令第233号）已被《重庆市人民政府关于废止〈重庆市主城区路桥通行费征收管理办法〉等政府规章的决定》（重庆市人民政府令第316号）废止。</w:t>
            </w:r>
          </w:p>
        </w:tc>
      </w:tr>
      <w:tr w14:paraId="6B7A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73194B6">
            <w:pPr>
              <w:numPr>
                <w:ilvl w:val="0"/>
                <w:numId w:val="1"/>
              </w:numPr>
              <w:spacing w:line="320" w:lineRule="exact"/>
              <w:jc w:val="center"/>
              <w:rPr>
                <w:rFonts w:ascii="方正仿宋_GBK" w:hAnsi="Times New Roman" w:eastAsia="方正仿宋_GBK"/>
                <w:szCs w:val="21"/>
              </w:rPr>
            </w:pPr>
          </w:p>
        </w:tc>
        <w:tc>
          <w:tcPr>
            <w:tcW w:w="2126" w:type="dxa"/>
            <w:vAlign w:val="center"/>
          </w:tcPr>
          <w:p w14:paraId="3012255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对工程建设项目的附属绿化工程设计方案或者城市公共绿地等绿化工程的设计方案未经批准或者未按照批准的设计方案施工的处罚</w:t>
            </w:r>
          </w:p>
        </w:tc>
        <w:tc>
          <w:tcPr>
            <w:tcW w:w="709" w:type="dxa"/>
            <w:vAlign w:val="center"/>
          </w:tcPr>
          <w:p w14:paraId="362664A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7BB9F99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5850AE5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《城市绿化条例》第二十五条</w:t>
            </w:r>
          </w:p>
        </w:tc>
        <w:tc>
          <w:tcPr>
            <w:tcW w:w="3094" w:type="dxa"/>
            <w:vAlign w:val="center"/>
          </w:tcPr>
          <w:p w14:paraId="2358B17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根据审批制度改革精神，绿化工程设计方案审批已经取消，相应的处罚应一并取消。</w:t>
            </w:r>
          </w:p>
        </w:tc>
      </w:tr>
      <w:tr w14:paraId="32DD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2FF797E">
            <w:pPr>
              <w:numPr>
                <w:ilvl w:val="0"/>
                <w:numId w:val="1"/>
              </w:numPr>
              <w:spacing w:line="320" w:lineRule="exact"/>
              <w:jc w:val="center"/>
              <w:rPr>
                <w:rFonts w:ascii="方正仿宋_GBK" w:hAnsi="Times New Roman" w:eastAsia="方正仿宋_GBK"/>
                <w:szCs w:val="21"/>
              </w:rPr>
            </w:pPr>
          </w:p>
        </w:tc>
        <w:tc>
          <w:tcPr>
            <w:tcW w:w="2126" w:type="dxa"/>
            <w:vAlign w:val="center"/>
          </w:tcPr>
          <w:p w14:paraId="2E67176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对城市园林绿化规划、建设和管理中有突出成绩的单位和个人进行奖励</w:t>
            </w:r>
          </w:p>
        </w:tc>
        <w:tc>
          <w:tcPr>
            <w:tcW w:w="709" w:type="dxa"/>
            <w:vAlign w:val="center"/>
          </w:tcPr>
          <w:p w14:paraId="0FA2B62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15B1D06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6168DB4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《重庆市城市园林绿化条例》第八条</w:t>
            </w:r>
          </w:p>
        </w:tc>
        <w:tc>
          <w:tcPr>
            <w:tcW w:w="3094" w:type="dxa"/>
            <w:vAlign w:val="center"/>
          </w:tcPr>
          <w:p w14:paraId="4E59AA1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51D2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4E7E042">
            <w:pPr>
              <w:numPr>
                <w:ilvl w:val="0"/>
                <w:numId w:val="1"/>
              </w:numPr>
              <w:spacing w:line="320" w:lineRule="exact"/>
              <w:jc w:val="center"/>
              <w:rPr>
                <w:rFonts w:ascii="方正仿宋_GBK" w:hAnsi="Times New Roman" w:eastAsia="方正仿宋_GBK"/>
                <w:szCs w:val="21"/>
              </w:rPr>
            </w:pPr>
          </w:p>
        </w:tc>
        <w:tc>
          <w:tcPr>
            <w:tcW w:w="2126" w:type="dxa"/>
            <w:vAlign w:val="center"/>
          </w:tcPr>
          <w:p w14:paraId="73CD230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对长期从事市容环卫作业成绩显著的单位和个人的表彰奖励</w:t>
            </w:r>
          </w:p>
        </w:tc>
        <w:tc>
          <w:tcPr>
            <w:tcW w:w="709" w:type="dxa"/>
            <w:vAlign w:val="center"/>
          </w:tcPr>
          <w:p w14:paraId="1F03F90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59FD701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0FA43E7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《城市市容和环境卫生管理条例》第八条</w:t>
            </w:r>
          </w:p>
        </w:tc>
        <w:tc>
          <w:tcPr>
            <w:tcW w:w="3094" w:type="dxa"/>
            <w:vAlign w:val="center"/>
          </w:tcPr>
          <w:p w14:paraId="3BF1F897">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1686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43EB3624">
            <w:pPr>
              <w:numPr>
                <w:ilvl w:val="0"/>
                <w:numId w:val="1"/>
              </w:numPr>
              <w:spacing w:line="320" w:lineRule="exact"/>
              <w:jc w:val="center"/>
              <w:rPr>
                <w:rFonts w:ascii="方正仿宋_GBK" w:hAnsi="Times New Roman" w:eastAsia="方正仿宋_GBK"/>
                <w:szCs w:val="21"/>
              </w:rPr>
            </w:pPr>
          </w:p>
        </w:tc>
        <w:tc>
          <w:tcPr>
            <w:tcW w:w="2126" w:type="dxa"/>
            <w:vAlign w:val="center"/>
          </w:tcPr>
          <w:p w14:paraId="696C165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对于在城市公厕的规划、建设和管理中取得显著成绩的单位和个人的表彰和奖励</w:t>
            </w:r>
          </w:p>
        </w:tc>
        <w:tc>
          <w:tcPr>
            <w:tcW w:w="709" w:type="dxa"/>
            <w:vAlign w:val="center"/>
          </w:tcPr>
          <w:p w14:paraId="6FC8C2D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09F79E8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34B971D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《城市公厕管理办法》（建设部令第9号）第二十二条</w:t>
            </w:r>
          </w:p>
        </w:tc>
        <w:tc>
          <w:tcPr>
            <w:tcW w:w="3094" w:type="dxa"/>
            <w:vAlign w:val="center"/>
          </w:tcPr>
          <w:p w14:paraId="69EDFFB6">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2C60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CC33305">
            <w:pPr>
              <w:numPr>
                <w:ilvl w:val="0"/>
                <w:numId w:val="1"/>
              </w:numPr>
              <w:spacing w:line="320" w:lineRule="exact"/>
              <w:jc w:val="center"/>
              <w:rPr>
                <w:rFonts w:ascii="方正仿宋_GBK" w:hAnsi="Times New Roman" w:eastAsia="方正仿宋_GBK"/>
                <w:szCs w:val="21"/>
              </w:rPr>
            </w:pPr>
          </w:p>
        </w:tc>
        <w:tc>
          <w:tcPr>
            <w:tcW w:w="2126" w:type="dxa"/>
            <w:vAlign w:val="center"/>
          </w:tcPr>
          <w:p w14:paraId="12799E2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对在城市照明工作中做出突出贡献的单位和个人给予表彰或者奖励</w:t>
            </w:r>
          </w:p>
        </w:tc>
        <w:tc>
          <w:tcPr>
            <w:tcW w:w="709" w:type="dxa"/>
            <w:vAlign w:val="center"/>
          </w:tcPr>
          <w:p w14:paraId="11FADD7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行政奖励</w:t>
            </w:r>
          </w:p>
        </w:tc>
        <w:tc>
          <w:tcPr>
            <w:tcW w:w="992" w:type="dxa"/>
            <w:vAlign w:val="center"/>
          </w:tcPr>
          <w:p w14:paraId="6DA2DD3C">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县城市管理局</w:t>
            </w:r>
          </w:p>
        </w:tc>
        <w:tc>
          <w:tcPr>
            <w:tcW w:w="2126" w:type="dxa"/>
            <w:vAlign w:val="center"/>
          </w:tcPr>
          <w:p w14:paraId="0FB3422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《城市照明管理规定》（</w:t>
            </w:r>
            <w:r>
              <w:rPr>
                <w:rFonts w:hint="eastAsia" w:ascii="方正仿宋_GBK" w:hAnsi="Times New Roman" w:eastAsia="方正仿宋_GBK"/>
                <w:szCs w:val="21"/>
                <w:lang w:eastAsia="zh-CN"/>
              </w:rPr>
              <w:t>住房和城乡建设部</w:t>
            </w:r>
            <w:r>
              <w:rPr>
                <w:rFonts w:hint="eastAsia" w:ascii="方正仿宋_GBK" w:hAnsi="Times New Roman" w:eastAsia="方正仿宋_GBK"/>
                <w:szCs w:val="21"/>
              </w:rPr>
              <w:t>令第4号）第五条</w:t>
            </w:r>
          </w:p>
        </w:tc>
        <w:tc>
          <w:tcPr>
            <w:tcW w:w="3094" w:type="dxa"/>
            <w:vAlign w:val="center"/>
          </w:tcPr>
          <w:p w14:paraId="018F7F8E">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按照《国家功勋荣誉表彰条例》和《重庆市贯彻〈国家功勋荣誉表彰条例〉实施办法》规定，不能继续组织实施该项奖励。</w:t>
            </w:r>
          </w:p>
        </w:tc>
      </w:tr>
      <w:tr w14:paraId="3059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749AAFB0">
            <w:pPr>
              <w:numPr>
                <w:ilvl w:val="0"/>
                <w:numId w:val="1"/>
              </w:numPr>
              <w:spacing w:line="320" w:lineRule="exact"/>
              <w:jc w:val="center"/>
              <w:rPr>
                <w:rFonts w:ascii="方正仿宋_GBK" w:hAnsi="Times New Roman" w:eastAsia="方正仿宋_GBK"/>
                <w:szCs w:val="21"/>
              </w:rPr>
            </w:pPr>
          </w:p>
        </w:tc>
        <w:tc>
          <w:tcPr>
            <w:tcW w:w="2126" w:type="dxa"/>
            <w:vAlign w:val="center"/>
          </w:tcPr>
          <w:p w14:paraId="3FFD43F0">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对违反《会计从业资格管理办法》第八条的处理</w:t>
            </w:r>
          </w:p>
        </w:tc>
        <w:tc>
          <w:tcPr>
            <w:tcW w:w="709" w:type="dxa"/>
            <w:vAlign w:val="center"/>
          </w:tcPr>
          <w:p w14:paraId="5D257FF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766D235A">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14:paraId="6E792BC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《会计从业资格管理办法》（财政部令第73号）第五条、第八条</w:t>
            </w:r>
          </w:p>
        </w:tc>
        <w:tc>
          <w:tcPr>
            <w:tcW w:w="3094" w:type="dxa"/>
            <w:vAlign w:val="center"/>
          </w:tcPr>
          <w:p w14:paraId="21DB89E3">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r w14:paraId="3C4D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3E2AB574">
            <w:pPr>
              <w:numPr>
                <w:ilvl w:val="0"/>
                <w:numId w:val="1"/>
              </w:numPr>
              <w:spacing w:line="320" w:lineRule="exact"/>
              <w:jc w:val="center"/>
              <w:rPr>
                <w:rFonts w:ascii="方正仿宋_GBK" w:hAnsi="Times New Roman" w:eastAsia="方正仿宋_GBK"/>
                <w:szCs w:val="21"/>
              </w:rPr>
            </w:pPr>
          </w:p>
        </w:tc>
        <w:tc>
          <w:tcPr>
            <w:tcW w:w="2126" w:type="dxa"/>
            <w:vAlign w:val="center"/>
          </w:tcPr>
          <w:p w14:paraId="6EEDEDE2">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对违反《会计从业资格管理办法》第二十四条、第三十条规定的处罚</w:t>
            </w:r>
          </w:p>
        </w:tc>
        <w:tc>
          <w:tcPr>
            <w:tcW w:w="709" w:type="dxa"/>
            <w:vAlign w:val="center"/>
          </w:tcPr>
          <w:p w14:paraId="3B06D54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行政处罚</w:t>
            </w:r>
          </w:p>
        </w:tc>
        <w:tc>
          <w:tcPr>
            <w:tcW w:w="992" w:type="dxa"/>
            <w:vAlign w:val="center"/>
          </w:tcPr>
          <w:p w14:paraId="0F00428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14:paraId="434F723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《会计从业资格管理办法》（财政部令第73号）第二十四条、第三十条</w:t>
            </w:r>
          </w:p>
        </w:tc>
        <w:tc>
          <w:tcPr>
            <w:tcW w:w="3094" w:type="dxa"/>
            <w:vAlign w:val="center"/>
          </w:tcPr>
          <w:p w14:paraId="51835EAF">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r w14:paraId="4D82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58F9FE89">
            <w:pPr>
              <w:numPr>
                <w:ilvl w:val="0"/>
                <w:numId w:val="1"/>
              </w:numPr>
              <w:spacing w:line="320" w:lineRule="exact"/>
              <w:jc w:val="center"/>
              <w:rPr>
                <w:rFonts w:ascii="方正仿宋_GBK" w:hAnsi="Times New Roman" w:eastAsia="方正仿宋_GBK"/>
                <w:szCs w:val="21"/>
              </w:rPr>
            </w:pPr>
          </w:p>
        </w:tc>
        <w:tc>
          <w:tcPr>
            <w:tcW w:w="2126" w:type="dxa"/>
            <w:vAlign w:val="center"/>
          </w:tcPr>
          <w:p w14:paraId="091FD3FB">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对违反《会计从业资格管理办法》第二十五条的处理</w:t>
            </w:r>
          </w:p>
        </w:tc>
        <w:tc>
          <w:tcPr>
            <w:tcW w:w="709" w:type="dxa"/>
            <w:vAlign w:val="center"/>
          </w:tcPr>
          <w:p w14:paraId="46375589">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其他行政权力</w:t>
            </w:r>
          </w:p>
        </w:tc>
        <w:tc>
          <w:tcPr>
            <w:tcW w:w="992" w:type="dxa"/>
            <w:vAlign w:val="center"/>
          </w:tcPr>
          <w:p w14:paraId="60ED998D">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县财政局</w:t>
            </w:r>
          </w:p>
        </w:tc>
        <w:tc>
          <w:tcPr>
            <w:tcW w:w="2126" w:type="dxa"/>
            <w:vAlign w:val="center"/>
          </w:tcPr>
          <w:p w14:paraId="4E72A7A1">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《会计从业资格管理办法》（财政部令第73号）第五条、第二十五条</w:t>
            </w:r>
          </w:p>
        </w:tc>
        <w:tc>
          <w:tcPr>
            <w:tcW w:w="3094" w:type="dxa"/>
            <w:vAlign w:val="center"/>
          </w:tcPr>
          <w:p w14:paraId="0271E4D8">
            <w:pPr>
              <w:spacing w:line="320" w:lineRule="exact"/>
              <w:jc w:val="center"/>
              <w:rPr>
                <w:rFonts w:ascii="方正仿宋_GBK" w:hAnsi="Times New Roman" w:eastAsia="方正仿宋_GBK"/>
                <w:szCs w:val="21"/>
              </w:rPr>
            </w:pPr>
            <w:r>
              <w:rPr>
                <w:rFonts w:hint="eastAsia" w:ascii="方正仿宋_GBK" w:hAnsi="Times New Roman" w:eastAsia="方正仿宋_GBK"/>
                <w:szCs w:val="21"/>
              </w:rPr>
              <w:t>设定依据《会计从业资格管理办法》（财政部令第73号）已废止。</w:t>
            </w:r>
          </w:p>
        </w:tc>
      </w:tr>
    </w:tbl>
    <w:p w14:paraId="7C413A77">
      <w:pPr>
        <w:pStyle w:val="9"/>
        <w:tabs>
          <w:tab w:val="left" w:pos="8127"/>
        </w:tabs>
        <w:spacing w:beforeAutospacing="0" w:afterAutospacing="0" w:line="578" w:lineRule="exact"/>
        <w:rPr>
          <w:rFonts w:ascii="方正仿宋_GBK" w:hAnsi="方正仿宋_GBK" w:eastAsia="方正仿宋_GBK" w:cs="方正仿宋_GBK"/>
          <w:sz w:val="32"/>
          <w:szCs w:val="32"/>
        </w:rPr>
      </w:pPr>
    </w:p>
    <w:p w14:paraId="11F281D8"/>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E57D">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68CCF56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14:paraId="29E1E92D">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color w:val="FAFAFA"/>
        <w:sz w:val="32"/>
      </w:rPr>
      <w:t xml:space="preserve"> </w:t>
    </w:r>
    <w:r>
      <w:rPr>
        <w:rFonts w:hint="eastAsia" w:ascii="宋体" w:hAnsi="宋体" w:eastAsia="宋体" w:cs="宋体"/>
        <w:b/>
        <w:bCs/>
        <w:color w:val="005192"/>
        <w:sz w:val="28"/>
        <w:szCs w:val="44"/>
      </w:rPr>
      <w:t xml:space="preserve">云阳县人民政府办公室发布     </w:t>
    </w:r>
  </w:p>
  <w:p w14:paraId="0F0D3C8E">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64B1C">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2F6BCA44">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2D2F1"/>
    <w:multiLevelType w:val="singleLevel"/>
    <w:tmpl w:val="3ED2D2F1"/>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5YmRmY2ZlZTI3ZWMxYTcyNzBkNzZjMzVmZDFkZjkifQ=="/>
  </w:docVars>
  <w:rsids>
    <w:rsidRoot w:val="00172A27"/>
    <w:rsid w:val="00172A27"/>
    <w:rsid w:val="0034110F"/>
    <w:rsid w:val="0045376E"/>
    <w:rsid w:val="00461BB2"/>
    <w:rsid w:val="005261A6"/>
    <w:rsid w:val="006D41AE"/>
    <w:rsid w:val="009768FD"/>
    <w:rsid w:val="00994AEB"/>
    <w:rsid w:val="00AF338F"/>
    <w:rsid w:val="00D06393"/>
    <w:rsid w:val="00E91758"/>
    <w:rsid w:val="00FA5A91"/>
    <w:rsid w:val="00FF7361"/>
    <w:rsid w:val="019E71BD"/>
    <w:rsid w:val="041C42DA"/>
    <w:rsid w:val="04B679C3"/>
    <w:rsid w:val="053C7F53"/>
    <w:rsid w:val="05F07036"/>
    <w:rsid w:val="06E00104"/>
    <w:rsid w:val="080F63D8"/>
    <w:rsid w:val="084F18AF"/>
    <w:rsid w:val="092C7738"/>
    <w:rsid w:val="09341458"/>
    <w:rsid w:val="098254C2"/>
    <w:rsid w:val="0A766EDE"/>
    <w:rsid w:val="0AD64BE8"/>
    <w:rsid w:val="0B0912D7"/>
    <w:rsid w:val="0E025194"/>
    <w:rsid w:val="152D2DCA"/>
    <w:rsid w:val="187168EA"/>
    <w:rsid w:val="196673CA"/>
    <w:rsid w:val="1B2F4AEE"/>
    <w:rsid w:val="1B444400"/>
    <w:rsid w:val="1CF734C9"/>
    <w:rsid w:val="1DEC284C"/>
    <w:rsid w:val="1E6523AC"/>
    <w:rsid w:val="22440422"/>
    <w:rsid w:val="22BB4BBB"/>
    <w:rsid w:val="2AEB3417"/>
    <w:rsid w:val="2FD53EE7"/>
    <w:rsid w:val="31A15F24"/>
    <w:rsid w:val="324A1681"/>
    <w:rsid w:val="36FB1DF0"/>
    <w:rsid w:val="395347B5"/>
    <w:rsid w:val="39A232A0"/>
    <w:rsid w:val="39E745AA"/>
    <w:rsid w:val="3B5A6BBB"/>
    <w:rsid w:val="3BCF02FF"/>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27C5D7D"/>
    <w:rsid w:val="648B0A32"/>
    <w:rsid w:val="64B17EC2"/>
    <w:rsid w:val="665233C1"/>
    <w:rsid w:val="69AC0D42"/>
    <w:rsid w:val="6AD9688B"/>
    <w:rsid w:val="6D0E3F22"/>
    <w:rsid w:val="6FEB5014"/>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widowControl/>
      <w:spacing w:before="450" w:after="100" w:afterAutospacing="1"/>
      <w:jc w:val="center"/>
      <w:outlineLvl w:val="0"/>
    </w:pPr>
    <w:rPr>
      <w:rFonts w:ascii="宋体" w:hAnsi="宋体" w:eastAsia="微软雅黑" w:cs="宋体"/>
      <w:b/>
      <w:bCs/>
      <w:kern w:val="36"/>
      <w:sz w:val="36"/>
      <w:szCs w:val="36"/>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3"/>
    <w:qFormat/>
    <w:uiPriority w:val="0"/>
    <w:pPr>
      <w:ind w:left="100" w:leftChars="100" w:right="100" w:rightChars="100"/>
    </w:pPr>
    <w:rPr>
      <w:rFonts w:ascii="Calibri" w:hAnsi="Calibri" w:eastAsia="微软雅黑" w:cs="Times New Roman"/>
    </w:rPr>
  </w:style>
  <w:style w:type="paragraph" w:styleId="6">
    <w:name w:val="Balloon Text"/>
    <w:basedOn w:val="1"/>
    <w:link w:val="18"/>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FollowedHyperlink"/>
    <w:basedOn w:val="11"/>
    <w:qFormat/>
    <w:uiPriority w:val="0"/>
    <w:rPr>
      <w:color w:val="954F72" w:themeColor="followedHyperlink"/>
      <w:u w:val="single"/>
    </w:rPr>
  </w:style>
  <w:style w:type="character" w:styleId="14">
    <w:name w:val="Emphasis"/>
    <w:qFormat/>
    <w:uiPriority w:val="20"/>
    <w:rPr>
      <w:color w:val="CC0000"/>
    </w:rPr>
  </w:style>
  <w:style w:type="character" w:styleId="15">
    <w:name w:val="Hyperlink"/>
    <w:unhideWhenUsed/>
    <w:qFormat/>
    <w:uiPriority w:val="99"/>
    <w:rPr>
      <w:color w:val="0000FF"/>
      <w:u w:val="single"/>
    </w:rPr>
  </w:style>
  <w:style w:type="character" w:styleId="16">
    <w:name w:val="HTML Cite"/>
    <w:qFormat/>
    <w:uiPriority w:val="0"/>
    <w:rPr>
      <w:color w:val="008000"/>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9">
    <w:name w:val="标题 1 Char"/>
    <w:basedOn w:val="11"/>
    <w:link w:val="2"/>
    <w:qFormat/>
    <w:uiPriority w:val="0"/>
    <w:rPr>
      <w:rFonts w:ascii="宋体" w:hAnsi="宋体" w:eastAsia="微软雅黑" w:cs="宋体"/>
      <w:b/>
      <w:bCs/>
      <w:kern w:val="36"/>
      <w:sz w:val="36"/>
      <w:szCs w:val="36"/>
    </w:rPr>
  </w:style>
  <w:style w:type="paragraph" w:customStyle="1" w:styleId="20">
    <w:name w:val="_Style 17"/>
    <w:unhideWhenUsed/>
    <w:qFormat/>
    <w:uiPriority w:val="99"/>
    <w:pPr>
      <w:widowControl w:val="0"/>
      <w:jc w:val="both"/>
    </w:pPr>
    <w:rPr>
      <w:rFonts w:asciiTheme="minorHAnsi" w:hAnsiTheme="minorHAnsi" w:eastAsiaTheme="minorEastAsia" w:cstheme="minorBidi"/>
      <w:kern w:val="2"/>
      <w:sz w:val="21"/>
      <w:szCs w:val="24"/>
      <w:lang w:val="en-US" w:eastAsia="zh-CN" w:bidi="ar-SA"/>
    </w:rPr>
  </w:style>
  <w:style w:type="character" w:customStyle="1" w:styleId="21">
    <w:name w:val="页脚 Char1"/>
    <w:link w:val="7"/>
    <w:qFormat/>
    <w:uiPriority w:val="99"/>
    <w:rPr>
      <w:rFonts w:asciiTheme="minorHAnsi" w:hAnsiTheme="minorHAnsi" w:eastAsiaTheme="minorEastAsia" w:cstheme="minorBidi"/>
      <w:kern w:val="2"/>
      <w:sz w:val="18"/>
      <w:szCs w:val="24"/>
    </w:rPr>
  </w:style>
  <w:style w:type="character" w:customStyle="1" w:styleId="22">
    <w:name w:val="批注框文本 字符"/>
    <w:qFormat/>
    <w:uiPriority w:val="0"/>
    <w:rPr>
      <w:kern w:val="2"/>
      <w:sz w:val="18"/>
      <w:szCs w:val="18"/>
    </w:rPr>
  </w:style>
  <w:style w:type="character" w:customStyle="1" w:styleId="23">
    <w:name w:val="正文文本 Char"/>
    <w:basedOn w:val="11"/>
    <w:link w:val="5"/>
    <w:qFormat/>
    <w:uiPriority w:val="0"/>
    <w:rPr>
      <w:rFonts w:ascii="Calibri" w:hAnsi="Calibri" w:eastAsia="微软雅黑"/>
      <w:kern w:val="2"/>
      <w:sz w:val="21"/>
      <w:szCs w:val="24"/>
    </w:rPr>
  </w:style>
  <w:style w:type="paragraph" w:customStyle="1" w:styleId="24">
    <w:name w:val="xl16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25">
    <w:name w:val="xl7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2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27">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2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31">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32">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3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34">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35">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kern w:val="0"/>
      <w:sz w:val="18"/>
      <w:szCs w:val="18"/>
    </w:rPr>
  </w:style>
  <w:style w:type="paragraph" w:customStyle="1" w:styleId="3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微软雅黑" w:cs="宋体"/>
      <w:kern w:val="0"/>
      <w:sz w:val="24"/>
    </w:rPr>
  </w:style>
  <w:style w:type="paragraph" w:customStyle="1" w:styleId="37">
    <w:name w:val="reader-word-layer"/>
    <w:basedOn w:val="1"/>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3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39">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4"/>
    </w:rPr>
  </w:style>
  <w:style w:type="paragraph" w:customStyle="1" w:styleId="4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2">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4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16"/>
      <w:szCs w:val="16"/>
    </w:rPr>
  </w:style>
  <w:style w:type="paragraph" w:customStyle="1" w:styleId="45">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4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7">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48">
    <w:name w:val="xl69"/>
    <w:basedOn w:val="1"/>
    <w:qFormat/>
    <w:uiPriority w:val="0"/>
    <w:pPr>
      <w:widowControl/>
      <w:shd w:val="clear" w:color="000000" w:fill="FFFFFF"/>
      <w:spacing w:before="100" w:beforeAutospacing="1" w:after="100" w:afterAutospacing="1"/>
      <w:jc w:val="center"/>
    </w:pPr>
    <w:rPr>
      <w:rFonts w:ascii="宋体" w:hAnsi="宋体" w:eastAsia="微软雅黑" w:cs="宋体"/>
      <w:kern w:val="0"/>
      <w:sz w:val="24"/>
    </w:rPr>
  </w:style>
  <w:style w:type="paragraph" w:customStyle="1" w:styleId="49">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50">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51">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52">
    <w:name w:val="xl7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53">
    <w:name w:val="xl15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54">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55">
    <w:name w:val="xl127"/>
    <w:basedOn w:val="1"/>
    <w:qFormat/>
    <w:uiPriority w:val="0"/>
    <w:pPr>
      <w:widowControl/>
      <w:shd w:val="clear" w:color="000000" w:fill="FFFF00"/>
      <w:spacing w:before="100" w:beforeAutospacing="1" w:after="100" w:afterAutospacing="1"/>
      <w:jc w:val="left"/>
    </w:pPr>
    <w:rPr>
      <w:rFonts w:ascii="宋体" w:hAnsi="宋体" w:eastAsia="微软雅黑" w:cs="宋体"/>
      <w:kern w:val="0"/>
      <w:sz w:val="24"/>
    </w:rPr>
  </w:style>
  <w:style w:type="paragraph" w:customStyle="1" w:styleId="56">
    <w:name w:val="xl119"/>
    <w:basedOn w:val="1"/>
    <w:qFormat/>
    <w:uiPriority w:val="0"/>
    <w:pPr>
      <w:widowControl/>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57">
    <w:name w:val="font7"/>
    <w:basedOn w:val="1"/>
    <w:qFormat/>
    <w:uiPriority w:val="0"/>
    <w:pPr>
      <w:widowControl/>
      <w:spacing w:before="100" w:beforeAutospacing="1" w:after="100" w:afterAutospacing="1"/>
      <w:jc w:val="left"/>
    </w:pPr>
    <w:rPr>
      <w:rFonts w:ascii="宋体" w:hAnsi="宋体" w:eastAsia="微软雅黑" w:cs="宋体"/>
      <w:color w:val="000000"/>
      <w:kern w:val="0"/>
      <w:sz w:val="20"/>
      <w:szCs w:val="20"/>
    </w:rPr>
  </w:style>
  <w:style w:type="paragraph" w:customStyle="1" w:styleId="5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59">
    <w:name w:val="font8"/>
    <w:basedOn w:val="1"/>
    <w:qFormat/>
    <w:uiPriority w:val="0"/>
    <w:pPr>
      <w:widowControl/>
      <w:spacing w:before="100" w:beforeAutospacing="1" w:after="100" w:afterAutospacing="1"/>
      <w:jc w:val="left"/>
    </w:pPr>
    <w:rPr>
      <w:rFonts w:ascii="方正小标宋_GBK" w:hAnsi="宋体" w:eastAsia="方正小标宋_GBK" w:cs="宋体"/>
      <w:color w:val="000000"/>
      <w:kern w:val="0"/>
      <w:sz w:val="44"/>
      <w:szCs w:val="44"/>
    </w:rPr>
  </w:style>
  <w:style w:type="paragraph" w:customStyle="1" w:styleId="60">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6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FF0000"/>
      <w:kern w:val="0"/>
      <w:sz w:val="20"/>
      <w:szCs w:val="20"/>
    </w:rPr>
  </w:style>
  <w:style w:type="paragraph" w:customStyle="1" w:styleId="63">
    <w:name w:val="font10"/>
    <w:basedOn w:val="1"/>
    <w:qFormat/>
    <w:uiPriority w:val="0"/>
    <w:pPr>
      <w:widowControl/>
      <w:spacing w:before="100" w:beforeAutospacing="1" w:after="100" w:afterAutospacing="1"/>
      <w:jc w:val="left"/>
    </w:pPr>
    <w:rPr>
      <w:rFonts w:ascii="宋体" w:hAnsi="宋体" w:eastAsia="微软雅黑" w:cs="宋体"/>
      <w:kern w:val="0"/>
      <w:sz w:val="20"/>
      <w:szCs w:val="20"/>
    </w:rPr>
  </w:style>
  <w:style w:type="paragraph" w:customStyle="1" w:styleId="64">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65">
    <w:name w:val="xl128"/>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黑体" w:hAnsi="黑体" w:eastAsia="黑体" w:cs="宋体"/>
      <w:b/>
      <w:bCs/>
      <w:color w:val="000000"/>
      <w:kern w:val="0"/>
      <w:sz w:val="16"/>
      <w:szCs w:val="16"/>
    </w:rPr>
  </w:style>
  <w:style w:type="paragraph" w:customStyle="1" w:styleId="66">
    <w:name w:val="xl15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67">
    <w:name w:val="font11"/>
    <w:basedOn w:val="1"/>
    <w:qFormat/>
    <w:uiPriority w:val="0"/>
    <w:pPr>
      <w:widowControl/>
      <w:spacing w:before="100" w:beforeAutospacing="1" w:after="100" w:afterAutospacing="1"/>
      <w:jc w:val="left"/>
    </w:pPr>
    <w:rPr>
      <w:rFonts w:ascii="宋体" w:hAnsi="宋体" w:eastAsia="微软雅黑" w:cs="宋体"/>
      <w:color w:val="000000"/>
      <w:kern w:val="0"/>
      <w:sz w:val="20"/>
      <w:szCs w:val="20"/>
    </w:rPr>
  </w:style>
  <w:style w:type="paragraph" w:customStyle="1" w:styleId="68">
    <w:name w:val="xl70"/>
    <w:basedOn w:val="1"/>
    <w:qFormat/>
    <w:uiPriority w:val="0"/>
    <w:pPr>
      <w:widowControl/>
      <w:shd w:val="clear" w:color="000000" w:fill="FFFFFF"/>
      <w:spacing w:before="100" w:beforeAutospacing="1" w:after="100" w:afterAutospacing="1"/>
      <w:jc w:val="left"/>
    </w:pPr>
    <w:rPr>
      <w:rFonts w:ascii="宋体" w:hAnsi="宋体" w:eastAsia="微软雅黑" w:cs="宋体"/>
      <w:kern w:val="0"/>
      <w:sz w:val="24"/>
    </w:rPr>
  </w:style>
  <w:style w:type="paragraph" w:customStyle="1" w:styleId="69">
    <w:name w:val="xl131"/>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7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1">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2">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4"/>
    </w:rPr>
  </w:style>
  <w:style w:type="paragraph" w:customStyle="1" w:styleId="73">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7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5">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微软雅黑" w:cs="宋体"/>
      <w:kern w:val="0"/>
      <w:sz w:val="24"/>
    </w:rPr>
  </w:style>
  <w:style w:type="paragraph" w:customStyle="1" w:styleId="76">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16"/>
      <w:szCs w:val="16"/>
    </w:rPr>
  </w:style>
  <w:style w:type="paragraph" w:customStyle="1" w:styleId="7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78">
    <w:name w:val="font5"/>
    <w:basedOn w:val="1"/>
    <w:qFormat/>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79">
    <w:name w:val="p15"/>
    <w:basedOn w:val="1"/>
    <w:qFormat/>
    <w:uiPriority w:val="0"/>
    <w:pPr>
      <w:widowControl/>
      <w:spacing w:before="100" w:after="100"/>
      <w:jc w:val="left"/>
    </w:pPr>
    <w:rPr>
      <w:rFonts w:ascii="宋体" w:hAnsi="宋体" w:eastAsia="微软雅黑" w:cs="宋体"/>
      <w:kern w:val="0"/>
      <w:sz w:val="24"/>
    </w:rPr>
  </w:style>
  <w:style w:type="paragraph" w:customStyle="1" w:styleId="80">
    <w:name w:val="xl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16"/>
      <w:szCs w:val="16"/>
    </w:rPr>
  </w:style>
  <w:style w:type="paragraph" w:customStyle="1" w:styleId="81">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2">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3">
    <w:name w:val="xl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84">
    <w:name w:val="font9"/>
    <w:basedOn w:val="1"/>
    <w:qFormat/>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8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7">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88">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8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90">
    <w:name w:val="xl130"/>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黑体" w:hAnsi="黑体" w:eastAsia="黑体" w:cs="宋体"/>
      <w:b/>
      <w:bCs/>
      <w:color w:val="000000"/>
      <w:kern w:val="0"/>
      <w:sz w:val="16"/>
      <w:szCs w:val="16"/>
    </w:rPr>
  </w:style>
  <w:style w:type="paragraph" w:customStyle="1" w:styleId="9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9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3">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94">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96">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16"/>
      <w:szCs w:val="16"/>
    </w:rPr>
  </w:style>
  <w:style w:type="paragraph" w:customStyle="1" w:styleId="9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98">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99">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00">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02">
    <w:name w:val="font6"/>
    <w:basedOn w:val="1"/>
    <w:qFormat/>
    <w:uiPriority w:val="0"/>
    <w:pPr>
      <w:widowControl/>
      <w:spacing w:before="100" w:beforeAutospacing="1" w:after="100" w:afterAutospacing="1"/>
      <w:jc w:val="left"/>
    </w:pPr>
    <w:rPr>
      <w:rFonts w:ascii="宋体" w:hAnsi="宋体" w:eastAsia="微软雅黑" w:cs="宋体"/>
      <w:kern w:val="0"/>
      <w:sz w:val="18"/>
      <w:szCs w:val="18"/>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4">
    <w:name w:val="xl129"/>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黑体" w:hAnsi="黑体" w:eastAsia="黑体" w:cs="宋体"/>
      <w:b/>
      <w:bCs/>
      <w:color w:val="000000"/>
      <w:kern w:val="0"/>
      <w:sz w:val="16"/>
      <w:szCs w:val="16"/>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color w:val="000000"/>
      <w:kern w:val="0"/>
      <w:sz w:val="20"/>
      <w:szCs w:val="20"/>
    </w:rPr>
  </w:style>
  <w:style w:type="paragraph" w:customStyle="1" w:styleId="106">
    <w:name w:val="xl68"/>
    <w:basedOn w:val="1"/>
    <w:qFormat/>
    <w:uiPriority w:val="0"/>
    <w:pPr>
      <w:widowControl/>
      <w:shd w:val="clear" w:color="000000" w:fill="FFFFFF"/>
      <w:spacing w:before="100" w:beforeAutospacing="1" w:after="100" w:afterAutospacing="1"/>
      <w:jc w:val="left"/>
    </w:pPr>
    <w:rPr>
      <w:rFonts w:ascii="宋体" w:hAnsi="宋体" w:eastAsia="微软雅黑" w:cs="宋体"/>
      <w:kern w:val="0"/>
      <w:sz w:val="24"/>
    </w:rPr>
  </w:style>
  <w:style w:type="paragraph" w:customStyle="1" w:styleId="107">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108">
    <w:name w:val="xl8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09">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1">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sz w:val="18"/>
      <w:szCs w:val="18"/>
    </w:rPr>
  </w:style>
  <w:style w:type="paragraph" w:customStyle="1" w:styleId="11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1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FF0000"/>
      <w:kern w:val="0"/>
      <w:sz w:val="20"/>
      <w:szCs w:val="20"/>
    </w:rPr>
  </w:style>
  <w:style w:type="paragraph" w:customStyle="1" w:styleId="11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5">
    <w:name w:val="xl8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16">
    <w:name w:val="xl12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7">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18">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19">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20">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color w:val="000000"/>
      <w:kern w:val="0"/>
      <w:sz w:val="20"/>
      <w:szCs w:val="20"/>
    </w:rPr>
  </w:style>
  <w:style w:type="paragraph" w:customStyle="1" w:styleId="12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paragraph" w:customStyle="1" w:styleId="122">
    <w:name w:val="xl13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微软雅黑" w:cs="宋体"/>
      <w:kern w:val="0"/>
      <w:sz w:val="20"/>
      <w:szCs w:val="20"/>
    </w:rPr>
  </w:style>
  <w:style w:type="paragraph" w:customStyle="1" w:styleId="123">
    <w:name w:val="xl15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黑体_GBK" w:hAnsi="宋体" w:eastAsia="方正黑体_GBK" w:cs="宋体"/>
      <w:kern w:val="0"/>
      <w:sz w:val="16"/>
      <w:szCs w:val="16"/>
    </w:rPr>
  </w:style>
  <w:style w:type="paragraph" w:customStyle="1" w:styleId="12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kern w:val="0"/>
      <w:sz w:val="20"/>
      <w:szCs w:val="20"/>
    </w:rPr>
  </w:style>
  <w:style w:type="paragraph" w:customStyle="1" w:styleId="125">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微软雅黑" w:cs="宋体"/>
      <w:color w:val="000000"/>
      <w:kern w:val="0"/>
      <w:sz w:val="20"/>
      <w:szCs w:val="20"/>
    </w:rPr>
  </w:style>
  <w:style w:type="character" w:customStyle="1" w:styleId="126">
    <w:name w:val="页脚 Char"/>
    <w:qFormat/>
    <w:uiPriority w:val="99"/>
    <w:rPr>
      <w:rFonts w:eastAsia="Calibri"/>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18737</Words>
  <Characters>19345</Characters>
  <Lines>144</Lines>
  <Paragraphs>40</Paragraphs>
  <TotalTime>52</TotalTime>
  <ScaleCrop>false</ScaleCrop>
  <LinksUpToDate>false</LinksUpToDate>
  <CharactersWithSpaces>19353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WPS_1704072179</cp:lastModifiedBy>
  <cp:lastPrinted>2022-05-12T16:46:00Z</cp:lastPrinted>
  <dcterms:modified xsi:type="dcterms:W3CDTF">2025-12-05T11:53:24Z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48C61CB29D3F4D9384F5922CF0F7FFB4</vt:lpwstr>
  </property>
  <property fmtid="{D5CDD505-2E9C-101B-9397-08002B2CF9AE}" pid="4" name="KSOTemplateDocerSaveRecord">
    <vt:lpwstr>eyJoZGlkIjoiY2U5YmRmY2ZlZTI3ZWMxYTcyNzBkNzZjMzVmZDFkZjkiLCJ1c2VySWQiOiIxNzI1MDg2Mzk4In0=</vt:lpwstr>
  </property>
</Properties>
</file>