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tabs>
          <w:tab w:val="left" w:pos="8190"/>
        </w:tabs>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云阳府</w:t>
      </w:r>
      <w:r>
        <w:rPr>
          <w:rFonts w:hint="eastAsia" w:ascii="Times New Roman" w:hAnsi="Times New Roman" w:eastAsia="方正仿宋_GBK" w:cs="Times New Roman"/>
          <w:kern w:val="0"/>
          <w:sz w:val="32"/>
          <w:szCs w:val="32"/>
          <w:lang w:eastAsia="zh-CN"/>
        </w:rPr>
        <w:t>发</w:t>
      </w:r>
      <w:r>
        <w:rPr>
          <w:rFonts w:hint="eastAsia" w:ascii="Times New Roman" w:hAnsi="Times New Roman" w:eastAsia="方正仿宋_GBK" w:cs="Calibri"/>
          <w:sz w:val="32"/>
          <w:szCs w:val="32"/>
        </w:rPr>
        <w:t>〔</w:t>
      </w:r>
      <w:r>
        <w:rPr>
          <w:rFonts w:ascii="Times New Roman" w:hAnsi="Times New Roman" w:eastAsia="方正仿宋_GBK" w:cs="Calibri"/>
          <w:sz w:val="32"/>
          <w:szCs w:val="32"/>
        </w:rPr>
        <w:t>2022</w:t>
      </w:r>
      <w:r>
        <w:rPr>
          <w:rFonts w:hint="eastAsia" w:ascii="Times New Roman" w:hAnsi="Times New Roman" w:eastAsia="方正仿宋_GBK" w:cs="Calibri"/>
          <w:sz w:val="32"/>
          <w:szCs w:val="32"/>
        </w:rPr>
        <w:t>〕</w:t>
      </w:r>
      <w:r>
        <w:rPr>
          <w:rFonts w:hint="eastAsia" w:ascii="Times New Roman" w:hAnsi="Times New Roman" w:eastAsia="方正仿宋_GBK" w:cs="Calibri"/>
          <w:sz w:val="32"/>
          <w:szCs w:val="32"/>
          <w:lang w:val="en-US" w:eastAsia="zh-CN"/>
        </w:rPr>
        <w:t>21</w:t>
      </w:r>
      <w:r>
        <w:rPr>
          <w:rFonts w:hint="eastAsia" w:ascii="Times New Roman" w:hAnsi="Times New Roman" w:eastAsia="方正仿宋_GBK" w:cs="Calibri"/>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cs="Times New Roman"/>
          <w:kern w:val="0"/>
          <w:sz w:val="32"/>
          <w:szCs w:val="32"/>
        </w:rPr>
      </w:pPr>
    </w:p>
    <w:p>
      <w:pPr>
        <w:spacing w:line="720" w:lineRule="exact"/>
        <w:jc w:val="center"/>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云阳县人民政府</w:t>
      </w:r>
    </w:p>
    <w:p>
      <w:pPr>
        <w:spacing w:line="720" w:lineRule="exact"/>
        <w:jc w:val="center"/>
        <w:rPr>
          <w:rFonts w:hint="eastAsia" w:ascii="Times New Roman" w:hAnsi="Times New Roman" w:eastAsia="方正小标宋_GBK" w:cs="Times New Roman"/>
          <w:kern w:val="0"/>
          <w:sz w:val="44"/>
          <w:szCs w:val="44"/>
        </w:rPr>
      </w:pPr>
      <w:bookmarkStart w:id="0" w:name="_GoBack"/>
      <w:r>
        <w:rPr>
          <w:rFonts w:hint="eastAsia" w:ascii="Times New Roman" w:hAnsi="Times New Roman" w:eastAsia="方正小标宋_GBK" w:cs="Times New Roman"/>
          <w:kern w:val="0"/>
          <w:sz w:val="44"/>
          <w:szCs w:val="44"/>
        </w:rPr>
        <w:t>关于印发</w:t>
      </w:r>
      <w:r>
        <w:rPr>
          <w:rFonts w:hint="eastAsia" w:ascii="Times New Roman" w:hAnsi="Times New Roman" w:eastAsia="方正小标宋_GBK" w:cs="方正小标宋_GBK"/>
          <w:bCs/>
          <w:color w:val="000000"/>
          <w:sz w:val="44"/>
          <w:szCs w:val="44"/>
          <w:shd w:val="clear" w:color="auto" w:fill="FFFFFF"/>
        </w:rPr>
        <w:t>《重庆云阳恐龙国家地质公园规划</w:t>
      </w:r>
      <w:r>
        <w:rPr>
          <w:rFonts w:hint="eastAsia" w:ascii="Times New Roman" w:hAnsi="Times New Roman" w:eastAsia="方正小标宋_GBK" w:cs="方正小标宋_GBK"/>
          <w:bCs/>
          <w:color w:val="000000"/>
          <w:sz w:val="44"/>
          <w:szCs w:val="44"/>
          <w:shd w:val="clear" w:color="auto" w:fill="FFFFFF"/>
          <w:lang w:eastAsia="zh-CN"/>
        </w:rPr>
        <w:t>（</w:t>
      </w:r>
      <w:r>
        <w:rPr>
          <w:rFonts w:hint="eastAsia" w:ascii="Times New Roman" w:hAnsi="Times New Roman" w:eastAsia="方正小标宋_GBK" w:cs="方正小标宋_GBK"/>
          <w:bCs/>
          <w:color w:val="000000"/>
          <w:sz w:val="44"/>
          <w:szCs w:val="44"/>
          <w:shd w:val="clear" w:color="auto" w:fill="FFFFFF"/>
        </w:rPr>
        <w:t>2020—2035年</w:t>
      </w:r>
      <w:r>
        <w:rPr>
          <w:rFonts w:hint="eastAsia" w:ascii="Times New Roman" w:hAnsi="Times New Roman" w:eastAsia="方正小标宋_GBK" w:cs="方正小标宋_GBK"/>
          <w:bCs/>
          <w:color w:val="000000"/>
          <w:sz w:val="44"/>
          <w:szCs w:val="44"/>
          <w:shd w:val="clear" w:color="auto" w:fill="FFFFFF"/>
          <w:lang w:eastAsia="zh-CN"/>
        </w:rPr>
        <w:t>）</w:t>
      </w:r>
      <w:r>
        <w:rPr>
          <w:rFonts w:hint="eastAsia" w:ascii="Times New Roman" w:hAnsi="Times New Roman" w:eastAsia="方正小标宋_GBK" w:cs="方正小标宋_GBK"/>
          <w:bCs/>
          <w:color w:val="000000"/>
          <w:sz w:val="44"/>
          <w:szCs w:val="44"/>
          <w:shd w:val="clear" w:color="auto" w:fill="FFFFFF"/>
        </w:rPr>
        <w:t>》</w:t>
      </w:r>
      <w:r>
        <w:rPr>
          <w:rFonts w:hint="eastAsia" w:ascii="Times New Roman" w:hAnsi="Times New Roman" w:eastAsia="方正小标宋_GBK" w:cs="Times New Roman"/>
          <w:kern w:val="0"/>
          <w:sz w:val="44"/>
          <w:szCs w:val="44"/>
        </w:rPr>
        <w:t>的通知</w:t>
      </w:r>
    </w:p>
    <w:bookmarkEnd w:id="0"/>
    <w:p>
      <w:pPr>
        <w:spacing w:line="578" w:lineRule="exact"/>
        <w:jc w:val="center"/>
        <w:rPr>
          <w:rFonts w:ascii="Times New Roman" w:hAnsi="Times New Roman" w:eastAsia="方正仿宋_GBK" w:cs="Times New Roman"/>
          <w:kern w:val="0"/>
          <w:sz w:val="32"/>
          <w:szCs w:val="32"/>
        </w:rPr>
      </w:pPr>
    </w:p>
    <w:p>
      <w:pPr>
        <w:spacing w:line="578"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各乡镇人民政府、街道办事处，县政府各部门，有关单位：</w:t>
      </w:r>
    </w:p>
    <w:p>
      <w:pPr>
        <w:keepNext w:val="0"/>
        <w:keepLines w:val="0"/>
        <w:pageBreakBefore w:val="0"/>
        <w:widowControl w:val="0"/>
        <w:shd w:val="clear" w:color="auto" w:fill="FFFFFF"/>
        <w:kinsoku/>
        <w:wordWrap/>
        <w:overflowPunct/>
        <w:topLinePunct w:val="0"/>
        <w:autoSpaceDE/>
        <w:autoSpaceDN/>
        <w:bidi w:val="0"/>
        <w:adjustRightInd/>
        <w:snapToGrid/>
        <w:spacing w:line="578" w:lineRule="exact"/>
        <w:ind w:leftChars="0" w:firstLine="640" w:firstLineChars="200"/>
        <w:textAlignment w:val="baseline"/>
        <w:rPr>
          <w:rFonts w:hint="eastAsia"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Calibri"/>
          <w:kern w:val="0"/>
          <w:sz w:val="32"/>
          <w:szCs w:val="32"/>
        </w:rPr>
        <w:t>重庆云阳恐龙国家地质公园（以下简称</w:t>
      </w:r>
      <w:r>
        <w:rPr>
          <w:rFonts w:hint="eastAsia" w:ascii="Times New Roman" w:hAnsi="Times New Roman" w:eastAsia="方正仿宋_GBK" w:cs="Calibri"/>
          <w:kern w:val="0"/>
          <w:sz w:val="32"/>
          <w:szCs w:val="32"/>
        </w:rPr>
        <w:t>地质</w:t>
      </w:r>
      <w:r>
        <w:rPr>
          <w:rFonts w:ascii="Times New Roman" w:hAnsi="Times New Roman" w:eastAsia="方正仿宋_GBK" w:cs="Calibri"/>
          <w:kern w:val="0"/>
          <w:sz w:val="32"/>
          <w:szCs w:val="32"/>
        </w:rPr>
        <w:t>公园）于2020年3月，经国家林业和草原局正式授予建立国家地质公园资格。</w:t>
      </w:r>
      <w:r>
        <w:rPr>
          <w:rFonts w:hint="eastAsia" w:ascii="Times New Roman" w:hAnsi="Times New Roman" w:eastAsia="方正仿宋_GBK" w:cs="方正仿宋_GBK"/>
          <w:color w:val="000000"/>
          <w:kern w:val="0"/>
          <w:sz w:val="32"/>
          <w:szCs w:val="32"/>
          <w:shd w:val="clear" w:color="auto" w:fill="FFFFFF"/>
        </w:rPr>
        <w:t>为加强对地质公园的有效保护、合理利用和科学管理，确保地质资源永续利用，</w:t>
      </w:r>
      <w:r>
        <w:rPr>
          <w:rFonts w:hint="eastAsia" w:ascii="Times New Roman" w:hAnsi="Times New Roman" w:eastAsia="方正仿宋_GBK" w:cs="Times New Roman"/>
          <w:color w:val="000000"/>
          <w:kern w:val="0"/>
          <w:sz w:val="32"/>
          <w:szCs w:val="32"/>
          <w:shd w:val="clear" w:color="auto" w:fill="FFFFFF"/>
        </w:rPr>
        <w:t>我县编制了《重庆云阳恐龙国家地质公园规划</w:t>
      </w:r>
      <w:r>
        <w:rPr>
          <w:rFonts w:ascii="Times New Roman" w:hAnsi="Times New Roman" w:eastAsia="方正仿宋_GBK" w:cs="Times New Roman"/>
          <w:color w:val="000000"/>
          <w:kern w:val="0"/>
          <w:sz w:val="32"/>
          <w:szCs w:val="32"/>
          <w:shd w:val="clear" w:color="auto" w:fill="FFFFFF"/>
        </w:rPr>
        <w:t>（2020</w:t>
      </w:r>
      <w:r>
        <w:rPr>
          <w:rFonts w:hint="eastAsia" w:ascii="Times New Roman" w:hAnsi="Times New Roman" w:eastAsia="方正仿宋_GBK" w:cs="Times New Roman"/>
          <w:color w:val="000000"/>
          <w:kern w:val="0"/>
          <w:sz w:val="32"/>
          <w:szCs w:val="32"/>
          <w:shd w:val="clear" w:color="auto" w:fill="FFFFFF"/>
        </w:rPr>
        <w:t>—</w:t>
      </w:r>
      <w:r>
        <w:rPr>
          <w:rFonts w:ascii="Times New Roman" w:hAnsi="Times New Roman" w:eastAsia="方正仿宋_GBK" w:cs="Times New Roman"/>
          <w:color w:val="000000"/>
          <w:kern w:val="0"/>
          <w:sz w:val="32"/>
          <w:szCs w:val="32"/>
          <w:shd w:val="clear" w:color="auto" w:fill="FFFFFF"/>
        </w:rPr>
        <w:t>2035</w:t>
      </w:r>
      <w:r>
        <w:rPr>
          <w:rFonts w:hint="eastAsia" w:ascii="Times New Roman" w:hAnsi="Times New Roman" w:eastAsia="方正仿宋_GBK" w:cs="Times New Roman"/>
          <w:color w:val="000000"/>
          <w:kern w:val="0"/>
          <w:sz w:val="32"/>
          <w:szCs w:val="32"/>
          <w:shd w:val="clear" w:color="auto" w:fill="FFFFFF"/>
        </w:rPr>
        <w:t>年）》（以下简称《规划》）。经</w:t>
      </w:r>
      <w:r>
        <w:rPr>
          <w:rFonts w:hint="eastAsia" w:ascii="Times New Roman" w:hAnsi="Times New Roman" w:eastAsia="方正仿宋_GBK" w:cs="Times New Roman"/>
          <w:color w:val="000000"/>
          <w:kern w:val="0"/>
          <w:sz w:val="32"/>
          <w:szCs w:val="32"/>
          <w:shd w:val="clear" w:color="auto" w:fill="FFFFFF"/>
          <w:lang w:val="en-US" w:eastAsia="zh-CN"/>
        </w:rPr>
        <w:t>县委、县政府研究同意，</w:t>
      </w:r>
      <w:r>
        <w:rPr>
          <w:rFonts w:hint="eastAsia" w:ascii="Times New Roman" w:hAnsi="Times New Roman" w:eastAsia="方正仿宋_GBK" w:cs="Times New Roman"/>
          <w:color w:val="000000"/>
          <w:kern w:val="0"/>
          <w:sz w:val="32"/>
          <w:szCs w:val="32"/>
          <w:shd w:val="clear" w:color="auto" w:fill="FFFFFF"/>
        </w:rPr>
        <w:t>现将《规划》予以发布，并就做好《规划》实施的有关事项通知如下：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200" w:firstLine="320" w:firstLineChars="100"/>
        <w:textAlignment w:val="baseline"/>
        <w:rPr>
          <w:rFonts w:hint="eastAsia" w:ascii="Times New Roman" w:hAnsi="Times New Roman" w:eastAsia="方正黑体_GBK" w:cs="Times New Roman"/>
          <w:color w:val="000000"/>
          <w:kern w:val="0"/>
          <w:sz w:val="32"/>
          <w:szCs w:val="32"/>
          <w:shd w:val="clear" w:color="auto" w:fill="FFFFFF"/>
        </w:rPr>
      </w:pPr>
      <w:r>
        <w:rPr>
          <w:rFonts w:hint="eastAsia" w:ascii="Times New Roman" w:hAnsi="Times New Roman" w:eastAsia="方正黑体_GBK" w:cs="Times New Roman"/>
          <w:color w:val="000000"/>
          <w:kern w:val="0"/>
          <w:sz w:val="32"/>
          <w:szCs w:val="32"/>
          <w:shd w:val="clear" w:color="auto" w:fill="FFFFFF"/>
          <w:lang w:eastAsia="zh-CN"/>
        </w:rPr>
        <w:t>一、</w:t>
      </w:r>
      <w:r>
        <w:rPr>
          <w:rFonts w:hint="eastAsia" w:ascii="Times New Roman" w:hAnsi="Times New Roman" w:eastAsia="方正黑体_GBK" w:cs="Times New Roman"/>
          <w:color w:val="000000"/>
          <w:kern w:val="0"/>
          <w:sz w:val="32"/>
          <w:szCs w:val="32"/>
          <w:shd w:val="clear" w:color="auto" w:fill="FFFFFF"/>
        </w:rPr>
        <w:t>充分认识</w:t>
      </w:r>
      <w:r>
        <w:rPr>
          <w:rFonts w:hint="eastAsia" w:ascii="Times New Roman" w:hAnsi="Times New Roman" w:eastAsia="方正黑体_GBK" w:cs="Times New Roman"/>
          <w:color w:val="000000"/>
          <w:kern w:val="0"/>
          <w:sz w:val="32"/>
          <w:szCs w:val="32"/>
          <w:shd w:val="clear" w:color="auto" w:fill="FFFFFF"/>
          <w:lang w:eastAsia="zh-CN"/>
        </w:rPr>
        <w:t>《</w:t>
      </w:r>
      <w:r>
        <w:rPr>
          <w:rFonts w:hint="eastAsia" w:ascii="Times New Roman" w:hAnsi="Times New Roman" w:eastAsia="方正黑体_GBK" w:cs="Times New Roman"/>
          <w:color w:val="000000"/>
          <w:kern w:val="0"/>
          <w:sz w:val="32"/>
          <w:szCs w:val="32"/>
          <w:shd w:val="clear" w:color="auto" w:fill="FFFFFF"/>
          <w:lang w:val="en-US" w:eastAsia="zh-CN"/>
        </w:rPr>
        <w:t>规划</w:t>
      </w:r>
      <w:r>
        <w:rPr>
          <w:rFonts w:hint="eastAsia" w:ascii="Times New Roman" w:hAnsi="Times New Roman" w:eastAsia="方正黑体_GBK" w:cs="Times New Roman"/>
          <w:color w:val="000000"/>
          <w:kern w:val="0"/>
          <w:sz w:val="32"/>
          <w:szCs w:val="32"/>
          <w:shd w:val="clear" w:color="auto" w:fill="FFFFFF"/>
          <w:lang w:eastAsia="zh-CN"/>
        </w:rPr>
        <w:t>》</w:t>
      </w:r>
      <w:r>
        <w:rPr>
          <w:rFonts w:hint="eastAsia" w:ascii="Times New Roman" w:hAnsi="Times New Roman" w:eastAsia="方正黑体_GBK" w:cs="Times New Roman"/>
          <w:color w:val="000000"/>
          <w:kern w:val="0"/>
          <w:sz w:val="32"/>
          <w:szCs w:val="32"/>
          <w:shd w:val="clear" w:color="auto" w:fill="FFFFFF"/>
          <w:lang w:val="en-US" w:eastAsia="zh-CN"/>
        </w:rPr>
        <w:t>的</w:t>
      </w:r>
      <w:r>
        <w:rPr>
          <w:rFonts w:hint="eastAsia" w:ascii="Times New Roman" w:hAnsi="Times New Roman" w:eastAsia="方正黑体_GBK" w:cs="Times New Roman"/>
          <w:color w:val="000000"/>
          <w:kern w:val="0"/>
          <w:sz w:val="32"/>
          <w:szCs w:val="32"/>
          <w:shd w:val="clear" w:color="auto" w:fill="FFFFFF"/>
        </w:rPr>
        <w:t>重要意义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textAlignment w:val="baseline"/>
        <w:rPr>
          <w:rFonts w:hint="eastAsia"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《规划》是依法保护、合理利用、科学管理地质遗迹的重要依据，是指导地质公园建设管理的纲领性文件。各乡镇</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lang w:val="en-US" w:eastAsia="zh-CN"/>
        </w:rPr>
        <w:t>街道</w:t>
      </w:r>
      <w:r>
        <w:rPr>
          <w:rFonts w:hint="eastAsia" w:ascii="Times New Roman" w:hAnsi="Times New Roman" w:eastAsia="方正仿宋_GBK" w:cs="Times New Roman"/>
          <w:color w:val="000000"/>
          <w:kern w:val="0"/>
          <w:sz w:val="32"/>
          <w:szCs w:val="32"/>
          <w:shd w:val="clear" w:color="auto" w:fill="FFFFFF"/>
          <w:lang w:eastAsia="zh-CN"/>
        </w:rPr>
        <w:t>）</w:t>
      </w:r>
      <w:r>
        <w:rPr>
          <w:rFonts w:hint="eastAsia" w:ascii="Times New Roman" w:hAnsi="Times New Roman" w:eastAsia="方正仿宋_GBK" w:cs="Times New Roman"/>
          <w:color w:val="000000"/>
          <w:kern w:val="0"/>
          <w:sz w:val="32"/>
          <w:szCs w:val="32"/>
          <w:shd w:val="clear" w:color="auto" w:fill="FFFFFF"/>
        </w:rPr>
        <w:t>、各部门、各单位要完整、准确、全面贯彻新发展理念，</w:t>
      </w:r>
      <w:r>
        <w:rPr>
          <w:rFonts w:hint="eastAsia" w:ascii="Times New Roman" w:hAnsi="Times New Roman" w:eastAsia="方正仿宋_GBK" w:cs="Times New Roman"/>
          <w:color w:val="000000"/>
          <w:kern w:val="0"/>
          <w:sz w:val="32"/>
          <w:szCs w:val="32"/>
          <w:shd w:val="clear" w:color="auto" w:fill="FFFFFF"/>
          <w:lang w:val="en-US" w:eastAsia="zh-CN"/>
        </w:rPr>
        <w:t>坚持</w:t>
      </w:r>
      <w:r>
        <w:rPr>
          <w:rFonts w:hint="eastAsia" w:ascii="Times New Roman" w:hAnsi="Times New Roman" w:eastAsia="方正仿宋_GBK" w:cs="Times New Roman"/>
          <w:color w:val="000000"/>
          <w:kern w:val="0"/>
          <w:sz w:val="32"/>
          <w:szCs w:val="32"/>
          <w:shd w:val="clear" w:color="auto" w:fill="FFFFFF"/>
        </w:rPr>
        <w:t>严格保护、统一管理、合理开发、科学利用的原则，</w:t>
      </w:r>
      <w:r>
        <w:rPr>
          <w:rFonts w:hint="eastAsia" w:ascii="Times New Roman" w:hAnsi="Times New Roman" w:eastAsia="方正仿宋_GBK" w:cs="方正仿宋_GBK"/>
          <w:color w:val="000000"/>
          <w:kern w:val="0"/>
          <w:sz w:val="32"/>
          <w:szCs w:val="32"/>
          <w:shd w:val="clear" w:color="auto" w:fill="FFFFFF"/>
        </w:rPr>
        <w:t>严格按照《规划》实施保护开发，确保重庆云阳恐龙国家地质公园按期通过国家林业和草原局验收并揭碑开园，力争将重庆云阳恐龙国家地质公园建设成为体现我县旅游特色的科普文化精品。</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640" w:firstLineChars="200"/>
        <w:textAlignment w:val="baseline"/>
        <w:rPr>
          <w:rFonts w:hint="eastAsia" w:ascii="Times New Roman" w:hAnsi="Times New Roman" w:eastAsia="方正黑体_GBK" w:cs="方正仿宋_GBK"/>
          <w:color w:val="000000"/>
          <w:kern w:val="0"/>
          <w:sz w:val="32"/>
          <w:szCs w:val="32"/>
          <w:shd w:val="clear" w:color="auto" w:fill="FFFFFF"/>
        </w:rPr>
      </w:pPr>
      <w:r>
        <w:rPr>
          <w:rFonts w:hint="eastAsia" w:ascii="Times New Roman" w:hAnsi="Times New Roman" w:eastAsia="方正黑体_GBK" w:cs="方正仿宋_GBK"/>
          <w:color w:val="000000"/>
          <w:kern w:val="0"/>
          <w:sz w:val="32"/>
          <w:szCs w:val="32"/>
          <w:shd w:val="clear" w:color="auto" w:fill="FFFFFF"/>
        </w:rPr>
        <w:t>二、加强地质遗迹保护</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leftChars="0" w:firstLine="640" w:firstLineChars="200"/>
        <w:textAlignment w:val="baseline"/>
        <w:rPr>
          <w:rFonts w:hint="eastAsia" w:ascii="Times New Roman" w:hAnsi="Times New Roman" w:eastAsia="方正仿宋_GBK" w:cs="方正仿宋_GBK"/>
          <w:color w:val="000000"/>
          <w:kern w:val="0"/>
          <w:sz w:val="32"/>
          <w:szCs w:val="32"/>
          <w:shd w:val="clear" w:color="auto" w:fill="FFFFFF"/>
        </w:rPr>
      </w:pPr>
      <w:r>
        <w:rPr>
          <w:rFonts w:ascii="Times New Roman" w:hAnsi="Times New Roman" w:eastAsia="方正仿宋_GBK" w:cs="Calibri"/>
          <w:kern w:val="0"/>
          <w:sz w:val="32"/>
          <w:szCs w:val="32"/>
        </w:rPr>
        <w:t>公园总面积为</w:t>
      </w:r>
      <w:r>
        <w:rPr>
          <w:rFonts w:ascii="Times New Roman" w:hAnsi="Times New Roman" w:eastAsia="方正仿宋_GBK" w:cs="Times New Roman"/>
          <w:kern w:val="0"/>
          <w:sz w:val="32"/>
          <w:szCs w:val="32"/>
        </w:rPr>
        <w:t>24.4km</w:t>
      </w:r>
      <w:r>
        <w:rPr>
          <w:rFonts w:ascii="Times New Roman" w:hAnsi="Times New Roman" w:eastAsia="方正仿宋_GBK" w:cs="Times New Roman"/>
          <w:kern w:val="0"/>
          <w:sz w:val="32"/>
          <w:szCs w:val="32"/>
          <w:vertAlign w:val="superscript"/>
        </w:rPr>
        <w:t>2</w:t>
      </w:r>
      <w:r>
        <w:rPr>
          <w:rFonts w:ascii="Times New Roman" w:hAnsi="Times New Roman" w:eastAsia="方正仿宋_GBK" w:cs="Calibri"/>
          <w:kern w:val="0"/>
          <w:sz w:val="32"/>
          <w:szCs w:val="32"/>
        </w:rPr>
        <w:t>，涉及普安乡、新津乡、龙角镇和故陵镇</w:t>
      </w:r>
      <w:r>
        <w:rPr>
          <w:rFonts w:hint="eastAsia" w:ascii="Times New Roman" w:hAnsi="Times New Roman" w:eastAsia="方正仿宋_GBK" w:cs="Calibri"/>
          <w:kern w:val="0"/>
          <w:sz w:val="32"/>
          <w:szCs w:val="32"/>
        </w:rPr>
        <w:t>部分</w:t>
      </w:r>
      <w:r>
        <w:rPr>
          <w:rFonts w:ascii="Times New Roman" w:hAnsi="Times New Roman" w:eastAsia="方正仿宋_GBK" w:cs="Calibri"/>
          <w:kern w:val="0"/>
          <w:sz w:val="32"/>
          <w:szCs w:val="32"/>
        </w:rPr>
        <w:t>区域。公园以古生物化石类地质遗迹为主，地层剖面、地质构造和地貌景观为辅，是集地质科考、科普教育、旅游观光为一体的中型地质</w:t>
      </w:r>
      <w:r>
        <w:rPr>
          <w:rFonts w:ascii="Times New Roman" w:hAnsi="Times New Roman" w:eastAsia="方正仿宋_GBK" w:cs="Calibri"/>
          <w:sz w:val="32"/>
          <w:szCs w:val="32"/>
        </w:rPr>
        <w:t>公园。</w:t>
      </w:r>
      <w:r>
        <w:rPr>
          <w:rFonts w:hint="eastAsia" w:ascii="Times New Roman" w:hAnsi="Times New Roman" w:eastAsia="方正仿宋_GBK" w:cs="方正仿宋_GBK"/>
          <w:color w:val="000000"/>
          <w:kern w:val="0"/>
          <w:sz w:val="32"/>
          <w:szCs w:val="32"/>
          <w:shd w:val="clear" w:color="auto" w:fill="FFFFFF"/>
        </w:rPr>
        <w:t>《规划》实施要坚持“保护优先，科学利用”的方针，加强地质公园建设与管理，</w:t>
      </w:r>
      <w:r>
        <w:rPr>
          <w:rFonts w:hint="eastAsia" w:ascii="Times New Roman" w:hAnsi="Times New Roman" w:eastAsia="方正仿宋_GBK" w:cs="Calibri"/>
          <w:sz w:val="32"/>
          <w:szCs w:val="32"/>
        </w:rPr>
        <w:t>严格执行《古生物化石保护条例》《地质遗迹保护管理规定》等，建立健全管理机制，有效</w:t>
      </w:r>
      <w:r>
        <w:rPr>
          <w:rFonts w:hint="eastAsia" w:ascii="Times New Roman" w:hAnsi="Times New Roman" w:eastAsia="方正仿宋_GBK" w:cs="方正仿宋_GBK"/>
          <w:color w:val="000000"/>
          <w:kern w:val="0"/>
          <w:sz w:val="32"/>
          <w:szCs w:val="32"/>
          <w:shd w:val="clear" w:color="auto" w:fill="FFFFFF"/>
        </w:rPr>
        <w:t>开展地质科普宣传和地学科学研究，</w:t>
      </w:r>
      <w:r>
        <w:rPr>
          <w:rFonts w:hint="eastAsia" w:ascii="Times New Roman" w:hAnsi="Times New Roman" w:eastAsia="方正仿宋_GBK" w:cs="Calibri"/>
          <w:sz w:val="32"/>
          <w:szCs w:val="32"/>
        </w:rPr>
        <w:t>唤起全民保护意识，切实有效保护好</w:t>
      </w:r>
      <w:r>
        <w:rPr>
          <w:rFonts w:hint="eastAsia" w:ascii="Times New Roman" w:hAnsi="Times New Roman" w:eastAsia="方正仿宋_GBK" w:cs="方正仿宋_GBK"/>
          <w:color w:val="000000"/>
          <w:kern w:val="0"/>
          <w:sz w:val="32"/>
          <w:szCs w:val="32"/>
          <w:shd w:val="clear" w:color="auto" w:fill="FFFFFF"/>
        </w:rPr>
        <w:t>地质遗迹资源。</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200" w:firstLine="320" w:firstLineChars="100"/>
        <w:textAlignment w:val="baseline"/>
        <w:rPr>
          <w:rFonts w:hint="eastAsia" w:ascii="Times New Roman" w:hAnsi="Times New Roman" w:eastAsia="方正黑体_GBK" w:cs="Calibri"/>
          <w:kern w:val="0"/>
          <w:sz w:val="32"/>
          <w:szCs w:val="32"/>
        </w:rPr>
      </w:pPr>
      <w:r>
        <w:rPr>
          <w:rFonts w:hint="eastAsia" w:ascii="Times New Roman" w:hAnsi="Times New Roman" w:eastAsia="方正黑体_GBK" w:cs="Calibri"/>
          <w:kern w:val="0"/>
          <w:sz w:val="32"/>
          <w:szCs w:val="32"/>
          <w:lang w:eastAsia="zh-CN"/>
        </w:rPr>
        <w:t>三、</w:t>
      </w:r>
      <w:r>
        <w:rPr>
          <w:rFonts w:hint="eastAsia" w:ascii="Times New Roman" w:hAnsi="Times New Roman" w:eastAsia="方正黑体_GBK" w:cs="Calibri"/>
          <w:kern w:val="0"/>
          <w:sz w:val="32"/>
          <w:szCs w:val="32"/>
          <w:lang w:val="en-US" w:eastAsia="zh-CN"/>
        </w:rPr>
        <w:t>强化</w:t>
      </w:r>
      <w:r>
        <w:rPr>
          <w:rFonts w:hint="eastAsia" w:ascii="Times New Roman" w:hAnsi="Times New Roman" w:eastAsia="方正黑体_GBK" w:cs="Calibri"/>
          <w:kern w:val="0"/>
          <w:sz w:val="32"/>
          <w:szCs w:val="32"/>
        </w:rPr>
        <w:t>地质公园管理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8" w:lineRule="exact"/>
        <w:ind w:leftChars="0" w:firstLine="640" w:firstLineChars="200"/>
        <w:textAlignment w:val="baseline"/>
        <w:rPr>
          <w:rFonts w:hint="eastAsia"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Calibri"/>
          <w:kern w:val="0"/>
          <w:sz w:val="32"/>
          <w:szCs w:val="32"/>
          <w:lang w:val="en-US" w:eastAsia="zh-CN"/>
        </w:rPr>
        <w:t>有关</w:t>
      </w:r>
      <w:r>
        <w:rPr>
          <w:rFonts w:hint="eastAsia" w:ascii="Times New Roman" w:hAnsi="Times New Roman" w:eastAsia="方正仿宋_GBK" w:cs="Calibri"/>
          <w:kern w:val="0"/>
          <w:sz w:val="32"/>
          <w:szCs w:val="32"/>
        </w:rPr>
        <w:t>部门</w:t>
      </w:r>
      <w:r>
        <w:rPr>
          <w:rFonts w:hint="eastAsia" w:ascii="Times New Roman" w:hAnsi="Times New Roman" w:eastAsia="方正仿宋_GBK" w:cs="Calibri"/>
          <w:kern w:val="0"/>
          <w:sz w:val="32"/>
          <w:szCs w:val="32"/>
          <w:lang w:eastAsia="zh-CN"/>
        </w:rPr>
        <w:t>、</w:t>
      </w:r>
      <w:r>
        <w:rPr>
          <w:rFonts w:hint="eastAsia" w:ascii="Times New Roman" w:hAnsi="Times New Roman" w:eastAsia="方正仿宋_GBK" w:cs="Calibri"/>
          <w:kern w:val="0"/>
          <w:sz w:val="32"/>
          <w:szCs w:val="32"/>
          <w:lang w:val="en-US" w:eastAsia="zh-CN"/>
        </w:rPr>
        <w:t>乡镇</w:t>
      </w:r>
      <w:r>
        <w:rPr>
          <w:rFonts w:hint="eastAsia" w:ascii="Times New Roman" w:hAnsi="Times New Roman" w:eastAsia="方正仿宋_GBK" w:cs="Calibri"/>
          <w:kern w:val="0"/>
          <w:sz w:val="32"/>
          <w:szCs w:val="32"/>
        </w:rPr>
        <w:t>要严格按照《规划》的各项要求，建立健全《规划》实施管理制度，认真落实《规划》提出的各项任务和措施，开展地质公园的建设和管理。对不符合《规划》的各项工程建设和矿产资源勘查、开采等项目，有关部门不得批准立项，不得审批、颁发</w:t>
      </w:r>
      <w:r>
        <w:rPr>
          <w:rFonts w:hint="eastAsia" w:ascii="Times New Roman" w:hAnsi="Times New Roman" w:eastAsia="方正仿宋_GBK" w:cs="Calibri"/>
          <w:kern w:val="0"/>
          <w:sz w:val="32"/>
          <w:szCs w:val="32"/>
          <w:lang w:val="en-US" w:eastAsia="zh-CN"/>
        </w:rPr>
        <w:t>有关证件</w:t>
      </w:r>
      <w:r>
        <w:rPr>
          <w:rFonts w:hint="eastAsia" w:ascii="Times New Roman" w:hAnsi="Times New Roman" w:eastAsia="方正仿宋_GBK" w:cs="Calibri"/>
          <w:kern w:val="0"/>
          <w:sz w:val="32"/>
          <w:szCs w:val="32"/>
        </w:rPr>
        <w:t>，不得批准用地。县规划自然资源局、县生态环境局、县林业局等部门要加强对《规划》落实情况的监督和检查，及时纠正违反《规划》的各种行为，确保重庆云阳恐龙国家地质公园</w:t>
      </w:r>
      <w:r>
        <w:rPr>
          <w:rFonts w:hint="eastAsia" w:ascii="Times New Roman" w:hAnsi="Times New Roman" w:eastAsia="方正仿宋_GBK" w:cs="Calibri"/>
          <w:kern w:val="0"/>
          <w:sz w:val="32"/>
          <w:szCs w:val="32"/>
          <w:lang w:val="en-US" w:eastAsia="zh-CN"/>
        </w:rPr>
        <w:t>有序</w:t>
      </w:r>
      <w:r>
        <w:rPr>
          <w:rFonts w:hint="eastAsia" w:ascii="Times New Roman" w:hAnsi="Times New Roman" w:eastAsia="方正仿宋_GBK" w:cs="Calibri"/>
          <w:kern w:val="0"/>
          <w:sz w:val="32"/>
          <w:szCs w:val="32"/>
        </w:rPr>
        <w:t>发展。</w:t>
      </w:r>
    </w:p>
    <w:p>
      <w:pPr>
        <w:widowControl/>
        <w:shd w:val="clear" w:color="auto" w:fill="FFFFFF"/>
        <w:spacing w:beforeAutospacing="0" w:afterAutospacing="0" w:line="578" w:lineRule="exact"/>
        <w:jc w:val="left"/>
        <w:rPr>
          <w:rFonts w:hint="eastAsia" w:ascii="Times New Roman" w:hAnsi="Times New Roman" w:eastAsia="方正仿宋_GBK" w:cs="方正仿宋_GBK"/>
          <w:color w:val="000000"/>
          <w:kern w:val="0"/>
          <w:sz w:val="32"/>
          <w:szCs w:val="32"/>
          <w:shd w:val="clear" w:color="auto" w:fill="FFFFFF"/>
          <w:lang w:val="en-US" w:eastAsia="zh-CN" w:bidi="ar-SA"/>
        </w:rPr>
      </w:pPr>
    </w:p>
    <w:p>
      <w:pPr>
        <w:widowControl/>
        <w:shd w:val="clear" w:color="auto" w:fill="FFFFFF"/>
        <w:spacing w:beforeAutospacing="0" w:afterAutospacing="0" w:line="578" w:lineRule="exact"/>
        <w:ind w:firstLine="640" w:firstLineChars="200"/>
        <w:jc w:val="left"/>
        <w:rPr>
          <w:rFonts w:ascii="Times New Roman" w:hAnsi="Times New Roman" w:eastAsia="方正仿宋_GBK" w:cs="方正仿宋_GBK"/>
          <w:color w:val="000000"/>
          <w:kern w:val="0"/>
          <w:sz w:val="32"/>
          <w:szCs w:val="32"/>
          <w:shd w:val="clear" w:color="auto" w:fill="FFFFFF"/>
          <w:lang w:val="en-US" w:eastAsia="zh-CN" w:bidi="ar-SA"/>
        </w:rPr>
      </w:pPr>
      <w:r>
        <w:rPr>
          <w:rFonts w:hint="eastAsia" w:ascii="Times New Roman" w:hAnsi="Times New Roman" w:eastAsia="方正仿宋_GBK" w:cs="方正仿宋_GBK"/>
          <w:color w:val="000000"/>
          <w:kern w:val="0"/>
          <w:sz w:val="32"/>
          <w:szCs w:val="32"/>
          <w:shd w:val="clear" w:color="auto" w:fill="FFFFFF"/>
          <w:lang w:val="en-US" w:eastAsia="zh-CN" w:bidi="ar-SA"/>
        </w:rPr>
        <w:t>附件</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eastAsia" w:ascii="Times New Roman" w:hAnsi="Times New Roman" w:eastAsia="方正仿宋_GBK" w:cs="方正仿宋_GBK"/>
          <w:color w:val="000000"/>
          <w:kern w:val="0"/>
          <w:sz w:val="32"/>
          <w:szCs w:val="32"/>
          <w:shd w:val="clear" w:color="auto" w:fill="FFFFFF"/>
          <w:lang w:val="en-US" w:eastAsia="zh-CN" w:bidi="ar-SA"/>
        </w:rPr>
        <w:t>《重庆云阳恐龙国家地质公园规划（</w:t>
      </w:r>
      <w:r>
        <w:rPr>
          <w:rFonts w:ascii="Times New Roman" w:hAnsi="Times New Roman" w:eastAsia="方正仿宋_GBK" w:cs="Times New Roman"/>
          <w:color w:val="000000"/>
          <w:kern w:val="0"/>
          <w:sz w:val="32"/>
          <w:szCs w:val="32"/>
          <w:shd w:val="clear" w:color="auto" w:fill="FFFFFF"/>
          <w:lang w:val="en-US" w:eastAsia="zh-CN" w:bidi="ar-SA"/>
        </w:rPr>
        <w:t>2020</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ascii="Times New Roman" w:hAnsi="Times New Roman" w:eastAsia="方正仿宋_GBK" w:cs="Times New Roman"/>
          <w:color w:val="000000"/>
          <w:kern w:val="0"/>
          <w:sz w:val="32"/>
          <w:szCs w:val="32"/>
          <w:shd w:val="clear" w:color="auto" w:fill="FFFFFF"/>
          <w:lang w:val="en-US" w:eastAsia="zh-CN" w:bidi="ar-SA"/>
        </w:rPr>
        <w:t>2035</w:t>
      </w:r>
      <w:r>
        <w:rPr>
          <w:rFonts w:hint="eastAsia" w:ascii="Times New Roman" w:hAnsi="Times New Roman" w:eastAsia="方正仿宋_GBK" w:cs="Times New Roman"/>
          <w:color w:val="000000"/>
          <w:kern w:val="0"/>
          <w:sz w:val="32"/>
          <w:szCs w:val="32"/>
          <w:shd w:val="clear" w:color="auto" w:fill="FFFFFF"/>
          <w:lang w:val="en-US" w:eastAsia="zh-CN" w:bidi="ar-SA"/>
        </w:rPr>
        <w:t>年</w:t>
      </w:r>
      <w:r>
        <w:rPr>
          <w:rFonts w:hint="eastAsia" w:ascii="Times New Roman" w:hAnsi="Times New Roman" w:eastAsia="方正仿宋_GBK" w:cs="方正仿宋_GBK"/>
          <w:color w:val="000000"/>
          <w:kern w:val="0"/>
          <w:sz w:val="32"/>
          <w:szCs w:val="32"/>
          <w:shd w:val="clear" w:color="auto" w:fill="FFFFFF"/>
          <w:lang w:val="en-US" w:eastAsia="zh-CN" w:bidi="ar-SA"/>
        </w:rPr>
        <w:t>）》</w:t>
      </w:r>
    </w:p>
    <w:p>
      <w:pPr>
        <w:spacing w:line="578" w:lineRule="exact"/>
        <w:jc w:val="left"/>
        <w:rPr>
          <w:rFonts w:ascii="Times New Roman" w:hAnsi="Times New Roman" w:eastAsia="方正仿宋_GBK" w:cs="Times New Roman"/>
          <w:kern w:val="0"/>
          <w:sz w:val="32"/>
          <w:szCs w:val="32"/>
        </w:rPr>
      </w:pPr>
    </w:p>
    <w:p>
      <w:pPr>
        <w:spacing w:line="578" w:lineRule="exact"/>
        <w:jc w:val="center"/>
        <w:rPr>
          <w:rFonts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5184" w:firstLineChars="1620"/>
        <w:jc w:val="both"/>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云阳县人民政府</w:t>
      </w:r>
    </w:p>
    <w:p>
      <w:pPr>
        <w:keepNext w:val="0"/>
        <w:keepLines w:val="0"/>
        <w:pageBreakBefore w:val="0"/>
        <w:widowControl w:val="0"/>
        <w:tabs>
          <w:tab w:val="left" w:pos="7560"/>
          <w:tab w:val="left" w:pos="8190"/>
        </w:tabs>
        <w:kinsoku/>
        <w:wordWrap/>
        <w:overflowPunct/>
        <w:topLinePunct w:val="0"/>
        <w:autoSpaceDE/>
        <w:autoSpaceDN/>
        <w:bidi w:val="0"/>
        <w:adjustRightInd/>
        <w:snapToGrid/>
        <w:spacing w:line="578" w:lineRule="exact"/>
        <w:ind w:right="0" w:rightChars="0" w:firstLine="5120" w:firstLineChars="1600"/>
        <w:jc w:val="both"/>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2022年12月</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rPr>
        <w:t>日</w:t>
      </w:r>
    </w:p>
    <w:p>
      <w:pPr>
        <w:tabs>
          <w:tab w:val="left" w:pos="7560"/>
        </w:tabs>
        <w:spacing w:line="578"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（此件公开发布）</w:t>
      </w:r>
    </w:p>
    <w:p>
      <w:pPr>
        <w:spacing w:line="580" w:lineRule="exact"/>
        <w:jc w:val="center"/>
        <w:rPr>
          <w:rFonts w:ascii="Times New Roman" w:hAnsi="Times New Roman" w:eastAsia="方正仿宋_GBK" w:cs="Times New Roman"/>
          <w:kern w:val="0"/>
          <w:sz w:val="32"/>
          <w:szCs w:val="32"/>
        </w:rPr>
      </w:pPr>
    </w:p>
    <w:p>
      <w:pPr>
        <w:spacing w:line="580" w:lineRule="exact"/>
        <w:jc w:val="center"/>
        <w:rPr>
          <w:rFonts w:ascii="Times New Roman" w:hAnsi="Times New Roman" w:eastAsia="方正仿宋_GBK"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WFkN2Q1OWNkM2M3YTc4MDg3ZGEwOTczM2IwZTMifQ=="/>
  </w:docVars>
  <w:rsids>
    <w:rsidRoot w:val="4BEF5A20"/>
    <w:rsid w:val="4BEF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2022-12-09T11:01:00Z</dcterms:created>
  <dc:creator>恐龙化石管委会</dc:creator>
  <cp:lastModifiedBy>恐龙化石管委会</cp:lastModifiedBy>
  <dcterms:modified xsi:type="dcterms:W3CDTF">2022-12-09T11:01:34Z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67B70F92186E409A82DC02954E9539AA</vt:lpwstr>
  </property>
</Properties>
</file>