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F5CD0">
      <w:pPr>
        <w:spacing w:line="600" w:lineRule="exact"/>
        <w:jc w:val="center"/>
        <w:rPr>
          <w:rFonts w:ascii="方正仿宋_GBK" w:hAnsi="方正仿宋_GBK" w:eastAsia="方正仿宋_GBK" w:cs="方正仿宋_GBK"/>
          <w:sz w:val="32"/>
          <w:szCs w:val="32"/>
        </w:rPr>
      </w:pPr>
    </w:p>
    <w:p w14:paraId="7B92E500">
      <w:pPr>
        <w:spacing w:line="600" w:lineRule="exact"/>
        <w:jc w:val="center"/>
        <w:rPr>
          <w:rFonts w:ascii="方正仿宋_GBK" w:hAnsi="方正仿宋_GBK" w:eastAsia="方正仿宋_GBK" w:cs="方正仿宋_GBK"/>
          <w:sz w:val="32"/>
          <w:szCs w:val="32"/>
        </w:rPr>
      </w:pPr>
    </w:p>
    <w:p w14:paraId="24D16B60">
      <w:pPr>
        <w:pStyle w:val="9"/>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云阳县人民政府办公室</w:t>
      </w:r>
    </w:p>
    <w:p w14:paraId="057FB9C0">
      <w:pPr>
        <w:pStyle w:val="9"/>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关于进一步明确基层群众性自治组织依法自治及协助政府工作事项的通知</w:t>
      </w:r>
    </w:p>
    <w:p w14:paraId="16B43794">
      <w:pPr>
        <w:pStyle w:val="9"/>
        <w:widowControl/>
        <w:spacing w:beforeAutospacing="0" w:afterAutospacing="0" w:line="5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65</w:t>
      </w:r>
      <w:r>
        <w:rPr>
          <w:rFonts w:hint="eastAsia" w:ascii="方正仿宋_GBK" w:hAnsi="方正仿宋_GBK" w:eastAsia="方正仿宋_GBK" w:cs="方正仿宋_GBK"/>
          <w:sz w:val="32"/>
          <w:szCs w:val="32"/>
        </w:rPr>
        <w:t>号</w:t>
      </w:r>
    </w:p>
    <w:p w14:paraId="4A533447">
      <w:pPr>
        <w:pStyle w:val="9"/>
        <w:widowControl/>
        <w:spacing w:beforeAutospacing="0" w:afterAutospacing="0" w:line="570" w:lineRule="atLeast"/>
        <w:rPr>
          <w:rFonts w:ascii="仿宋" w:hAnsi="仿宋" w:eastAsia="仿宋" w:cs="仿宋"/>
          <w:sz w:val="31"/>
          <w:szCs w:val="31"/>
        </w:rPr>
      </w:pPr>
    </w:p>
    <w:p w14:paraId="72DB2B7A">
      <w:pPr>
        <w:pStyle w:val="9"/>
        <w:widowControl/>
        <w:spacing w:beforeAutospacing="0" w:afterAutospacing="0" w:line="600" w:lineRule="exact"/>
        <w:rPr>
          <w:rFonts w:ascii="仿宋" w:hAnsi="仿宋" w:eastAsia="仿宋" w:cs="仿宋"/>
          <w:sz w:val="31"/>
          <w:szCs w:val="31"/>
        </w:rPr>
      </w:pPr>
      <w:r>
        <w:rPr>
          <w:rFonts w:hint="eastAsia" w:ascii="方正仿宋_GBK" w:hAnsi="方正仿宋_GBK" w:eastAsia="方正仿宋_GBK" w:cs="方正仿宋_GBK"/>
          <w:sz w:val="32"/>
          <w:szCs w:val="32"/>
        </w:rPr>
        <w:t>各乡镇政府、街道办事处，县政府各部门，有关单位</w:t>
      </w:r>
      <w:r>
        <w:rPr>
          <w:rFonts w:hint="eastAsia" w:ascii="仿宋" w:hAnsi="仿宋" w:eastAsia="仿宋" w:cs="仿宋"/>
          <w:sz w:val="31"/>
          <w:szCs w:val="31"/>
        </w:rPr>
        <w:t>：</w:t>
      </w:r>
    </w:p>
    <w:p w14:paraId="78398623">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为深入贯彻党的十九大精神，认真落实重庆市人民政府办公厅《关于进一步明确基层群众性自治组织依法自治及协助政府工作事项的通知》（渝府办发〔</w:t>
      </w: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3</w:t>
      </w:r>
      <w:r>
        <w:rPr>
          <w:rFonts w:hint="eastAsia" w:ascii="方正仿宋_GBK" w:hAnsi="方正仿宋_GBK" w:eastAsia="方正仿宋_GBK" w:cs="方正仿宋_GBK"/>
          <w:sz w:val="32"/>
          <w:szCs w:val="32"/>
        </w:rPr>
        <w:t>号）精神，依法厘清乡镇政府（街道办事处）和基层群众性自治组织权责边界，经县政府同意，现就进一步明确基层群众性自治组织依法自治及协助政府工作事项通知如下：</w:t>
      </w:r>
    </w:p>
    <w:p w14:paraId="545D07AF">
      <w:pPr>
        <w:pStyle w:val="9"/>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一、明确职责定位</w:t>
      </w:r>
    </w:p>
    <w:p w14:paraId="4A739FE3">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居）民委员会作为村（居）民自我管理、自我教育、自我服务的基层群众性自治组织，其主要职责是在基层党组织的领导下组织村（居）民依法开展自治，并依照法律法规协助乡镇政府（街道办事处）开展相关工作。制定和完善基层群众性自治组织依法自治事项清单、依法协助政府工作事项清单和负面清单，目的是进一步明确基层群众性自治组织职责定位，切实减轻村（居）委会行政负担，增强自治功能，实现政府治理和社会调节、居民自治良性互动。各乡镇政府（街道办事处）、县政府各部门要进一步转变思想观念，改变过去政府把基层群众性自治组织作为行政延伸的思维定势，改变政府对自治组织行政命令或者行政干预式的传统做法，充分尊重自治组织的主体地位，切实保障基层群众自治权利，加快形成党委领导、政府负责、社会协同、公众参与、法治保障的社区治理机制。</w:t>
      </w:r>
    </w:p>
    <w:p w14:paraId="31E9F217">
      <w:pPr>
        <w:pStyle w:val="9"/>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二、促进依法自治</w:t>
      </w:r>
    </w:p>
    <w:p w14:paraId="6015209E">
      <w:pPr>
        <w:pStyle w:val="9"/>
        <w:widowControl/>
        <w:spacing w:beforeAutospacing="0" w:afterAutospacing="0" w:line="600" w:lineRule="exact"/>
        <w:ind w:firstLine="640" w:firstLineChars="200"/>
        <w:rPr>
          <w:rFonts w:ascii="仿宋" w:hAnsi="仿宋" w:eastAsia="仿宋" w:cs="仿宋"/>
          <w:sz w:val="31"/>
          <w:szCs w:val="31"/>
        </w:rPr>
      </w:pPr>
      <w:r>
        <w:rPr>
          <w:rFonts w:hint="eastAsia" w:ascii="方正仿宋_GBK" w:hAnsi="方正仿宋_GBK" w:eastAsia="方正仿宋_GBK" w:cs="方正仿宋_GBK"/>
          <w:sz w:val="32"/>
          <w:szCs w:val="32"/>
        </w:rPr>
        <w:t>基层群众性自治组织应当完善党领导下的自治机制，对照“基层群众性自治组织依法自治事项清单”（以下简称“自治清单”，见附件1），依法组织群众开展以自我管理、自我教育、自我服务、自我监督为主要内容的基层自治实践，发挥自治组织在城乡社区治理中的基础性作用。各乡镇政府（街道办事处）及相关部门要积极创造条件促进基层群众性自治组织更好地依法履行职责，改进工作指导方式，加强组织协调，加大保障力度，落实帮扶政策和措施，提高基层群众性自治组织工作能力和水平，做到放权于民，还权于民，促进法治、德治、自治有机融合。</w:t>
      </w:r>
    </w:p>
    <w:p w14:paraId="00E367BE">
      <w:pPr>
        <w:pStyle w:val="9"/>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三、规范协助事项</w:t>
      </w:r>
    </w:p>
    <w:p w14:paraId="4DE2CEC5">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基层群众性自治组织应当依法协助政府做好法律、法规、规章规定的工作事项。对纳入“基层群众性自治组织依法协助政府工作事项清单”（以下简称“协助清单”，见附件</w:t>
      </w:r>
      <w:r>
        <w:rPr>
          <w:rFonts w:ascii="Times New Roman" w:hAnsi="Times New Roman" w:eastAsia="方正仿宋_GBK"/>
          <w:sz w:val="32"/>
          <w:szCs w:val="32"/>
        </w:rPr>
        <w:t>2</w:t>
      </w:r>
      <w:r>
        <w:rPr>
          <w:rFonts w:hint="eastAsia" w:ascii="方正仿宋_GBK" w:hAnsi="方正仿宋_GBK" w:eastAsia="方正仿宋_GBK" w:cs="方正仿宋_GBK"/>
          <w:sz w:val="32"/>
          <w:szCs w:val="32"/>
        </w:rPr>
        <w:t>）的工作事项，各乡镇政府（街道办事处）及相关部门要切实履行主体责任，遵循“费随事转、权随责走”的原则，为基层群众性自治组织依法协助政府开展工作创造条件，在做法上给予指导，在人员上给予支持，在经费上给予保障。</w:t>
      </w:r>
    </w:p>
    <w:p w14:paraId="7B37322D">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各乡镇政府（街道办事处）及相关部门延伸到村（社区）、但未纳入“协助清单”的工作事项，其责任主体是各乡镇政府（街道办事处）及相关部门。责任主体可自行完成相关工作，也可以通过政府购买服务的方式，向基层群众性自治组织或其他社会力量购买服务。对购买基层群众性自治组织服务的事项，购买服务主体应当与基层群众性自治组织签订合同，开展的工作事项严格按合同约定进行，对工作的满意度评定以合同条款为依据，不再以目标考核的方式进行工作评价。未购买基层群众性自治组织服务的事项，各乡镇政府（街道办事处）及相关部门不得以行政命令方式要求基层群众性自治组织予以办理，基层群众性自治组织也有权拒绝。</w:t>
      </w:r>
    </w:p>
    <w:p w14:paraId="7F8C30D2">
      <w:pPr>
        <w:pStyle w:val="9"/>
        <w:widowControl/>
        <w:spacing w:beforeAutospacing="0" w:afterAutospacing="0" w:line="600" w:lineRule="exact"/>
        <w:ind w:firstLine="640" w:firstLineChars="200"/>
        <w:rPr>
          <w:rFonts w:ascii="仿宋" w:hAnsi="仿宋" w:eastAsia="仿宋" w:cs="仿宋"/>
          <w:sz w:val="31"/>
          <w:szCs w:val="31"/>
        </w:rPr>
      </w:pPr>
      <w:r>
        <w:rPr>
          <w:rFonts w:hint="eastAsia" w:ascii="方正仿宋_GBK" w:hAnsi="方正仿宋_GBK" w:eastAsia="方正仿宋_GBK" w:cs="方正仿宋_GBK"/>
          <w:sz w:val="32"/>
          <w:szCs w:val="32"/>
        </w:rPr>
        <w:t>严禁将基层群众性自治组织作为行政执法、拆迁拆违、环境整治、城市管理、招商引资、协税护税、生产安全管理等工作的责任主体。对纳入“基层群众性自治组织工作负面事项清单”（以下简称“负面清单”，见附件</w:t>
      </w:r>
      <w:r>
        <w:rPr>
          <w:rFonts w:hint="eastAsia" w:ascii="Times New Roman" w:hAnsi="Times New Roman" w:eastAsia="方正仿宋_GBK"/>
          <w:sz w:val="32"/>
          <w:szCs w:val="32"/>
        </w:rPr>
        <w:t>3</w:t>
      </w:r>
      <w:r>
        <w:rPr>
          <w:rFonts w:hint="eastAsia" w:ascii="方正仿宋_GBK" w:hAnsi="方正仿宋_GBK" w:eastAsia="方正仿宋_GBK" w:cs="方正仿宋_GBK"/>
          <w:sz w:val="32"/>
          <w:szCs w:val="32"/>
        </w:rPr>
        <w:t>）的工作事项，各乡镇政府（街道办事处）及相关部门不得以任何形式要求基层群众性自治组织办理。</w:t>
      </w:r>
    </w:p>
    <w:p w14:paraId="5D419928">
      <w:pPr>
        <w:pStyle w:val="9"/>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四、健全准入报送机制</w:t>
      </w:r>
    </w:p>
    <w:p w14:paraId="5BCC0A95">
      <w:pPr>
        <w:pStyle w:val="9"/>
        <w:widowControl/>
        <w:spacing w:beforeAutospacing="0" w:afterAutospacing="0" w:line="600" w:lineRule="exact"/>
        <w:ind w:firstLine="640" w:firstLineChars="200"/>
        <w:rPr>
          <w:rFonts w:ascii="仿宋" w:hAnsi="仿宋" w:eastAsia="仿宋" w:cs="仿宋"/>
          <w:sz w:val="31"/>
          <w:szCs w:val="31"/>
        </w:rPr>
      </w:pPr>
      <w:r>
        <w:rPr>
          <w:rFonts w:hint="eastAsia" w:ascii="方正仿宋_GBK" w:hAnsi="方正仿宋_GBK" w:eastAsia="方正仿宋_GBK" w:cs="方正仿宋_GBK"/>
          <w:sz w:val="32"/>
          <w:szCs w:val="32"/>
        </w:rPr>
        <w:t>根据有关法律、法规、规章的规定确需新增、调整或取消的工作事项，有关部门和单位应当及时与上级行业指导部门协商并向县民政部门提出申请，县民政局报市民政局审批后实施。未经批准，各乡镇政府（街道办事处）及相关部门不得将自身职责范围内的工作事项转嫁给基层群众性自治组织。</w:t>
      </w:r>
    </w:p>
    <w:p w14:paraId="0D4908A0">
      <w:pPr>
        <w:pStyle w:val="9"/>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五、严格责任落实</w:t>
      </w:r>
    </w:p>
    <w:p w14:paraId="2384DBF3">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县各乡镇政府（街道办事处）和有关单位要提高政治站位，加强组织领导，及时调整工作部署，进一步明确责任主体。凡由职能部门、乡镇政府（街道办事处）自行承担的拟采用购买服务的事项，要明确由谁购买、向谁购买以及购买服务内容、支付方式，用合同约定实施，确保“自治清单”“协助清单”“负面清单”的顺利施行。</w:t>
      </w:r>
    </w:p>
    <w:p w14:paraId="67826802">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“自治清单”“协助清单”“负面清单”自</w:t>
      </w: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7</w:t>
      </w:r>
      <w:r>
        <w:rPr>
          <w:rFonts w:hint="eastAsia" w:ascii="方正仿宋_GBK" w:hAnsi="方正仿宋_GBK" w:eastAsia="方正仿宋_GBK" w:cs="方正仿宋_GBK"/>
          <w:sz w:val="32"/>
          <w:szCs w:val="32"/>
        </w:rPr>
        <w:t>月</w:t>
      </w:r>
      <w:r>
        <w:rPr>
          <w:rFonts w:ascii="Times New Roman" w:hAnsi="Times New Roman" w:eastAsia="方正仿宋_GBK"/>
          <w:sz w:val="32"/>
          <w:szCs w:val="32"/>
        </w:rPr>
        <w:t>1</w:t>
      </w:r>
      <w:r>
        <w:rPr>
          <w:rFonts w:hint="eastAsia" w:ascii="方正仿宋_GBK" w:hAnsi="方正仿宋_GBK" w:eastAsia="方正仿宋_GBK" w:cs="方正仿宋_GBK"/>
          <w:sz w:val="32"/>
          <w:szCs w:val="32"/>
        </w:rPr>
        <w:t>日起施行。</w:t>
      </w:r>
    </w:p>
    <w:p w14:paraId="04462D4E">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p>
    <w:p w14:paraId="509E7B34">
      <w:pPr>
        <w:widowControl/>
        <w:shd w:val="clear" w:color="auto" w:fill="FFFFFF"/>
        <w:spacing w:line="600" w:lineRule="exact"/>
        <w:ind w:firstLine="640" w:firstLineChars="200"/>
        <w:jc w:val="left"/>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附件：</w:t>
      </w:r>
      <w:r>
        <w:rPr>
          <w:rFonts w:hint="eastAsia" w:ascii="Times New Roman" w:hAnsi="Times New Roman" w:eastAsia="方正仿宋_GBK"/>
          <w:kern w:val="0"/>
          <w:sz w:val="32"/>
          <w:szCs w:val="32"/>
        </w:rPr>
        <w:t>1</w:t>
      </w:r>
      <w:r>
        <w:rPr>
          <w:rFonts w:ascii="方正仿宋_GBK" w:hAnsi="方正仿宋_GBK" w:eastAsia="方正仿宋_GBK" w:cs="方正仿宋_GBK"/>
          <w:kern w:val="0"/>
          <w:sz w:val="32"/>
          <w:szCs w:val="32"/>
        </w:rPr>
        <w:t>．基层群众性自治组织依法自治事项清单</w:t>
      </w:r>
    </w:p>
    <w:p w14:paraId="488E7ECE">
      <w:pPr>
        <w:widowControl/>
        <w:shd w:val="clear" w:color="auto" w:fill="FFFFFF"/>
        <w:spacing w:line="600" w:lineRule="exact"/>
        <w:ind w:firstLine="640" w:firstLineChars="200"/>
        <w:jc w:val="left"/>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 xml:space="preserve">    </w:t>
      </w:r>
      <w:r>
        <w:rPr>
          <w:rFonts w:hint="eastAsia" w:ascii="Times New Roman" w:hAnsi="Times New Roman" w:eastAsia="方正仿宋_GBK"/>
          <w:kern w:val="0"/>
          <w:sz w:val="32"/>
          <w:szCs w:val="32"/>
        </w:rPr>
        <w:t>2</w:t>
      </w:r>
      <w:r>
        <w:rPr>
          <w:rFonts w:ascii="方正仿宋_GBK" w:hAnsi="方正仿宋_GBK" w:eastAsia="方正仿宋_GBK" w:cs="方正仿宋_GBK"/>
          <w:kern w:val="0"/>
          <w:sz w:val="32"/>
          <w:szCs w:val="32"/>
        </w:rPr>
        <w:t>．基层群众性自治组织依法协助政府工作事项清单</w:t>
      </w:r>
    </w:p>
    <w:p w14:paraId="6FC10B83">
      <w:pPr>
        <w:widowControl/>
        <w:shd w:val="clear" w:color="auto" w:fill="FFFFFF"/>
        <w:spacing w:line="600" w:lineRule="exact"/>
        <w:ind w:firstLine="640" w:firstLineChars="200"/>
        <w:jc w:val="left"/>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   </w:t>
      </w:r>
      <w:r>
        <w:rPr>
          <w:rFonts w:hint="eastAsia" w:ascii="方正仿宋_GBK" w:hAnsi="方正仿宋_GBK" w:eastAsia="方正仿宋_GBK" w:cs="方正仿宋_GBK"/>
          <w:kern w:val="0"/>
          <w:sz w:val="32"/>
          <w:szCs w:val="32"/>
        </w:rPr>
        <w:t xml:space="preserve"> </w:t>
      </w:r>
      <w:r>
        <w:rPr>
          <w:rFonts w:hint="eastAsia" w:ascii="Times New Roman" w:hAnsi="Times New Roman" w:eastAsia="方正仿宋_GBK"/>
          <w:kern w:val="0"/>
          <w:sz w:val="32"/>
          <w:szCs w:val="32"/>
        </w:rPr>
        <w:t>3</w:t>
      </w:r>
      <w:r>
        <w:rPr>
          <w:rFonts w:ascii="方正仿宋_GBK" w:hAnsi="方正仿宋_GBK" w:eastAsia="方正仿宋_GBK" w:cs="方正仿宋_GBK"/>
          <w:kern w:val="0"/>
          <w:sz w:val="32"/>
          <w:szCs w:val="32"/>
        </w:rPr>
        <w:t>．基层群众性自治组织工作负面事项清单</w:t>
      </w:r>
    </w:p>
    <w:p w14:paraId="218D7896">
      <w:pPr>
        <w:pStyle w:val="9"/>
        <w:widowControl/>
        <w:spacing w:beforeAutospacing="0" w:afterAutospacing="0" w:line="600" w:lineRule="exact"/>
        <w:rPr>
          <w:rFonts w:ascii="仿宋" w:hAnsi="仿宋" w:eastAsia="仿宋" w:cs="仿宋"/>
          <w:sz w:val="31"/>
          <w:szCs w:val="31"/>
        </w:rPr>
      </w:pPr>
    </w:p>
    <w:p w14:paraId="61E5CF5F">
      <w:pPr>
        <w:pStyle w:val="9"/>
        <w:widowControl/>
        <w:spacing w:beforeAutospacing="0" w:afterAutospacing="0" w:line="600" w:lineRule="exact"/>
        <w:ind w:right="640" w:firstLine="42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云阳县人民政府办公室  </w:t>
      </w:r>
    </w:p>
    <w:p w14:paraId="6DC1C582">
      <w:pPr>
        <w:wordWrap w:val="0"/>
        <w:spacing w:line="600" w:lineRule="exact"/>
        <w:ind w:firstLine="4998" w:firstLineChars="1562"/>
        <w:jc w:val="center"/>
        <w:rPr>
          <w:rFonts w:ascii="黑体" w:hAnsi="黑体" w:eastAsia="黑体" w:cs="黑体"/>
          <w:color w:val="333333"/>
          <w:sz w:val="32"/>
          <w:szCs w:val="32"/>
          <w:shd w:val="clear" w:color="auto" w:fill="FFFFFF"/>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6</w:t>
      </w:r>
      <w:r>
        <w:rPr>
          <w:rFonts w:hint="eastAsia" w:ascii="方正仿宋_GBK" w:hAnsi="方正仿宋_GBK" w:eastAsia="方正仿宋_GBK" w:cs="方正仿宋_GBK"/>
          <w:sz w:val="32"/>
          <w:szCs w:val="32"/>
        </w:rPr>
        <w:t>月</w:t>
      </w:r>
      <w:r>
        <w:rPr>
          <w:rFonts w:ascii="Times New Roman" w:hAnsi="Times New Roman" w:eastAsia="方正仿宋_GBK"/>
          <w:sz w:val="32"/>
          <w:szCs w:val="32"/>
        </w:rPr>
        <w:t>18</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14:paraId="2BB962EC">
      <w:pPr>
        <w:pStyle w:val="9"/>
        <w:widowControl/>
        <w:shd w:val="clear" w:color="auto" w:fill="FFFFFF"/>
        <w:spacing w:beforeAutospacing="0" w:afterAutospacing="0"/>
        <w:jc w:val="both"/>
        <w:rPr>
          <w:rFonts w:ascii="方正仿宋_GBK" w:hAnsi="方正仿宋_GBK" w:eastAsia="方正仿宋_GBK" w:cs="方正仿宋_GBK"/>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14:paraId="1EADF7D5">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附件1</w:t>
      </w:r>
    </w:p>
    <w:p w14:paraId="784BAA8C">
      <w:pPr>
        <w:pStyle w:val="9"/>
        <w:widowControl/>
        <w:spacing w:beforeAutospacing="0" w:afterAutospacing="0" w:line="570" w:lineRule="atLeast"/>
        <w:rPr>
          <w:rFonts w:ascii="黑体" w:hAnsi="宋体" w:eastAsia="黑体" w:cs="黑体"/>
          <w:sz w:val="32"/>
          <w:szCs w:val="32"/>
        </w:rPr>
      </w:pPr>
    </w:p>
    <w:p w14:paraId="041FCA5A">
      <w:pPr>
        <w:pStyle w:val="9"/>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基层群众性自治组织依法自治事项清单</w:t>
      </w:r>
    </w:p>
    <w:p w14:paraId="43595140">
      <w:pPr>
        <w:pStyle w:val="9"/>
        <w:widowControl/>
        <w:spacing w:beforeAutospacing="0" w:afterAutospacing="0" w:line="690" w:lineRule="atLeast"/>
        <w:jc w:val="center"/>
        <w:rPr>
          <w:rFonts w:ascii="黑体" w:hAnsi="黑体" w:eastAsia="黑体" w:cs="方正小标宋_GBK"/>
          <w:sz w:val="44"/>
          <w:szCs w:val="44"/>
        </w:rPr>
      </w:pPr>
    </w:p>
    <w:tbl>
      <w:tblPr>
        <w:tblStyle w:val="10"/>
        <w:tblW w:w="5000" w:type="pct"/>
        <w:jc w:val="center"/>
        <w:tblCellSpacing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15" w:type="dxa"/>
          <w:left w:w="15" w:type="dxa"/>
          <w:bottom w:w="15" w:type="dxa"/>
          <w:right w:w="15" w:type="dxa"/>
        </w:tblCellMar>
      </w:tblPr>
      <w:tblGrid>
        <w:gridCol w:w="1452"/>
        <w:gridCol w:w="5084"/>
        <w:gridCol w:w="5801"/>
        <w:gridCol w:w="741"/>
      </w:tblGrid>
      <w:tr w14:paraId="6A898C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Header/>
          <w:tblCellSpacing w:w="0" w:type="dxa"/>
          <w:jc w:val="center"/>
        </w:trPr>
        <w:tc>
          <w:tcPr>
            <w:tcW w:w="555" w:type="pct"/>
            <w:shd w:val="clear" w:color="auto" w:fill="auto"/>
            <w:vAlign w:val="center"/>
          </w:tcPr>
          <w:p w14:paraId="3899FA59">
            <w:pPr>
              <w:pStyle w:val="9"/>
              <w:widowControl/>
              <w:spacing w:beforeAutospacing="0" w:afterAutospacing="0"/>
              <w:jc w:val="center"/>
              <w:rPr>
                <w:rFonts w:ascii="仿宋" w:hAnsi="仿宋" w:eastAsia="仿宋" w:cs="仿宋"/>
                <w:sz w:val="18"/>
                <w:szCs w:val="18"/>
              </w:rPr>
            </w:pPr>
            <w:r>
              <w:rPr>
                <w:rFonts w:hint="eastAsia" w:ascii="仿宋" w:hAnsi="仿宋" w:eastAsia="仿宋" w:cs="仿宋"/>
                <w:b/>
                <w:bCs/>
                <w:sz w:val="18"/>
                <w:szCs w:val="18"/>
              </w:rPr>
              <w:t>序号</w:t>
            </w:r>
          </w:p>
        </w:tc>
        <w:tc>
          <w:tcPr>
            <w:tcW w:w="1943" w:type="pct"/>
            <w:shd w:val="clear" w:color="auto" w:fill="auto"/>
            <w:vAlign w:val="center"/>
          </w:tcPr>
          <w:p w14:paraId="6E8B9AEE">
            <w:pPr>
              <w:pStyle w:val="9"/>
              <w:widowControl/>
              <w:spacing w:beforeAutospacing="0" w:afterAutospacing="0"/>
              <w:jc w:val="center"/>
              <w:rPr>
                <w:rFonts w:ascii="仿宋" w:hAnsi="仿宋" w:eastAsia="仿宋" w:cs="仿宋"/>
                <w:sz w:val="18"/>
                <w:szCs w:val="18"/>
              </w:rPr>
            </w:pPr>
            <w:r>
              <w:rPr>
                <w:rFonts w:hint="eastAsia" w:ascii="仿宋" w:hAnsi="仿宋" w:eastAsia="仿宋" w:cs="仿宋"/>
                <w:b/>
                <w:bCs/>
                <w:sz w:val="18"/>
                <w:szCs w:val="18"/>
              </w:rPr>
              <w:t>自治事项</w:t>
            </w:r>
          </w:p>
        </w:tc>
        <w:tc>
          <w:tcPr>
            <w:tcW w:w="2217" w:type="pct"/>
            <w:shd w:val="clear" w:color="auto" w:fill="auto"/>
            <w:vAlign w:val="center"/>
          </w:tcPr>
          <w:p w14:paraId="4A5676A1">
            <w:pPr>
              <w:pStyle w:val="9"/>
              <w:widowControl/>
              <w:spacing w:beforeAutospacing="0" w:afterAutospacing="0"/>
              <w:jc w:val="center"/>
              <w:rPr>
                <w:rFonts w:ascii="仿宋" w:hAnsi="仿宋" w:eastAsia="仿宋" w:cs="仿宋"/>
                <w:sz w:val="18"/>
                <w:szCs w:val="18"/>
              </w:rPr>
            </w:pPr>
            <w:r>
              <w:rPr>
                <w:rFonts w:hint="eastAsia" w:ascii="仿宋" w:hAnsi="仿宋" w:eastAsia="仿宋" w:cs="仿宋"/>
                <w:b/>
                <w:bCs/>
                <w:sz w:val="18"/>
                <w:szCs w:val="18"/>
              </w:rPr>
              <w:t>法律法规依据</w:t>
            </w:r>
          </w:p>
        </w:tc>
        <w:tc>
          <w:tcPr>
            <w:tcW w:w="283" w:type="pct"/>
            <w:shd w:val="clear" w:color="auto" w:fill="auto"/>
            <w:vAlign w:val="center"/>
          </w:tcPr>
          <w:p w14:paraId="19DE9AD1">
            <w:pPr>
              <w:pStyle w:val="9"/>
              <w:widowControl/>
              <w:spacing w:beforeAutospacing="0" w:afterAutospacing="0"/>
              <w:jc w:val="center"/>
              <w:rPr>
                <w:rFonts w:ascii="仿宋" w:hAnsi="仿宋" w:eastAsia="仿宋" w:cs="仿宋"/>
                <w:sz w:val="18"/>
                <w:szCs w:val="18"/>
              </w:rPr>
            </w:pPr>
            <w:r>
              <w:rPr>
                <w:rFonts w:hint="eastAsia" w:ascii="仿宋" w:hAnsi="仿宋" w:eastAsia="仿宋" w:cs="仿宋"/>
                <w:b/>
                <w:bCs/>
                <w:sz w:val="18"/>
                <w:szCs w:val="18"/>
              </w:rPr>
              <w:t>备注</w:t>
            </w:r>
          </w:p>
        </w:tc>
      </w:tr>
      <w:tr w14:paraId="685CC0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6DAD49C5">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1</w:t>
            </w:r>
          </w:p>
        </w:tc>
        <w:tc>
          <w:tcPr>
            <w:tcW w:w="1943" w:type="pct"/>
            <w:shd w:val="clear" w:color="auto" w:fill="auto"/>
            <w:vAlign w:val="center"/>
          </w:tcPr>
          <w:p w14:paraId="641A81C1">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村民委员会应当支持和组织村民依法发展各种形式的合作经济和其他经济，承担本村生产的服务和协调工作，促进农村生产建设和经济发展。组织编制、实施本村经济和社会发展规划以及年度计划。</w:t>
            </w:r>
          </w:p>
        </w:tc>
        <w:tc>
          <w:tcPr>
            <w:tcW w:w="2217" w:type="pct"/>
            <w:shd w:val="clear" w:color="auto" w:fill="auto"/>
            <w:vAlign w:val="center"/>
          </w:tcPr>
          <w:p w14:paraId="46D273E6">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《中华人民共和国村民委员会组织法》第八条《重庆市实施&lt;中华人民共和国村民委员会组织法&gt;办法》第十六条</w:t>
            </w:r>
          </w:p>
        </w:tc>
        <w:tc>
          <w:tcPr>
            <w:tcW w:w="283" w:type="pct"/>
            <w:shd w:val="clear" w:color="auto" w:fill="auto"/>
            <w:vAlign w:val="center"/>
          </w:tcPr>
          <w:p w14:paraId="28A06EF9">
            <w:pPr>
              <w:pStyle w:val="9"/>
              <w:widowControl/>
              <w:spacing w:beforeAutospacing="0" w:afterAutospacing="0"/>
              <w:jc w:val="center"/>
              <w:rPr>
                <w:rFonts w:ascii="仿宋" w:hAnsi="仿宋" w:eastAsia="仿宋" w:cs="仿宋"/>
                <w:sz w:val="18"/>
                <w:szCs w:val="18"/>
              </w:rPr>
            </w:pPr>
          </w:p>
        </w:tc>
      </w:tr>
      <w:tr w14:paraId="7D05B5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6CB966F6">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2</w:t>
            </w:r>
          </w:p>
        </w:tc>
        <w:tc>
          <w:tcPr>
            <w:tcW w:w="1943" w:type="pct"/>
            <w:shd w:val="clear" w:color="auto" w:fill="auto"/>
            <w:vAlign w:val="center"/>
          </w:tcPr>
          <w:p w14:paraId="6DA0C135">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村民委员会应当组织维护村容村貌和公共卫生，改善居住环境。</w:t>
            </w:r>
          </w:p>
        </w:tc>
        <w:tc>
          <w:tcPr>
            <w:tcW w:w="2217" w:type="pct"/>
            <w:shd w:val="clear" w:color="auto" w:fill="auto"/>
            <w:vAlign w:val="center"/>
          </w:tcPr>
          <w:p w14:paraId="2B2EB5F4">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《重庆市实施&lt;中华人民共和国村民委员会组织法&gt;办法》第十六条</w:t>
            </w:r>
          </w:p>
        </w:tc>
        <w:tc>
          <w:tcPr>
            <w:tcW w:w="283" w:type="pct"/>
            <w:shd w:val="clear" w:color="auto" w:fill="auto"/>
            <w:vAlign w:val="center"/>
          </w:tcPr>
          <w:p w14:paraId="73550889">
            <w:pPr>
              <w:pStyle w:val="9"/>
              <w:widowControl/>
              <w:spacing w:beforeAutospacing="0" w:afterAutospacing="0"/>
              <w:jc w:val="center"/>
              <w:rPr>
                <w:rFonts w:ascii="仿宋" w:hAnsi="仿宋" w:eastAsia="仿宋" w:cs="仿宋"/>
                <w:sz w:val="18"/>
                <w:szCs w:val="18"/>
              </w:rPr>
            </w:pPr>
          </w:p>
        </w:tc>
      </w:tr>
      <w:tr w14:paraId="20CE57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3793FE73">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3</w:t>
            </w:r>
          </w:p>
        </w:tc>
        <w:tc>
          <w:tcPr>
            <w:tcW w:w="1943" w:type="pct"/>
            <w:shd w:val="clear" w:color="auto" w:fill="auto"/>
            <w:vAlign w:val="center"/>
          </w:tcPr>
          <w:p w14:paraId="10806463">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村民委员会应当依法管理本村属于村农民集体所有的土地、河滩、水面、林木、水利设施和其他财产，引导村民合理利用自然资源，保护和改善生态环境。</w:t>
            </w:r>
          </w:p>
        </w:tc>
        <w:tc>
          <w:tcPr>
            <w:tcW w:w="2217" w:type="pct"/>
            <w:shd w:val="clear" w:color="auto" w:fill="auto"/>
            <w:vAlign w:val="center"/>
          </w:tcPr>
          <w:p w14:paraId="6DA26CB8">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《中华人民共和国村民委员会组织法》第八条《重庆市实施&lt;中华人民共和国村民委员会组织法&gt;办法》第十六条</w:t>
            </w:r>
          </w:p>
        </w:tc>
        <w:tc>
          <w:tcPr>
            <w:tcW w:w="283" w:type="pct"/>
            <w:shd w:val="clear" w:color="auto" w:fill="auto"/>
            <w:vAlign w:val="center"/>
          </w:tcPr>
          <w:p w14:paraId="60DB9E7F">
            <w:pPr>
              <w:pStyle w:val="9"/>
              <w:widowControl/>
              <w:spacing w:beforeAutospacing="0" w:afterAutospacing="0"/>
              <w:jc w:val="center"/>
              <w:rPr>
                <w:rFonts w:ascii="仿宋" w:hAnsi="仿宋" w:eastAsia="仿宋" w:cs="仿宋"/>
                <w:sz w:val="18"/>
                <w:szCs w:val="18"/>
              </w:rPr>
            </w:pPr>
          </w:p>
        </w:tc>
      </w:tr>
      <w:tr w14:paraId="7DA885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07B7CF1C">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4</w:t>
            </w:r>
          </w:p>
        </w:tc>
        <w:tc>
          <w:tcPr>
            <w:tcW w:w="1943" w:type="pct"/>
            <w:shd w:val="clear" w:color="auto" w:fill="auto"/>
            <w:vAlign w:val="center"/>
          </w:tcPr>
          <w:p w14:paraId="73803744">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tc>
        <w:tc>
          <w:tcPr>
            <w:tcW w:w="2217" w:type="pct"/>
            <w:shd w:val="clear" w:color="auto" w:fill="auto"/>
            <w:vAlign w:val="center"/>
          </w:tcPr>
          <w:p w14:paraId="1F71028B">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《中华人民共和国村民委员会组织法》第八条《重庆市实施&lt;中华人民共和国村民委员会组织法&gt;办法》第十六条</w:t>
            </w:r>
          </w:p>
        </w:tc>
        <w:tc>
          <w:tcPr>
            <w:tcW w:w="283" w:type="pct"/>
            <w:shd w:val="clear" w:color="auto" w:fill="auto"/>
            <w:vAlign w:val="center"/>
          </w:tcPr>
          <w:p w14:paraId="78643CFA">
            <w:pPr>
              <w:pStyle w:val="9"/>
              <w:widowControl/>
              <w:spacing w:beforeAutospacing="0" w:afterAutospacing="0"/>
              <w:jc w:val="center"/>
              <w:rPr>
                <w:rFonts w:ascii="仿宋" w:hAnsi="仿宋" w:eastAsia="仿宋" w:cs="仿宋"/>
                <w:sz w:val="18"/>
                <w:szCs w:val="18"/>
              </w:rPr>
            </w:pPr>
          </w:p>
        </w:tc>
      </w:tr>
      <w:tr w14:paraId="06F693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74B76301">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5</w:t>
            </w:r>
          </w:p>
        </w:tc>
        <w:tc>
          <w:tcPr>
            <w:tcW w:w="1943" w:type="pct"/>
            <w:shd w:val="clear" w:color="auto" w:fill="auto"/>
            <w:vAlign w:val="center"/>
          </w:tcPr>
          <w:p w14:paraId="3B7EA24B">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村民委员会应当支持服务性、公益性、互助性社会组织依法开展活动，推动农村社区建设。</w:t>
            </w:r>
          </w:p>
        </w:tc>
        <w:tc>
          <w:tcPr>
            <w:tcW w:w="2217" w:type="pct"/>
            <w:shd w:val="clear" w:color="auto" w:fill="auto"/>
            <w:vAlign w:val="center"/>
          </w:tcPr>
          <w:p w14:paraId="107A7635">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《中华人民共和国村民委员会组织法》第九条《重庆市实施&lt;中华人民共和国村民委员会组织法&gt;办法》第十六条</w:t>
            </w:r>
          </w:p>
        </w:tc>
        <w:tc>
          <w:tcPr>
            <w:tcW w:w="283" w:type="pct"/>
            <w:shd w:val="clear" w:color="auto" w:fill="auto"/>
            <w:vAlign w:val="center"/>
          </w:tcPr>
          <w:p w14:paraId="7A83B743">
            <w:pPr>
              <w:pStyle w:val="9"/>
              <w:widowControl/>
              <w:spacing w:beforeAutospacing="0" w:afterAutospacing="0"/>
              <w:jc w:val="center"/>
              <w:rPr>
                <w:rFonts w:ascii="仿宋" w:hAnsi="仿宋" w:eastAsia="仿宋" w:cs="仿宋"/>
                <w:sz w:val="18"/>
                <w:szCs w:val="18"/>
              </w:rPr>
            </w:pPr>
          </w:p>
        </w:tc>
      </w:tr>
      <w:tr w14:paraId="5449D3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12B64073">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6</w:t>
            </w:r>
          </w:p>
        </w:tc>
        <w:tc>
          <w:tcPr>
            <w:tcW w:w="1943" w:type="pct"/>
            <w:shd w:val="clear" w:color="auto" w:fill="auto"/>
            <w:vAlign w:val="center"/>
          </w:tcPr>
          <w:p w14:paraId="20F32C22">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居民委员会应当开展便民利民的社区服务活动，可以兴办有关的服务事业。居民委员会管理本居民委员会的财产，任何部门和单位不得侵犯居民委员会的财产所有权。</w:t>
            </w:r>
          </w:p>
        </w:tc>
        <w:tc>
          <w:tcPr>
            <w:tcW w:w="2217" w:type="pct"/>
            <w:shd w:val="clear" w:color="auto" w:fill="auto"/>
            <w:vAlign w:val="center"/>
          </w:tcPr>
          <w:p w14:paraId="250D93AE">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《中华人民共和国城市居民委员会组织法》第四条</w:t>
            </w:r>
          </w:p>
        </w:tc>
        <w:tc>
          <w:tcPr>
            <w:tcW w:w="283" w:type="pct"/>
            <w:shd w:val="clear" w:color="auto" w:fill="auto"/>
            <w:vAlign w:val="center"/>
          </w:tcPr>
          <w:p w14:paraId="597AAFEB">
            <w:pPr>
              <w:pStyle w:val="9"/>
              <w:widowControl/>
              <w:spacing w:beforeAutospacing="0" w:afterAutospacing="0"/>
              <w:jc w:val="center"/>
              <w:rPr>
                <w:rFonts w:ascii="仿宋" w:hAnsi="仿宋" w:eastAsia="仿宋" w:cs="仿宋"/>
                <w:sz w:val="18"/>
                <w:szCs w:val="18"/>
              </w:rPr>
            </w:pPr>
          </w:p>
        </w:tc>
      </w:tr>
      <w:tr w14:paraId="0A9EEA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4C9A3B1A">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7</w:t>
            </w:r>
          </w:p>
        </w:tc>
        <w:tc>
          <w:tcPr>
            <w:tcW w:w="1943" w:type="pct"/>
            <w:shd w:val="clear" w:color="auto" w:fill="auto"/>
            <w:vAlign w:val="center"/>
          </w:tcPr>
          <w:p w14:paraId="3584FD2D">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村（居）民委员会应当召集村（居）民会议和村（居）民代表会议，并报告工作。执行村（居）民会议和村（居）民代表会议的决定、决议。</w:t>
            </w:r>
          </w:p>
        </w:tc>
        <w:tc>
          <w:tcPr>
            <w:tcW w:w="2217" w:type="pct"/>
            <w:shd w:val="clear" w:color="auto" w:fill="auto"/>
            <w:vAlign w:val="center"/>
          </w:tcPr>
          <w:p w14:paraId="0384E2AB">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《中华人民共和国村民委员会组织法》第二十一条、第二十三条、第二十六条《中华人民共和国城市居民委员会组织法》第十条《重庆市实施&lt;中华人民共和国村民委员会组织法&gt;办法》第十六条</w:t>
            </w:r>
          </w:p>
        </w:tc>
        <w:tc>
          <w:tcPr>
            <w:tcW w:w="283" w:type="pct"/>
            <w:shd w:val="clear" w:color="auto" w:fill="auto"/>
            <w:vAlign w:val="center"/>
          </w:tcPr>
          <w:p w14:paraId="40CB90AA">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48151B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120882C0">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8</w:t>
            </w:r>
          </w:p>
        </w:tc>
        <w:tc>
          <w:tcPr>
            <w:tcW w:w="1943" w:type="pct"/>
            <w:shd w:val="clear" w:color="auto" w:fill="auto"/>
            <w:vAlign w:val="center"/>
          </w:tcPr>
          <w:p w14:paraId="707A42F4">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村（居）民委员会应当召开村（居）民会议制定和修改村民自治章程、村规民约和居民公约。遵守并组织实施村民自治章程、村规民约和居民公约。</w:t>
            </w:r>
          </w:p>
        </w:tc>
        <w:tc>
          <w:tcPr>
            <w:tcW w:w="2217" w:type="pct"/>
            <w:shd w:val="clear" w:color="auto" w:fill="auto"/>
            <w:vAlign w:val="center"/>
          </w:tcPr>
          <w:p w14:paraId="3C456A35">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《中华人民共和国村民委员会组织法》第二十七条《中华人民共和国城市居民委员会组织法》第十五条《重庆市实施&lt;中华人民共和国村民委员会组织法&gt;办法》第八条</w:t>
            </w:r>
          </w:p>
        </w:tc>
        <w:tc>
          <w:tcPr>
            <w:tcW w:w="283" w:type="pct"/>
            <w:shd w:val="clear" w:color="auto" w:fill="auto"/>
            <w:vAlign w:val="center"/>
          </w:tcPr>
          <w:p w14:paraId="7316586B">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25CBF5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4051DFE9">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9</w:t>
            </w:r>
          </w:p>
        </w:tc>
        <w:tc>
          <w:tcPr>
            <w:tcW w:w="1943" w:type="pct"/>
            <w:shd w:val="clear" w:color="auto" w:fill="auto"/>
            <w:vAlign w:val="center"/>
          </w:tcPr>
          <w:p w14:paraId="49CD5436">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村（居）民委员会应当办理本村（社区）的公共事务和公益事业。</w:t>
            </w:r>
          </w:p>
        </w:tc>
        <w:tc>
          <w:tcPr>
            <w:tcW w:w="2217" w:type="pct"/>
            <w:shd w:val="clear" w:color="auto" w:fill="auto"/>
            <w:vAlign w:val="center"/>
          </w:tcPr>
          <w:p w14:paraId="78EB6FEC">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《中华人民共和国村民委员会组织法》第二条《中华人民共和国城市居民委员会组织法》第三条《重庆市实施&lt;中华人民共和国村民委员会组织法&gt;办法》第十六条</w:t>
            </w:r>
          </w:p>
        </w:tc>
        <w:tc>
          <w:tcPr>
            <w:tcW w:w="283" w:type="pct"/>
            <w:shd w:val="clear" w:color="auto" w:fill="auto"/>
            <w:vAlign w:val="center"/>
          </w:tcPr>
          <w:p w14:paraId="0E9AB6EF">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3F19B5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3F91EB0E">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10</w:t>
            </w:r>
          </w:p>
        </w:tc>
        <w:tc>
          <w:tcPr>
            <w:tcW w:w="1943" w:type="pct"/>
            <w:shd w:val="clear" w:color="auto" w:fill="auto"/>
            <w:vAlign w:val="center"/>
          </w:tcPr>
          <w:p w14:paraId="0392FFCA">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村（居）民委员会应当依法设立人民调解委员会，调解民间纠纷。</w:t>
            </w:r>
          </w:p>
        </w:tc>
        <w:tc>
          <w:tcPr>
            <w:tcW w:w="2217" w:type="pct"/>
            <w:shd w:val="clear" w:color="auto" w:fill="auto"/>
            <w:vAlign w:val="center"/>
          </w:tcPr>
          <w:p w14:paraId="31A3D383">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《中华人民共和国村民委员会组织法》第二条《中华人民共和国城市居民委员会组织法》第三条《重庆市实施&lt;中华人民共和国村民委员会组织法&gt;办法》第十六条</w:t>
            </w:r>
          </w:p>
        </w:tc>
        <w:tc>
          <w:tcPr>
            <w:tcW w:w="283" w:type="pct"/>
            <w:shd w:val="clear" w:color="auto" w:fill="auto"/>
            <w:vAlign w:val="center"/>
          </w:tcPr>
          <w:p w14:paraId="6CE6994B">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17B239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7C0C3A2D">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11</w:t>
            </w:r>
          </w:p>
        </w:tc>
        <w:tc>
          <w:tcPr>
            <w:tcW w:w="1943" w:type="pct"/>
            <w:shd w:val="clear" w:color="auto" w:fill="auto"/>
            <w:vAlign w:val="center"/>
          </w:tcPr>
          <w:p w14:paraId="684A099C">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村（居）民委员会应当向人民政府反映村（居）民的意见、要求和提出建议。</w:t>
            </w:r>
          </w:p>
        </w:tc>
        <w:tc>
          <w:tcPr>
            <w:tcW w:w="2217" w:type="pct"/>
            <w:shd w:val="clear" w:color="auto" w:fill="auto"/>
            <w:vAlign w:val="center"/>
          </w:tcPr>
          <w:p w14:paraId="6ADA5197">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《中华人民共和国村民委员会组织法》第二条《中华人民共和国城市居民委员会组织法》第三条《重庆市实施&lt;中华人民共和国村民委员会组织法&gt;办法》第十六条</w:t>
            </w:r>
          </w:p>
        </w:tc>
        <w:tc>
          <w:tcPr>
            <w:tcW w:w="283" w:type="pct"/>
            <w:shd w:val="clear" w:color="auto" w:fill="auto"/>
            <w:vAlign w:val="center"/>
          </w:tcPr>
          <w:p w14:paraId="6C163290">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5F6D01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25459615">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12</w:t>
            </w:r>
          </w:p>
        </w:tc>
        <w:tc>
          <w:tcPr>
            <w:tcW w:w="1943" w:type="pct"/>
            <w:shd w:val="clear" w:color="auto" w:fill="auto"/>
            <w:vAlign w:val="center"/>
          </w:tcPr>
          <w:p w14:paraId="5EAC4361">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村（居）民委员会应当宣传宪法、法律、法规和国家的政策，教育和推动村（居）民履行法律规定的义务。</w:t>
            </w:r>
          </w:p>
        </w:tc>
        <w:tc>
          <w:tcPr>
            <w:tcW w:w="2217" w:type="pct"/>
            <w:shd w:val="clear" w:color="auto" w:fill="auto"/>
            <w:vAlign w:val="center"/>
          </w:tcPr>
          <w:p w14:paraId="3FE70AE9">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《中华人民共和国村民委员会组织法》第九条《中华人民共和国城市居民委员会组织法》第三条《重庆市实施&lt;中华人民共和国村民委员会组织法&gt;办法》第十六条《重庆市查禁卖淫嫖娼条例》第四条</w:t>
            </w:r>
          </w:p>
        </w:tc>
        <w:tc>
          <w:tcPr>
            <w:tcW w:w="283" w:type="pct"/>
            <w:shd w:val="clear" w:color="auto" w:fill="auto"/>
            <w:vAlign w:val="center"/>
          </w:tcPr>
          <w:p w14:paraId="7E468A58">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437B23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5BF555DB">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13</w:t>
            </w:r>
          </w:p>
        </w:tc>
        <w:tc>
          <w:tcPr>
            <w:tcW w:w="1943" w:type="pct"/>
            <w:shd w:val="clear" w:color="auto" w:fill="auto"/>
            <w:vAlign w:val="center"/>
          </w:tcPr>
          <w:p w14:paraId="3C952318">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村（居）民委员会应当发展文化教育，普及科技知识，开展多种形式的社会主义精神文明建设活动。</w:t>
            </w:r>
          </w:p>
        </w:tc>
        <w:tc>
          <w:tcPr>
            <w:tcW w:w="2217" w:type="pct"/>
            <w:shd w:val="clear" w:color="auto" w:fill="auto"/>
            <w:vAlign w:val="center"/>
          </w:tcPr>
          <w:p w14:paraId="6D9B7903">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《中华人民共和国村民委员会组织法》第九条《中华人民共和国城市居民委员会组织法》第三条《重庆市实施&lt;中华人民共和国村民委员会组织法&gt;办法》第十六条</w:t>
            </w:r>
          </w:p>
        </w:tc>
        <w:tc>
          <w:tcPr>
            <w:tcW w:w="283" w:type="pct"/>
            <w:shd w:val="clear" w:color="auto" w:fill="auto"/>
            <w:vAlign w:val="center"/>
          </w:tcPr>
          <w:p w14:paraId="3079D1AD">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54F718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290D3F71">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14</w:t>
            </w:r>
          </w:p>
        </w:tc>
        <w:tc>
          <w:tcPr>
            <w:tcW w:w="1943" w:type="pct"/>
            <w:shd w:val="clear" w:color="auto" w:fill="auto"/>
            <w:vAlign w:val="center"/>
          </w:tcPr>
          <w:p w14:paraId="71D9B4F0">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村（居）民委员会应当实行人口和计划生育工作责任制，通过村民和居民自治规范，依法做好人口和计划生育工作。</w:t>
            </w:r>
          </w:p>
        </w:tc>
        <w:tc>
          <w:tcPr>
            <w:tcW w:w="2217" w:type="pct"/>
            <w:shd w:val="clear" w:color="auto" w:fill="auto"/>
            <w:vAlign w:val="center"/>
          </w:tcPr>
          <w:p w14:paraId="6A3170B8">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《中华人民共和国村民委员会组织法》第九条《中华人民共和国城市居民委员会组织法》第三条《重庆市实施&lt;中华人民共和国村民委员会组织法&gt;办法》第十六条《重庆市人口与计划生育条例》第十四条</w:t>
            </w:r>
          </w:p>
        </w:tc>
        <w:tc>
          <w:tcPr>
            <w:tcW w:w="283" w:type="pct"/>
            <w:shd w:val="clear" w:color="auto" w:fill="auto"/>
            <w:vAlign w:val="center"/>
          </w:tcPr>
          <w:p w14:paraId="6A90774C">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7E51D1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3CF1F7C4">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15</w:t>
            </w:r>
          </w:p>
        </w:tc>
        <w:tc>
          <w:tcPr>
            <w:tcW w:w="1943" w:type="pct"/>
            <w:shd w:val="clear" w:color="auto" w:fill="auto"/>
            <w:vAlign w:val="center"/>
          </w:tcPr>
          <w:p w14:paraId="54B1E99E">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村（居）民委员会应当促进男女平等，保障妇女的合法权益。</w:t>
            </w:r>
          </w:p>
        </w:tc>
        <w:tc>
          <w:tcPr>
            <w:tcW w:w="2217" w:type="pct"/>
            <w:shd w:val="clear" w:color="auto" w:fill="auto"/>
            <w:vAlign w:val="center"/>
          </w:tcPr>
          <w:p w14:paraId="54320451">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九条《中华人民共和国城市居民委员会组织法》第三条《重庆市实施&lt;中华人民共和国村民委员会组织法&gt;办法》第十六条《中华人民共和国妇女权益保障法》第四条、第十一条</w:t>
            </w:r>
          </w:p>
        </w:tc>
        <w:tc>
          <w:tcPr>
            <w:tcW w:w="283" w:type="pct"/>
            <w:shd w:val="clear" w:color="auto" w:fill="auto"/>
            <w:vAlign w:val="center"/>
          </w:tcPr>
          <w:p w14:paraId="37B98543">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173C19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391ECC59">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16</w:t>
            </w:r>
          </w:p>
        </w:tc>
        <w:tc>
          <w:tcPr>
            <w:tcW w:w="1943" w:type="pct"/>
            <w:shd w:val="clear" w:color="auto" w:fill="auto"/>
            <w:vAlign w:val="center"/>
          </w:tcPr>
          <w:p w14:paraId="3110FB10">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村（居）民委员会及其成员应当遵守宪法、法律、法规和国家的政策，办事公道，廉洁奉公，热心为村（居）民服务，接受村（居）民监督。</w:t>
            </w:r>
          </w:p>
        </w:tc>
        <w:tc>
          <w:tcPr>
            <w:tcW w:w="2217" w:type="pct"/>
            <w:shd w:val="clear" w:color="auto" w:fill="auto"/>
            <w:vAlign w:val="center"/>
          </w:tcPr>
          <w:p w14:paraId="55105294">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《中华人民共和国村民委员会组织法》第十条《中华人民共和国城市居民委员会组织法》第十二条</w:t>
            </w:r>
          </w:p>
        </w:tc>
        <w:tc>
          <w:tcPr>
            <w:tcW w:w="283" w:type="pct"/>
            <w:shd w:val="clear" w:color="auto" w:fill="auto"/>
            <w:vAlign w:val="center"/>
          </w:tcPr>
          <w:p w14:paraId="0FCF81B9">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351EA7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652C4E1D">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17</w:t>
            </w:r>
          </w:p>
        </w:tc>
        <w:tc>
          <w:tcPr>
            <w:tcW w:w="1943" w:type="pct"/>
            <w:shd w:val="clear" w:color="auto" w:fill="auto"/>
            <w:vAlign w:val="center"/>
          </w:tcPr>
          <w:p w14:paraId="54D8385F">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村（居）民委员会应当实行村（居）务公开制度。</w:t>
            </w:r>
          </w:p>
        </w:tc>
        <w:tc>
          <w:tcPr>
            <w:tcW w:w="2217" w:type="pct"/>
            <w:shd w:val="clear" w:color="auto" w:fill="auto"/>
            <w:vAlign w:val="center"/>
          </w:tcPr>
          <w:p w14:paraId="44370C74">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《中华人民共和国村民委员会组织法》第三十条《中华人民共和国城市居民委员会组织法》第十六条《重庆市实施&lt;中华人民共和国村民委员会组织法&gt;办法》第二十八条、第三十二条</w:t>
            </w:r>
          </w:p>
        </w:tc>
        <w:tc>
          <w:tcPr>
            <w:tcW w:w="283" w:type="pct"/>
            <w:shd w:val="clear" w:color="auto" w:fill="auto"/>
            <w:vAlign w:val="center"/>
          </w:tcPr>
          <w:p w14:paraId="5BA511E1">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43895A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5D7D7DC6">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18</w:t>
            </w:r>
          </w:p>
        </w:tc>
        <w:tc>
          <w:tcPr>
            <w:tcW w:w="1943" w:type="pct"/>
            <w:shd w:val="clear" w:color="auto" w:fill="auto"/>
            <w:vAlign w:val="center"/>
          </w:tcPr>
          <w:p w14:paraId="59BED12E">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村（居）民委员会应当教育和引导各民族村（居）民增进团结、互相尊重、互相帮助。</w:t>
            </w:r>
          </w:p>
        </w:tc>
        <w:tc>
          <w:tcPr>
            <w:tcW w:w="2217" w:type="pct"/>
            <w:shd w:val="clear" w:color="auto" w:fill="auto"/>
            <w:vAlign w:val="center"/>
          </w:tcPr>
          <w:p w14:paraId="396E7D34">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《中华人民共和国村民委员会组织法》第九条《中华人民共和国城市居民委员会组织法》第五条《重庆市实施&lt;中华人民共和国村民委员会组织法&gt;办法》第十六条</w:t>
            </w:r>
          </w:p>
        </w:tc>
        <w:tc>
          <w:tcPr>
            <w:tcW w:w="283" w:type="pct"/>
            <w:shd w:val="clear" w:color="auto" w:fill="auto"/>
            <w:vAlign w:val="center"/>
          </w:tcPr>
          <w:p w14:paraId="72887A65">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018658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0E98E148">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19</w:t>
            </w:r>
          </w:p>
        </w:tc>
        <w:tc>
          <w:tcPr>
            <w:tcW w:w="1943" w:type="pct"/>
            <w:shd w:val="clear" w:color="auto" w:fill="auto"/>
            <w:vAlign w:val="center"/>
          </w:tcPr>
          <w:p w14:paraId="43C586ED">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村（居）民委员会应当做好预警信号和灾害防御知识宣传工作。有条件的地方可以设立兼职气象信息员，负责宣传和传播预警信号工作。</w:t>
            </w:r>
          </w:p>
        </w:tc>
        <w:tc>
          <w:tcPr>
            <w:tcW w:w="2217" w:type="pct"/>
            <w:shd w:val="clear" w:color="auto" w:fill="auto"/>
            <w:vAlign w:val="center"/>
          </w:tcPr>
          <w:p w14:paraId="1AA676AA">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《重庆市气象灾害预警信号发布与传播办法》第十五条第三款</w:t>
            </w:r>
          </w:p>
        </w:tc>
        <w:tc>
          <w:tcPr>
            <w:tcW w:w="283" w:type="pct"/>
            <w:shd w:val="clear" w:color="auto" w:fill="auto"/>
            <w:vAlign w:val="center"/>
          </w:tcPr>
          <w:p w14:paraId="50007728">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796B8A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4A2A808D">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20</w:t>
            </w:r>
          </w:p>
        </w:tc>
        <w:tc>
          <w:tcPr>
            <w:tcW w:w="1943" w:type="pct"/>
            <w:shd w:val="clear" w:color="auto" w:fill="auto"/>
            <w:vAlign w:val="center"/>
          </w:tcPr>
          <w:p w14:paraId="6A0C9E13">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村（居）民委员会应当健全消防安全制度，开展防火安全检查，开展群众性消防工作。</w:t>
            </w:r>
          </w:p>
        </w:tc>
        <w:tc>
          <w:tcPr>
            <w:tcW w:w="2217" w:type="pct"/>
            <w:shd w:val="clear" w:color="auto" w:fill="auto"/>
            <w:vAlign w:val="center"/>
          </w:tcPr>
          <w:p w14:paraId="5CF29C3D">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《中华人民共和国消防法》第三十二条、第四十一条《重庆市消防安全责任制实施办法》第十四条</w:t>
            </w:r>
          </w:p>
        </w:tc>
        <w:tc>
          <w:tcPr>
            <w:tcW w:w="283" w:type="pct"/>
            <w:shd w:val="clear" w:color="auto" w:fill="auto"/>
            <w:vAlign w:val="center"/>
          </w:tcPr>
          <w:p w14:paraId="13DF4FDE">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07D516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7C55A86A">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21</w:t>
            </w:r>
          </w:p>
        </w:tc>
        <w:tc>
          <w:tcPr>
            <w:tcW w:w="1943" w:type="pct"/>
            <w:shd w:val="clear" w:color="auto" w:fill="auto"/>
            <w:vAlign w:val="center"/>
          </w:tcPr>
          <w:p w14:paraId="5702F238">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村（居）民委员会应当在精神障碍患者已经发生危害他人安全的行为或者可能危害他人安全的情况下，其监护人不办理住院手续的，为患者办理住院手续；对生活困难的精神障碍患者家庭提供必要的帮助。</w:t>
            </w:r>
          </w:p>
        </w:tc>
        <w:tc>
          <w:tcPr>
            <w:tcW w:w="2217" w:type="pct"/>
            <w:shd w:val="clear" w:color="auto" w:fill="auto"/>
            <w:vAlign w:val="center"/>
          </w:tcPr>
          <w:p w14:paraId="32E47A8F">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《中华人民共和国精神卫生法》第三十六条、第四十九条、第五十六条</w:t>
            </w:r>
          </w:p>
        </w:tc>
        <w:tc>
          <w:tcPr>
            <w:tcW w:w="283" w:type="pct"/>
            <w:shd w:val="clear" w:color="auto" w:fill="auto"/>
            <w:vAlign w:val="center"/>
          </w:tcPr>
          <w:p w14:paraId="14432CFD">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7FDE66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07A9611C">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22</w:t>
            </w:r>
          </w:p>
        </w:tc>
        <w:tc>
          <w:tcPr>
            <w:tcW w:w="1943" w:type="pct"/>
            <w:shd w:val="clear" w:color="auto" w:fill="auto"/>
            <w:vAlign w:val="center"/>
          </w:tcPr>
          <w:p w14:paraId="45A2BEE5">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村（居）民委员会应当根据实际情况组织开展英雄烈士纪念活动。</w:t>
            </w:r>
          </w:p>
        </w:tc>
        <w:tc>
          <w:tcPr>
            <w:tcW w:w="2217" w:type="pct"/>
            <w:shd w:val="clear" w:color="auto" w:fill="auto"/>
            <w:vAlign w:val="center"/>
          </w:tcPr>
          <w:p w14:paraId="2863B79E">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《中华人民共和国英雄烈士保护法》第六条</w:t>
            </w:r>
          </w:p>
        </w:tc>
        <w:tc>
          <w:tcPr>
            <w:tcW w:w="283" w:type="pct"/>
            <w:shd w:val="clear" w:color="auto" w:fill="auto"/>
            <w:vAlign w:val="center"/>
          </w:tcPr>
          <w:p w14:paraId="6094E7F0">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r w14:paraId="430DBF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3" w:hRule="atLeast"/>
          <w:tblCellSpacing w:w="0" w:type="dxa"/>
          <w:jc w:val="center"/>
        </w:trPr>
        <w:tc>
          <w:tcPr>
            <w:tcW w:w="555" w:type="pct"/>
            <w:shd w:val="clear" w:color="auto" w:fill="auto"/>
            <w:vAlign w:val="center"/>
          </w:tcPr>
          <w:p w14:paraId="43C26259">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23</w:t>
            </w:r>
          </w:p>
        </w:tc>
        <w:tc>
          <w:tcPr>
            <w:tcW w:w="1943" w:type="pct"/>
            <w:shd w:val="clear" w:color="auto" w:fill="auto"/>
            <w:vAlign w:val="center"/>
          </w:tcPr>
          <w:p w14:paraId="6F1E191A">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村（居）民委员会应当组织村（居）民参与村（社区）的传染病预防与控制活动。</w:t>
            </w:r>
          </w:p>
        </w:tc>
        <w:tc>
          <w:tcPr>
            <w:tcW w:w="2217" w:type="pct"/>
            <w:shd w:val="clear" w:color="auto" w:fill="auto"/>
            <w:vAlign w:val="center"/>
          </w:tcPr>
          <w:p w14:paraId="32DE62DA">
            <w:pPr>
              <w:pStyle w:val="9"/>
              <w:widowControl/>
              <w:spacing w:beforeAutospacing="0" w:afterAutospacing="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《中华人民共和国传染病防治法》第九条</w:t>
            </w:r>
          </w:p>
        </w:tc>
        <w:tc>
          <w:tcPr>
            <w:tcW w:w="283" w:type="pct"/>
            <w:shd w:val="clear" w:color="auto" w:fill="auto"/>
            <w:vAlign w:val="center"/>
          </w:tcPr>
          <w:p w14:paraId="09B68674">
            <w:pPr>
              <w:pStyle w:val="9"/>
              <w:widowControl/>
              <w:spacing w:beforeAutospacing="0" w:afterAutospacing="0"/>
              <w:jc w:val="center"/>
              <w:rPr>
                <w:rFonts w:ascii="仿宋" w:hAnsi="仿宋" w:eastAsia="仿宋" w:cs="仿宋"/>
                <w:sz w:val="18"/>
                <w:szCs w:val="18"/>
              </w:rPr>
            </w:pPr>
            <w:r>
              <w:rPr>
                <w:rFonts w:hint="eastAsia" w:ascii="仿宋" w:hAnsi="仿宋" w:eastAsia="仿宋" w:cs="仿宋"/>
                <w:sz w:val="18"/>
                <w:szCs w:val="18"/>
              </w:rPr>
              <w:t>　</w:t>
            </w:r>
          </w:p>
        </w:tc>
      </w:tr>
    </w:tbl>
    <w:p w14:paraId="265B859B">
      <w:pPr>
        <w:pStyle w:val="9"/>
        <w:widowControl/>
        <w:spacing w:beforeAutospacing="0" w:afterAutospacing="0" w:line="570" w:lineRule="atLeast"/>
        <w:rPr>
          <w:rFonts w:ascii="黑体" w:hAnsi="宋体" w:eastAsia="黑体" w:cs="黑体"/>
          <w:sz w:val="32"/>
          <w:szCs w:val="32"/>
        </w:rPr>
      </w:pPr>
    </w:p>
    <w:p w14:paraId="7076B509">
      <w:pPr>
        <w:pStyle w:val="9"/>
        <w:widowControl/>
        <w:spacing w:beforeAutospacing="0" w:afterAutospacing="0" w:line="570" w:lineRule="atLeast"/>
        <w:rPr>
          <w:rFonts w:ascii="黑体" w:hAnsi="宋体" w:eastAsia="黑体" w:cs="黑体"/>
          <w:sz w:val="32"/>
          <w:szCs w:val="32"/>
        </w:rPr>
      </w:pPr>
    </w:p>
    <w:p w14:paraId="3566F625">
      <w:pPr>
        <w:pStyle w:val="9"/>
        <w:widowControl/>
        <w:spacing w:beforeAutospacing="0" w:afterAutospacing="0" w:line="570" w:lineRule="atLeast"/>
        <w:rPr>
          <w:rFonts w:ascii="黑体" w:hAnsi="宋体" w:eastAsia="黑体" w:cs="黑体"/>
          <w:sz w:val="32"/>
          <w:szCs w:val="32"/>
        </w:rPr>
      </w:pPr>
    </w:p>
    <w:p w14:paraId="3309C9E6">
      <w:pPr>
        <w:pStyle w:val="9"/>
        <w:widowControl/>
        <w:spacing w:beforeAutospacing="0" w:afterAutospacing="0" w:line="570" w:lineRule="atLeast"/>
        <w:rPr>
          <w:rFonts w:ascii="黑体" w:hAnsi="宋体" w:eastAsia="黑体" w:cs="黑体"/>
          <w:sz w:val="32"/>
          <w:szCs w:val="32"/>
        </w:rPr>
      </w:pPr>
    </w:p>
    <w:p w14:paraId="4D9080A5">
      <w:pPr>
        <w:pStyle w:val="9"/>
        <w:widowControl/>
        <w:spacing w:beforeAutospacing="0" w:afterAutospacing="0" w:line="570" w:lineRule="atLeast"/>
        <w:rPr>
          <w:rFonts w:ascii="黑体" w:hAnsi="宋体" w:eastAsia="黑体" w:cs="黑体"/>
          <w:sz w:val="32"/>
          <w:szCs w:val="32"/>
        </w:rPr>
      </w:pPr>
    </w:p>
    <w:p w14:paraId="40DAD36A">
      <w:pPr>
        <w:pStyle w:val="9"/>
        <w:widowControl/>
        <w:spacing w:beforeAutospacing="0" w:afterAutospacing="0" w:line="570" w:lineRule="atLeast"/>
        <w:rPr>
          <w:rFonts w:ascii="黑体" w:hAnsi="宋体" w:eastAsia="黑体" w:cs="黑体"/>
          <w:sz w:val="32"/>
          <w:szCs w:val="32"/>
        </w:rPr>
      </w:pPr>
    </w:p>
    <w:p w14:paraId="6A41DEDD">
      <w:pPr>
        <w:pStyle w:val="9"/>
        <w:widowControl/>
        <w:spacing w:beforeAutospacing="0" w:afterAutospacing="0" w:line="570" w:lineRule="atLeast"/>
        <w:rPr>
          <w:rFonts w:ascii="黑体" w:hAnsi="宋体" w:eastAsia="黑体" w:cs="黑体"/>
          <w:sz w:val="32"/>
          <w:szCs w:val="32"/>
        </w:rPr>
      </w:pPr>
      <w:r>
        <w:rPr>
          <w:rFonts w:ascii="黑体" w:hAnsi="宋体" w:eastAsia="黑体" w:cs="黑体"/>
          <w:sz w:val="32"/>
          <w:szCs w:val="32"/>
        </w:rPr>
        <w:t>附件2</w:t>
      </w:r>
    </w:p>
    <w:p w14:paraId="13290F04">
      <w:pPr>
        <w:pStyle w:val="9"/>
        <w:widowControl/>
        <w:spacing w:beforeAutospacing="0" w:afterAutospacing="0" w:line="570" w:lineRule="atLeast"/>
        <w:rPr>
          <w:rFonts w:ascii="仿宋" w:hAnsi="仿宋" w:eastAsia="仿宋" w:cs="仿宋"/>
          <w:sz w:val="31"/>
          <w:szCs w:val="31"/>
        </w:rPr>
      </w:pPr>
    </w:p>
    <w:p w14:paraId="4865C0EA">
      <w:pPr>
        <w:pStyle w:val="9"/>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基层群众性自治组织</w:t>
      </w:r>
    </w:p>
    <w:p w14:paraId="18A865EE">
      <w:pPr>
        <w:pStyle w:val="9"/>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依法协助政府工作事项清单</w:t>
      </w:r>
    </w:p>
    <w:p w14:paraId="4BAB2D7F">
      <w:pPr>
        <w:pStyle w:val="9"/>
        <w:widowControl/>
        <w:spacing w:beforeAutospacing="0" w:afterAutospacing="0" w:line="570" w:lineRule="atLeast"/>
        <w:rPr>
          <w:rFonts w:ascii="仿宋" w:hAnsi="仿宋" w:eastAsia="仿宋" w:cs="仿宋"/>
          <w:sz w:val="31"/>
          <w:szCs w:val="31"/>
        </w:rPr>
      </w:pPr>
    </w:p>
    <w:tbl>
      <w:tblPr>
        <w:tblStyle w:val="10"/>
        <w:tblW w:w="0" w:type="auto"/>
        <w:jc w:val="center"/>
        <w:tblCellSpacing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15" w:type="dxa"/>
          <w:left w:w="15" w:type="dxa"/>
          <w:bottom w:w="15" w:type="dxa"/>
          <w:right w:w="15" w:type="dxa"/>
        </w:tblCellMar>
      </w:tblPr>
      <w:tblGrid>
        <w:gridCol w:w="300"/>
        <w:gridCol w:w="2244"/>
        <w:gridCol w:w="5910"/>
        <w:gridCol w:w="2832"/>
        <w:gridCol w:w="1170"/>
        <w:gridCol w:w="622"/>
      </w:tblGrid>
      <w:tr w14:paraId="4B448A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blHeader/>
          <w:tblCellSpacing w:w="0" w:type="dxa"/>
          <w:jc w:val="center"/>
        </w:trPr>
        <w:tc>
          <w:tcPr>
            <w:tcW w:w="0" w:type="auto"/>
            <w:shd w:val="clear" w:color="auto" w:fill="auto"/>
            <w:vAlign w:val="center"/>
          </w:tcPr>
          <w:p w14:paraId="32217B44">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b/>
                <w:bCs/>
                <w:sz w:val="20"/>
                <w:szCs w:val="20"/>
              </w:rPr>
              <w:t>序号</w:t>
            </w:r>
          </w:p>
        </w:tc>
        <w:tc>
          <w:tcPr>
            <w:tcW w:w="2244" w:type="dxa"/>
            <w:shd w:val="clear" w:color="auto" w:fill="auto"/>
            <w:vAlign w:val="center"/>
          </w:tcPr>
          <w:p w14:paraId="1998BE7D">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b/>
                <w:bCs/>
                <w:sz w:val="20"/>
                <w:szCs w:val="20"/>
              </w:rPr>
              <w:t>事项名称</w:t>
            </w:r>
          </w:p>
        </w:tc>
        <w:tc>
          <w:tcPr>
            <w:tcW w:w="5910" w:type="dxa"/>
            <w:shd w:val="clear" w:color="auto" w:fill="auto"/>
            <w:vAlign w:val="center"/>
          </w:tcPr>
          <w:p w14:paraId="60BC8405">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b/>
                <w:bCs/>
                <w:sz w:val="20"/>
                <w:szCs w:val="20"/>
              </w:rPr>
              <w:t>基层群众性自治组织</w:t>
            </w:r>
          </w:p>
          <w:p w14:paraId="54A01F90">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b/>
                <w:bCs/>
                <w:sz w:val="20"/>
                <w:szCs w:val="20"/>
              </w:rPr>
              <w:t>依法协助政府工作具体内容</w:t>
            </w:r>
          </w:p>
        </w:tc>
        <w:tc>
          <w:tcPr>
            <w:tcW w:w="2832" w:type="dxa"/>
            <w:shd w:val="clear" w:color="auto" w:fill="auto"/>
            <w:vAlign w:val="center"/>
          </w:tcPr>
          <w:p w14:paraId="4D322A88">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b/>
                <w:bCs/>
                <w:sz w:val="20"/>
                <w:szCs w:val="20"/>
              </w:rPr>
              <w:t>依据</w:t>
            </w:r>
          </w:p>
        </w:tc>
        <w:tc>
          <w:tcPr>
            <w:tcW w:w="1170" w:type="dxa"/>
            <w:shd w:val="clear" w:color="auto" w:fill="auto"/>
            <w:vAlign w:val="center"/>
          </w:tcPr>
          <w:p w14:paraId="6E25264E">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b/>
                <w:bCs/>
                <w:sz w:val="20"/>
                <w:szCs w:val="20"/>
              </w:rPr>
              <w:t>主管单位</w:t>
            </w:r>
          </w:p>
        </w:tc>
        <w:tc>
          <w:tcPr>
            <w:tcW w:w="622" w:type="dxa"/>
            <w:shd w:val="clear" w:color="auto" w:fill="auto"/>
            <w:vAlign w:val="center"/>
          </w:tcPr>
          <w:p w14:paraId="00A54737">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b/>
                <w:bCs/>
                <w:sz w:val="20"/>
                <w:szCs w:val="20"/>
              </w:rPr>
              <w:t>备注</w:t>
            </w:r>
          </w:p>
        </w:tc>
      </w:tr>
      <w:tr w14:paraId="7D98A1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24D3CD3">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1</w:t>
            </w:r>
          </w:p>
        </w:tc>
        <w:tc>
          <w:tcPr>
            <w:tcW w:w="2244" w:type="dxa"/>
            <w:shd w:val="clear" w:color="auto" w:fill="auto"/>
            <w:vAlign w:val="center"/>
          </w:tcPr>
          <w:p w14:paraId="325F299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协助做好社会救助工作</w:t>
            </w:r>
          </w:p>
        </w:tc>
        <w:tc>
          <w:tcPr>
            <w:tcW w:w="5910" w:type="dxa"/>
            <w:shd w:val="clear" w:color="auto" w:fill="auto"/>
            <w:vAlign w:val="center"/>
          </w:tcPr>
          <w:p w14:paraId="66518BAA">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协助开展最低生活保障、特困人员供养、临时救助的调查核实、群众评议、张榜公示和定期核查等工作。</w:t>
            </w:r>
          </w:p>
        </w:tc>
        <w:tc>
          <w:tcPr>
            <w:tcW w:w="2832" w:type="dxa"/>
            <w:shd w:val="clear" w:color="auto" w:fill="auto"/>
            <w:vAlign w:val="center"/>
          </w:tcPr>
          <w:p w14:paraId="7398B32F">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《社会救助暂行办法》第四条《重庆市城乡居民最低生活保障条例》第五条</w:t>
            </w:r>
          </w:p>
        </w:tc>
        <w:tc>
          <w:tcPr>
            <w:tcW w:w="1170" w:type="dxa"/>
            <w:shd w:val="clear" w:color="auto" w:fill="auto"/>
            <w:vAlign w:val="center"/>
          </w:tcPr>
          <w:p w14:paraId="09DA87BA">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民政部门</w:t>
            </w:r>
          </w:p>
        </w:tc>
        <w:tc>
          <w:tcPr>
            <w:tcW w:w="622" w:type="dxa"/>
            <w:shd w:val="clear" w:color="auto" w:fill="auto"/>
            <w:vAlign w:val="center"/>
          </w:tcPr>
          <w:p w14:paraId="374B9C4A">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1FEEEF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3EF9B60">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2</w:t>
            </w:r>
          </w:p>
        </w:tc>
        <w:tc>
          <w:tcPr>
            <w:tcW w:w="2244" w:type="dxa"/>
            <w:shd w:val="clear" w:color="auto" w:fill="auto"/>
            <w:vAlign w:val="center"/>
          </w:tcPr>
          <w:p w14:paraId="42FB0286">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协助做好噪声环保工作</w:t>
            </w:r>
          </w:p>
        </w:tc>
        <w:tc>
          <w:tcPr>
            <w:tcW w:w="5910" w:type="dxa"/>
            <w:shd w:val="clear" w:color="auto" w:fill="auto"/>
            <w:vAlign w:val="center"/>
          </w:tcPr>
          <w:p w14:paraId="2928F5AB">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协助做好噪声环境保护工作。</w:t>
            </w:r>
          </w:p>
        </w:tc>
        <w:tc>
          <w:tcPr>
            <w:tcW w:w="2832" w:type="dxa"/>
            <w:shd w:val="clear" w:color="auto" w:fill="auto"/>
            <w:vAlign w:val="center"/>
          </w:tcPr>
          <w:p w14:paraId="005B3D62">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《重庆市环境噪声污染防治办法》第七条</w:t>
            </w:r>
          </w:p>
        </w:tc>
        <w:tc>
          <w:tcPr>
            <w:tcW w:w="1170" w:type="dxa"/>
            <w:shd w:val="clear" w:color="auto" w:fill="auto"/>
            <w:vAlign w:val="center"/>
          </w:tcPr>
          <w:p w14:paraId="56AA878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生态环境、公安部门</w:t>
            </w:r>
          </w:p>
        </w:tc>
        <w:tc>
          <w:tcPr>
            <w:tcW w:w="622" w:type="dxa"/>
            <w:shd w:val="clear" w:color="auto" w:fill="auto"/>
            <w:vAlign w:val="center"/>
          </w:tcPr>
          <w:p w14:paraId="4D39E3B6">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275763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C7D781E">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3</w:t>
            </w:r>
          </w:p>
        </w:tc>
        <w:tc>
          <w:tcPr>
            <w:tcW w:w="2244" w:type="dxa"/>
            <w:shd w:val="clear" w:color="auto" w:fill="auto"/>
            <w:vAlign w:val="center"/>
          </w:tcPr>
          <w:p w14:paraId="4FB84595">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协助申领发放居住证</w:t>
            </w:r>
          </w:p>
        </w:tc>
        <w:tc>
          <w:tcPr>
            <w:tcW w:w="5910" w:type="dxa"/>
            <w:shd w:val="clear" w:color="auto" w:fill="auto"/>
            <w:vAlign w:val="center"/>
          </w:tcPr>
          <w:p w14:paraId="34622A6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协助做好居住证的申领受理、发放等工作。</w:t>
            </w:r>
          </w:p>
        </w:tc>
        <w:tc>
          <w:tcPr>
            <w:tcW w:w="2832" w:type="dxa"/>
            <w:shd w:val="clear" w:color="auto" w:fill="auto"/>
            <w:vAlign w:val="center"/>
          </w:tcPr>
          <w:p w14:paraId="0C6D6C6D">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《重庆市居住证实施办法》第五条</w:t>
            </w:r>
          </w:p>
        </w:tc>
        <w:tc>
          <w:tcPr>
            <w:tcW w:w="1170" w:type="dxa"/>
            <w:shd w:val="clear" w:color="auto" w:fill="auto"/>
            <w:vAlign w:val="center"/>
          </w:tcPr>
          <w:p w14:paraId="164E2D43">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公安部门</w:t>
            </w:r>
          </w:p>
        </w:tc>
        <w:tc>
          <w:tcPr>
            <w:tcW w:w="622" w:type="dxa"/>
            <w:shd w:val="clear" w:color="auto" w:fill="auto"/>
            <w:vAlign w:val="center"/>
          </w:tcPr>
          <w:p w14:paraId="076EE041">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77C8FF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708D242">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4</w:t>
            </w:r>
          </w:p>
        </w:tc>
        <w:tc>
          <w:tcPr>
            <w:tcW w:w="2244" w:type="dxa"/>
            <w:shd w:val="clear" w:color="auto" w:fill="auto"/>
            <w:vAlign w:val="center"/>
          </w:tcPr>
          <w:p w14:paraId="3FEA82EE">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协助做好租赁房屋治安管理相关工作</w:t>
            </w:r>
          </w:p>
        </w:tc>
        <w:tc>
          <w:tcPr>
            <w:tcW w:w="5910" w:type="dxa"/>
            <w:shd w:val="clear" w:color="auto" w:fill="auto"/>
            <w:vAlign w:val="center"/>
          </w:tcPr>
          <w:p w14:paraId="75E7219D">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协助做好租赁房屋的安全防范、法制宣传教育和治安管理工作。</w:t>
            </w:r>
          </w:p>
        </w:tc>
        <w:tc>
          <w:tcPr>
            <w:tcW w:w="2832" w:type="dxa"/>
            <w:shd w:val="clear" w:color="auto" w:fill="auto"/>
            <w:vAlign w:val="center"/>
          </w:tcPr>
          <w:p w14:paraId="5A7132C7">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《租赁房屋治安管理规定》第四条</w:t>
            </w:r>
          </w:p>
        </w:tc>
        <w:tc>
          <w:tcPr>
            <w:tcW w:w="1170" w:type="dxa"/>
            <w:shd w:val="clear" w:color="auto" w:fill="auto"/>
            <w:vAlign w:val="center"/>
          </w:tcPr>
          <w:p w14:paraId="3394C6CD">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公安部门</w:t>
            </w:r>
          </w:p>
        </w:tc>
        <w:tc>
          <w:tcPr>
            <w:tcW w:w="622" w:type="dxa"/>
            <w:shd w:val="clear" w:color="auto" w:fill="auto"/>
            <w:vAlign w:val="center"/>
          </w:tcPr>
          <w:p w14:paraId="620924B2">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3D034B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711E60B">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5</w:t>
            </w:r>
          </w:p>
        </w:tc>
        <w:tc>
          <w:tcPr>
            <w:tcW w:w="2244" w:type="dxa"/>
            <w:shd w:val="clear" w:color="auto" w:fill="auto"/>
            <w:vAlign w:val="center"/>
          </w:tcPr>
          <w:p w14:paraId="5A0F3F62">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协助做好暂住人口的治安管理工作</w:t>
            </w:r>
          </w:p>
        </w:tc>
        <w:tc>
          <w:tcPr>
            <w:tcW w:w="5910" w:type="dxa"/>
            <w:shd w:val="clear" w:color="auto" w:fill="auto"/>
            <w:vAlign w:val="center"/>
          </w:tcPr>
          <w:p w14:paraId="0A313C79">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协助做好暂住人口的治安管理工作。</w:t>
            </w:r>
          </w:p>
        </w:tc>
        <w:tc>
          <w:tcPr>
            <w:tcW w:w="2832" w:type="dxa"/>
            <w:shd w:val="clear" w:color="auto" w:fill="auto"/>
            <w:vAlign w:val="center"/>
          </w:tcPr>
          <w:p w14:paraId="4A88AE70">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《重庆市暂住人口治安管理规定》第三条</w:t>
            </w:r>
          </w:p>
        </w:tc>
        <w:tc>
          <w:tcPr>
            <w:tcW w:w="1170" w:type="dxa"/>
            <w:shd w:val="clear" w:color="auto" w:fill="auto"/>
            <w:vAlign w:val="center"/>
          </w:tcPr>
          <w:p w14:paraId="7C250322">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公安部门</w:t>
            </w:r>
          </w:p>
        </w:tc>
        <w:tc>
          <w:tcPr>
            <w:tcW w:w="622" w:type="dxa"/>
            <w:shd w:val="clear" w:color="auto" w:fill="auto"/>
            <w:vAlign w:val="center"/>
          </w:tcPr>
          <w:p w14:paraId="1422C660">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6DC487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4EACA73">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6</w:t>
            </w:r>
          </w:p>
        </w:tc>
        <w:tc>
          <w:tcPr>
            <w:tcW w:w="2244" w:type="dxa"/>
            <w:shd w:val="clear" w:color="auto" w:fill="auto"/>
            <w:vAlign w:val="center"/>
          </w:tcPr>
          <w:p w14:paraId="261D2143">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协助开展禁毒宣传、落实禁毒防范措施</w:t>
            </w:r>
          </w:p>
        </w:tc>
        <w:tc>
          <w:tcPr>
            <w:tcW w:w="5910" w:type="dxa"/>
            <w:shd w:val="clear" w:color="auto" w:fill="auto"/>
            <w:vAlign w:val="center"/>
          </w:tcPr>
          <w:p w14:paraId="1C9721ED">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协助开展禁毒宣传教育、落实禁毒防范措施；协助开展毒品预防、社区戒毒、社区康复、吸毒人员动态管控等工作；发现非法种植毒品原植物的，应当及时予以制止、铲除和报告。</w:t>
            </w:r>
          </w:p>
        </w:tc>
        <w:tc>
          <w:tcPr>
            <w:tcW w:w="2832" w:type="dxa"/>
            <w:shd w:val="clear" w:color="auto" w:fill="auto"/>
            <w:vAlign w:val="center"/>
          </w:tcPr>
          <w:p w14:paraId="58D31B20">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《中华人民共和国禁毒法》第十七条、第十九条《重庆市禁毒条例》第九条</w:t>
            </w:r>
          </w:p>
        </w:tc>
        <w:tc>
          <w:tcPr>
            <w:tcW w:w="1170" w:type="dxa"/>
            <w:shd w:val="clear" w:color="auto" w:fill="auto"/>
            <w:vAlign w:val="center"/>
          </w:tcPr>
          <w:p w14:paraId="3B881E24">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公安部门</w:t>
            </w:r>
          </w:p>
        </w:tc>
        <w:tc>
          <w:tcPr>
            <w:tcW w:w="622" w:type="dxa"/>
            <w:shd w:val="clear" w:color="auto" w:fill="auto"/>
            <w:vAlign w:val="center"/>
          </w:tcPr>
          <w:p w14:paraId="0B87FC32">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0DA079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22E784C">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7</w:t>
            </w:r>
          </w:p>
        </w:tc>
        <w:tc>
          <w:tcPr>
            <w:tcW w:w="2244" w:type="dxa"/>
            <w:shd w:val="clear" w:color="auto" w:fill="auto"/>
            <w:vAlign w:val="center"/>
          </w:tcPr>
          <w:p w14:paraId="14455524">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协助开展消防宣传教育</w:t>
            </w:r>
          </w:p>
        </w:tc>
        <w:tc>
          <w:tcPr>
            <w:tcW w:w="5910" w:type="dxa"/>
            <w:shd w:val="clear" w:color="auto" w:fill="auto"/>
            <w:vAlign w:val="center"/>
          </w:tcPr>
          <w:p w14:paraId="0939BF9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协助做好消防宣传教育。</w:t>
            </w:r>
          </w:p>
        </w:tc>
        <w:tc>
          <w:tcPr>
            <w:tcW w:w="2832" w:type="dxa"/>
            <w:shd w:val="clear" w:color="auto" w:fill="auto"/>
            <w:vAlign w:val="center"/>
          </w:tcPr>
          <w:p w14:paraId="35AEE7E6">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《中华人民共和国消防法》第六条《重庆市消防条例》第十一条</w:t>
            </w:r>
          </w:p>
        </w:tc>
        <w:tc>
          <w:tcPr>
            <w:tcW w:w="1170" w:type="dxa"/>
            <w:shd w:val="clear" w:color="auto" w:fill="auto"/>
            <w:vAlign w:val="center"/>
          </w:tcPr>
          <w:p w14:paraId="5EB6FDF3">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应急管理</w:t>
            </w:r>
          </w:p>
        </w:tc>
        <w:tc>
          <w:tcPr>
            <w:tcW w:w="622" w:type="dxa"/>
            <w:shd w:val="clear" w:color="auto" w:fill="auto"/>
            <w:vAlign w:val="center"/>
          </w:tcPr>
          <w:p w14:paraId="1CBCB28C">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68F3D3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B40ECC5">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8</w:t>
            </w:r>
          </w:p>
        </w:tc>
        <w:tc>
          <w:tcPr>
            <w:tcW w:w="2244" w:type="dxa"/>
            <w:shd w:val="clear" w:color="auto" w:fill="auto"/>
            <w:vAlign w:val="center"/>
          </w:tcPr>
          <w:p w14:paraId="726FA7A3">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协助做好养犬管理工作</w:t>
            </w:r>
          </w:p>
        </w:tc>
        <w:tc>
          <w:tcPr>
            <w:tcW w:w="5910" w:type="dxa"/>
            <w:shd w:val="clear" w:color="auto" w:fill="auto"/>
            <w:vAlign w:val="center"/>
          </w:tcPr>
          <w:p w14:paraId="0BAEA1C2">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协助做好养犬管理工作。</w:t>
            </w:r>
          </w:p>
        </w:tc>
        <w:tc>
          <w:tcPr>
            <w:tcW w:w="2832" w:type="dxa"/>
            <w:shd w:val="clear" w:color="auto" w:fill="auto"/>
            <w:vAlign w:val="center"/>
          </w:tcPr>
          <w:p w14:paraId="7790E935">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《重庆市养犬管理暂行办法》第五条</w:t>
            </w:r>
          </w:p>
        </w:tc>
        <w:tc>
          <w:tcPr>
            <w:tcW w:w="1170" w:type="dxa"/>
            <w:shd w:val="clear" w:color="auto" w:fill="auto"/>
            <w:vAlign w:val="center"/>
          </w:tcPr>
          <w:p w14:paraId="11AB094B">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公安部门</w:t>
            </w:r>
          </w:p>
        </w:tc>
        <w:tc>
          <w:tcPr>
            <w:tcW w:w="622" w:type="dxa"/>
            <w:shd w:val="clear" w:color="auto" w:fill="auto"/>
            <w:vAlign w:val="center"/>
          </w:tcPr>
          <w:p w14:paraId="0A5445B5">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544B7C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8BD07E1">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9</w:t>
            </w:r>
          </w:p>
        </w:tc>
        <w:tc>
          <w:tcPr>
            <w:tcW w:w="2244" w:type="dxa"/>
            <w:shd w:val="clear" w:color="auto" w:fill="auto"/>
            <w:vAlign w:val="center"/>
          </w:tcPr>
          <w:p w14:paraId="0BF3C55F">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协助开展燃放烟花爆竹管理工作</w:t>
            </w:r>
          </w:p>
        </w:tc>
        <w:tc>
          <w:tcPr>
            <w:tcW w:w="5910" w:type="dxa"/>
            <w:shd w:val="clear" w:color="auto" w:fill="auto"/>
            <w:vAlign w:val="center"/>
          </w:tcPr>
          <w:p w14:paraId="2A579685">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加强宣传教育，协助开展燃放烟花爆竹管理工作。</w:t>
            </w:r>
          </w:p>
        </w:tc>
        <w:tc>
          <w:tcPr>
            <w:tcW w:w="2832" w:type="dxa"/>
            <w:shd w:val="clear" w:color="auto" w:fill="auto"/>
            <w:vAlign w:val="center"/>
          </w:tcPr>
          <w:p w14:paraId="696DB1DA">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《重庆市燃放烟花爆竹管理条例》第四条</w:t>
            </w:r>
          </w:p>
        </w:tc>
        <w:tc>
          <w:tcPr>
            <w:tcW w:w="1170" w:type="dxa"/>
            <w:shd w:val="clear" w:color="auto" w:fill="auto"/>
            <w:vAlign w:val="center"/>
          </w:tcPr>
          <w:p w14:paraId="0D9C9CD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公安部门</w:t>
            </w:r>
          </w:p>
        </w:tc>
        <w:tc>
          <w:tcPr>
            <w:tcW w:w="622" w:type="dxa"/>
            <w:shd w:val="clear" w:color="auto" w:fill="auto"/>
            <w:vAlign w:val="center"/>
          </w:tcPr>
          <w:p w14:paraId="47CEAC15">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36E535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E749D44">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10</w:t>
            </w:r>
          </w:p>
        </w:tc>
        <w:tc>
          <w:tcPr>
            <w:tcW w:w="2244" w:type="dxa"/>
            <w:shd w:val="clear" w:color="auto" w:fill="auto"/>
            <w:vAlign w:val="center"/>
          </w:tcPr>
          <w:p w14:paraId="01CD5C6E">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协助查处违法建筑</w:t>
            </w:r>
          </w:p>
        </w:tc>
        <w:tc>
          <w:tcPr>
            <w:tcW w:w="5910" w:type="dxa"/>
            <w:shd w:val="clear" w:color="auto" w:fill="auto"/>
            <w:vAlign w:val="center"/>
          </w:tcPr>
          <w:p w14:paraId="6751E263">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及时发现、劝阻、举报本区域内修建违法建筑的行为，并配合查处。</w:t>
            </w:r>
          </w:p>
        </w:tc>
        <w:tc>
          <w:tcPr>
            <w:tcW w:w="2832" w:type="dxa"/>
            <w:shd w:val="clear" w:color="auto" w:fill="auto"/>
            <w:vAlign w:val="center"/>
          </w:tcPr>
          <w:p w14:paraId="74C8FBBB">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《重庆市查处违法建筑若干规定》第八条</w:t>
            </w:r>
          </w:p>
        </w:tc>
        <w:tc>
          <w:tcPr>
            <w:tcW w:w="1170" w:type="dxa"/>
            <w:shd w:val="clear" w:color="auto" w:fill="auto"/>
            <w:vAlign w:val="center"/>
          </w:tcPr>
          <w:p w14:paraId="3D5BDCFA">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规划自然资源部门</w:t>
            </w:r>
          </w:p>
        </w:tc>
        <w:tc>
          <w:tcPr>
            <w:tcW w:w="622" w:type="dxa"/>
            <w:shd w:val="clear" w:color="auto" w:fill="auto"/>
            <w:vAlign w:val="center"/>
          </w:tcPr>
          <w:p w14:paraId="7EBBBA92">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67BA05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381A5B2">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11</w:t>
            </w:r>
          </w:p>
        </w:tc>
        <w:tc>
          <w:tcPr>
            <w:tcW w:w="2244" w:type="dxa"/>
            <w:shd w:val="clear" w:color="auto" w:fill="auto"/>
            <w:vAlign w:val="center"/>
          </w:tcPr>
          <w:p w14:paraId="5438F022">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协助维护本辖区的社会治安</w:t>
            </w:r>
          </w:p>
        </w:tc>
        <w:tc>
          <w:tcPr>
            <w:tcW w:w="5910" w:type="dxa"/>
            <w:shd w:val="clear" w:color="auto" w:fill="auto"/>
            <w:vAlign w:val="center"/>
          </w:tcPr>
          <w:p w14:paraId="5E0FD395">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村委会应当协助维护本村的社会治安和生产生活秩序；居委会应当协助维护本社区的社会治安。</w:t>
            </w:r>
          </w:p>
        </w:tc>
        <w:tc>
          <w:tcPr>
            <w:tcW w:w="2832" w:type="dxa"/>
            <w:shd w:val="clear" w:color="auto" w:fill="auto"/>
            <w:vAlign w:val="center"/>
          </w:tcPr>
          <w:p w14:paraId="0B7EA3F7">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《中华人民共和国村民委员会组织法》第二条《中华人民共和国城市居民委员会组织法》第三条《重庆市实施&lt;中华人民共和国村民委员会组织法&gt;办法》第十六条</w:t>
            </w:r>
          </w:p>
        </w:tc>
        <w:tc>
          <w:tcPr>
            <w:tcW w:w="1170" w:type="dxa"/>
            <w:shd w:val="clear" w:color="auto" w:fill="auto"/>
            <w:vAlign w:val="center"/>
          </w:tcPr>
          <w:p w14:paraId="00FA0059">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政法综治</w:t>
            </w:r>
          </w:p>
          <w:p w14:paraId="73599057">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部门</w:t>
            </w:r>
          </w:p>
        </w:tc>
        <w:tc>
          <w:tcPr>
            <w:tcW w:w="622" w:type="dxa"/>
            <w:shd w:val="clear" w:color="auto" w:fill="auto"/>
            <w:vAlign w:val="center"/>
          </w:tcPr>
          <w:p w14:paraId="24F1D703">
            <w:pPr>
              <w:pStyle w:val="9"/>
              <w:widowControl/>
              <w:spacing w:beforeAutospacing="0" w:afterAutospacing="0" w:line="570" w:lineRule="atLeast"/>
              <w:jc w:val="center"/>
              <w:rPr>
                <w:rFonts w:ascii="仿宋" w:hAnsi="仿宋" w:eastAsia="仿宋" w:cs="仿宋"/>
                <w:sz w:val="20"/>
                <w:szCs w:val="20"/>
              </w:rPr>
            </w:pPr>
          </w:p>
        </w:tc>
      </w:tr>
      <w:tr w14:paraId="4A06C2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87D0F5D">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12</w:t>
            </w:r>
          </w:p>
        </w:tc>
        <w:tc>
          <w:tcPr>
            <w:tcW w:w="2244" w:type="dxa"/>
            <w:shd w:val="clear" w:color="auto" w:fill="auto"/>
            <w:vAlign w:val="center"/>
          </w:tcPr>
          <w:p w14:paraId="21FE2245">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协助开展流动人口计划生育服务管理工作</w:t>
            </w:r>
          </w:p>
        </w:tc>
        <w:tc>
          <w:tcPr>
            <w:tcW w:w="5910" w:type="dxa"/>
            <w:shd w:val="clear" w:color="auto" w:fill="auto"/>
            <w:vAlign w:val="center"/>
          </w:tcPr>
          <w:p w14:paraId="3D2A691D">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协助做好流动人口婚育情况登记工作，了解本村或者本居住地区流动人口计划生育情况，及时报告相关信息。</w:t>
            </w:r>
          </w:p>
        </w:tc>
        <w:tc>
          <w:tcPr>
            <w:tcW w:w="2832" w:type="dxa"/>
            <w:shd w:val="clear" w:color="auto" w:fill="auto"/>
            <w:vAlign w:val="center"/>
          </w:tcPr>
          <w:p w14:paraId="5AAD8107">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《流动人口计划生育工作条例》第八条、第十四条</w:t>
            </w:r>
          </w:p>
        </w:tc>
        <w:tc>
          <w:tcPr>
            <w:tcW w:w="1170" w:type="dxa"/>
            <w:shd w:val="clear" w:color="auto" w:fill="auto"/>
            <w:vAlign w:val="center"/>
          </w:tcPr>
          <w:p w14:paraId="03DD3670">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卫生健康部门</w:t>
            </w:r>
          </w:p>
        </w:tc>
        <w:tc>
          <w:tcPr>
            <w:tcW w:w="622" w:type="dxa"/>
            <w:shd w:val="clear" w:color="auto" w:fill="auto"/>
            <w:vAlign w:val="center"/>
          </w:tcPr>
          <w:p w14:paraId="52AF02F0">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01DB64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24244E2">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13</w:t>
            </w:r>
          </w:p>
        </w:tc>
        <w:tc>
          <w:tcPr>
            <w:tcW w:w="2244" w:type="dxa"/>
            <w:shd w:val="clear" w:color="auto" w:fill="auto"/>
            <w:vAlign w:val="center"/>
          </w:tcPr>
          <w:p w14:paraId="019F7BDD">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协助开展人口计生宣传教育、生育登记、统计工作</w:t>
            </w:r>
          </w:p>
        </w:tc>
        <w:tc>
          <w:tcPr>
            <w:tcW w:w="5910" w:type="dxa"/>
            <w:shd w:val="clear" w:color="auto" w:fill="auto"/>
            <w:vAlign w:val="center"/>
          </w:tcPr>
          <w:p w14:paraId="0464DE8F">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协助开展经常性的人口和计划生育宣传教育，办理生育登记，按照规定填报人口和计划生育统计报表。</w:t>
            </w:r>
          </w:p>
        </w:tc>
        <w:tc>
          <w:tcPr>
            <w:tcW w:w="2832" w:type="dxa"/>
            <w:shd w:val="clear" w:color="auto" w:fill="auto"/>
            <w:vAlign w:val="center"/>
          </w:tcPr>
          <w:p w14:paraId="69BBDF7E">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《重庆市人口与计划生育条例》第十六条、第十八条、第二十条</w:t>
            </w:r>
          </w:p>
        </w:tc>
        <w:tc>
          <w:tcPr>
            <w:tcW w:w="1170" w:type="dxa"/>
            <w:shd w:val="clear" w:color="auto" w:fill="auto"/>
            <w:vAlign w:val="center"/>
          </w:tcPr>
          <w:p w14:paraId="517D329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卫生健康部门</w:t>
            </w:r>
          </w:p>
        </w:tc>
        <w:tc>
          <w:tcPr>
            <w:tcW w:w="622" w:type="dxa"/>
            <w:shd w:val="clear" w:color="auto" w:fill="auto"/>
            <w:vAlign w:val="center"/>
          </w:tcPr>
          <w:p w14:paraId="74738A60">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7BC600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2F3F2E9">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14</w:t>
            </w:r>
          </w:p>
        </w:tc>
        <w:tc>
          <w:tcPr>
            <w:tcW w:w="2244" w:type="dxa"/>
            <w:shd w:val="clear" w:color="auto" w:fill="auto"/>
            <w:vAlign w:val="center"/>
          </w:tcPr>
          <w:p w14:paraId="56854652">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协助做好病残儿医学鉴定</w:t>
            </w:r>
          </w:p>
        </w:tc>
        <w:tc>
          <w:tcPr>
            <w:tcW w:w="5910" w:type="dxa"/>
            <w:shd w:val="clear" w:color="auto" w:fill="auto"/>
            <w:vAlign w:val="center"/>
          </w:tcPr>
          <w:p w14:paraId="50B93E8D">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协助做好病残儿医学鉴定初步审核工作。</w:t>
            </w:r>
          </w:p>
        </w:tc>
        <w:tc>
          <w:tcPr>
            <w:tcW w:w="2832" w:type="dxa"/>
            <w:shd w:val="clear" w:color="auto" w:fill="auto"/>
            <w:vAlign w:val="center"/>
          </w:tcPr>
          <w:p w14:paraId="7B3D1C1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《病残儿医学鉴定管理办法》第十一条、第十二条</w:t>
            </w:r>
          </w:p>
        </w:tc>
        <w:tc>
          <w:tcPr>
            <w:tcW w:w="1170" w:type="dxa"/>
            <w:shd w:val="clear" w:color="auto" w:fill="auto"/>
            <w:vAlign w:val="center"/>
          </w:tcPr>
          <w:p w14:paraId="577751DE">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卫生健康部门</w:t>
            </w:r>
          </w:p>
        </w:tc>
        <w:tc>
          <w:tcPr>
            <w:tcW w:w="622" w:type="dxa"/>
            <w:shd w:val="clear" w:color="auto" w:fill="auto"/>
            <w:vAlign w:val="center"/>
          </w:tcPr>
          <w:p w14:paraId="330E164B">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6E5FB0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D67917D">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15</w:t>
            </w:r>
          </w:p>
        </w:tc>
        <w:tc>
          <w:tcPr>
            <w:tcW w:w="2244" w:type="dxa"/>
            <w:shd w:val="clear" w:color="auto" w:fill="auto"/>
            <w:vAlign w:val="center"/>
          </w:tcPr>
          <w:p w14:paraId="0669EE70">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协助开展精神卫生及心理健康服务等工作</w:t>
            </w:r>
          </w:p>
        </w:tc>
        <w:tc>
          <w:tcPr>
            <w:tcW w:w="5910" w:type="dxa"/>
            <w:shd w:val="clear" w:color="auto" w:fill="auto"/>
            <w:vAlign w:val="center"/>
          </w:tcPr>
          <w:p w14:paraId="352E686F">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协助开展社区心理健康指导、精神卫生知识宣传教育活动等精神卫生工作。</w:t>
            </w:r>
          </w:p>
        </w:tc>
        <w:tc>
          <w:tcPr>
            <w:tcW w:w="2832" w:type="dxa"/>
            <w:shd w:val="clear" w:color="auto" w:fill="auto"/>
            <w:vAlign w:val="center"/>
          </w:tcPr>
          <w:p w14:paraId="097E0E17">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《中华人民共和国精神卫生法》第十条、第二十条</w:t>
            </w:r>
          </w:p>
        </w:tc>
        <w:tc>
          <w:tcPr>
            <w:tcW w:w="1170" w:type="dxa"/>
            <w:shd w:val="clear" w:color="auto" w:fill="auto"/>
            <w:vAlign w:val="center"/>
          </w:tcPr>
          <w:p w14:paraId="521DDC6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卫生健康部门</w:t>
            </w:r>
          </w:p>
        </w:tc>
        <w:tc>
          <w:tcPr>
            <w:tcW w:w="622" w:type="dxa"/>
            <w:shd w:val="clear" w:color="auto" w:fill="auto"/>
            <w:vAlign w:val="center"/>
          </w:tcPr>
          <w:p w14:paraId="489185B4">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41002A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EDB5589">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16</w:t>
            </w:r>
          </w:p>
        </w:tc>
        <w:tc>
          <w:tcPr>
            <w:tcW w:w="2244" w:type="dxa"/>
            <w:shd w:val="clear" w:color="auto" w:fill="auto"/>
            <w:vAlign w:val="center"/>
          </w:tcPr>
          <w:p w14:paraId="10645746">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协助开展传染病应急处理工作</w:t>
            </w:r>
          </w:p>
        </w:tc>
        <w:tc>
          <w:tcPr>
            <w:tcW w:w="5910" w:type="dxa"/>
            <w:shd w:val="clear" w:color="auto" w:fill="auto"/>
            <w:vAlign w:val="center"/>
          </w:tcPr>
          <w:p w14:paraId="0D3928C2">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协助做好疫情信息的收集和报告、人员的分散隔离、公共卫生措施的落实工作，向居民、村民宣传传染病防治的相关知识。</w:t>
            </w:r>
          </w:p>
        </w:tc>
        <w:tc>
          <w:tcPr>
            <w:tcW w:w="2832" w:type="dxa"/>
            <w:shd w:val="clear" w:color="auto" w:fill="auto"/>
            <w:vAlign w:val="center"/>
          </w:tcPr>
          <w:p w14:paraId="1AA674B3">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lang w:eastAsia="zh-CN"/>
              </w:rPr>
              <w:t>《突发公共卫生事件应急条例》</w:t>
            </w:r>
            <w:bookmarkStart w:id="0" w:name="_GoBack"/>
            <w:bookmarkEnd w:id="0"/>
            <w:r>
              <w:rPr>
                <w:rFonts w:hint="eastAsia" w:ascii="方正仿宋_GBK" w:hAnsi="方正仿宋_GBK" w:eastAsia="方正仿宋_GBK" w:cs="方正仿宋_GBK"/>
                <w:sz w:val="20"/>
                <w:szCs w:val="20"/>
              </w:rPr>
              <w:t>第四十条</w:t>
            </w:r>
          </w:p>
        </w:tc>
        <w:tc>
          <w:tcPr>
            <w:tcW w:w="1170" w:type="dxa"/>
            <w:shd w:val="clear" w:color="auto" w:fill="auto"/>
            <w:vAlign w:val="center"/>
          </w:tcPr>
          <w:p w14:paraId="35284CC2">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卫生健康部门</w:t>
            </w:r>
          </w:p>
        </w:tc>
        <w:tc>
          <w:tcPr>
            <w:tcW w:w="622" w:type="dxa"/>
            <w:shd w:val="clear" w:color="auto" w:fill="auto"/>
            <w:vAlign w:val="center"/>
          </w:tcPr>
          <w:p w14:paraId="18E258FA">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4373F4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F2BCF7C">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17</w:t>
            </w:r>
          </w:p>
        </w:tc>
        <w:tc>
          <w:tcPr>
            <w:tcW w:w="2244" w:type="dxa"/>
            <w:shd w:val="clear" w:color="auto" w:fill="auto"/>
            <w:vAlign w:val="center"/>
          </w:tcPr>
          <w:p w14:paraId="6D9FE644">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协助开展预防接种工作</w:t>
            </w:r>
          </w:p>
        </w:tc>
        <w:tc>
          <w:tcPr>
            <w:tcW w:w="5910" w:type="dxa"/>
            <w:shd w:val="clear" w:color="auto" w:fill="auto"/>
            <w:vAlign w:val="center"/>
          </w:tcPr>
          <w:p w14:paraId="30A166DB">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协助开展与预防接种有关的宣传、教育工作，协助组织村（居）民受种第一类疫苗。</w:t>
            </w:r>
          </w:p>
        </w:tc>
        <w:tc>
          <w:tcPr>
            <w:tcW w:w="2832" w:type="dxa"/>
            <w:shd w:val="clear" w:color="auto" w:fill="auto"/>
            <w:vAlign w:val="center"/>
          </w:tcPr>
          <w:p w14:paraId="4D8F7459">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《疫苗流通和预防接种管理条例》第九条</w:t>
            </w:r>
          </w:p>
        </w:tc>
        <w:tc>
          <w:tcPr>
            <w:tcW w:w="1170" w:type="dxa"/>
            <w:shd w:val="clear" w:color="auto" w:fill="auto"/>
            <w:vAlign w:val="center"/>
          </w:tcPr>
          <w:p w14:paraId="625609BA">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卫生健康部门</w:t>
            </w:r>
          </w:p>
        </w:tc>
        <w:tc>
          <w:tcPr>
            <w:tcW w:w="622" w:type="dxa"/>
            <w:shd w:val="clear" w:color="auto" w:fill="auto"/>
            <w:vAlign w:val="center"/>
          </w:tcPr>
          <w:p w14:paraId="0FFCE00F">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5C6A68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E22723D">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18</w:t>
            </w:r>
          </w:p>
        </w:tc>
        <w:tc>
          <w:tcPr>
            <w:tcW w:w="2244" w:type="dxa"/>
            <w:shd w:val="clear" w:color="auto" w:fill="auto"/>
            <w:vAlign w:val="center"/>
          </w:tcPr>
          <w:p w14:paraId="6E05268A">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协助做好气象防灾减灾</w:t>
            </w:r>
          </w:p>
        </w:tc>
        <w:tc>
          <w:tcPr>
            <w:tcW w:w="5910" w:type="dxa"/>
            <w:shd w:val="clear" w:color="auto" w:fill="auto"/>
            <w:vAlign w:val="center"/>
          </w:tcPr>
          <w:p w14:paraId="4C6EC16C">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协助做好气象防灾避险知识宣传、灾害隐患排查、灾害预警信息传播、灾情统计上报等工作。</w:t>
            </w:r>
          </w:p>
        </w:tc>
        <w:tc>
          <w:tcPr>
            <w:tcW w:w="2832" w:type="dxa"/>
            <w:shd w:val="clear" w:color="auto" w:fill="auto"/>
            <w:vAlign w:val="center"/>
          </w:tcPr>
          <w:p w14:paraId="114D109D">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《重庆市气象灾害防御条例》第三十五条</w:t>
            </w:r>
          </w:p>
        </w:tc>
        <w:tc>
          <w:tcPr>
            <w:tcW w:w="1170" w:type="dxa"/>
            <w:shd w:val="clear" w:color="auto" w:fill="auto"/>
            <w:vAlign w:val="center"/>
          </w:tcPr>
          <w:p w14:paraId="1858508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气象部门</w:t>
            </w:r>
          </w:p>
        </w:tc>
        <w:tc>
          <w:tcPr>
            <w:tcW w:w="622" w:type="dxa"/>
            <w:shd w:val="clear" w:color="auto" w:fill="auto"/>
            <w:vAlign w:val="center"/>
          </w:tcPr>
          <w:p w14:paraId="545C7FF1">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29EF5D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3506708">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19</w:t>
            </w:r>
          </w:p>
        </w:tc>
        <w:tc>
          <w:tcPr>
            <w:tcW w:w="2244" w:type="dxa"/>
            <w:shd w:val="clear" w:color="auto" w:fill="auto"/>
            <w:vAlign w:val="center"/>
          </w:tcPr>
          <w:p w14:paraId="07DDF5D4">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协助管理宗教事务</w:t>
            </w:r>
          </w:p>
        </w:tc>
        <w:tc>
          <w:tcPr>
            <w:tcW w:w="5910" w:type="dxa"/>
            <w:shd w:val="clear" w:color="auto" w:fill="auto"/>
            <w:vAlign w:val="center"/>
          </w:tcPr>
          <w:p w14:paraId="785B3935">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协助管理宗教事务。</w:t>
            </w:r>
          </w:p>
        </w:tc>
        <w:tc>
          <w:tcPr>
            <w:tcW w:w="2832" w:type="dxa"/>
            <w:shd w:val="clear" w:color="auto" w:fill="auto"/>
            <w:vAlign w:val="center"/>
          </w:tcPr>
          <w:p w14:paraId="54DA2874">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《宗教事务条例》第六条第三款</w:t>
            </w:r>
          </w:p>
        </w:tc>
        <w:tc>
          <w:tcPr>
            <w:tcW w:w="1170" w:type="dxa"/>
            <w:shd w:val="clear" w:color="auto" w:fill="auto"/>
            <w:vAlign w:val="center"/>
          </w:tcPr>
          <w:p w14:paraId="74CBABB5">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民族宗教部门</w:t>
            </w:r>
          </w:p>
        </w:tc>
        <w:tc>
          <w:tcPr>
            <w:tcW w:w="622" w:type="dxa"/>
            <w:shd w:val="clear" w:color="auto" w:fill="auto"/>
            <w:vAlign w:val="center"/>
          </w:tcPr>
          <w:p w14:paraId="6FCB3295">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6D5002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F906F35">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20</w:t>
            </w:r>
          </w:p>
        </w:tc>
        <w:tc>
          <w:tcPr>
            <w:tcW w:w="2244" w:type="dxa"/>
            <w:shd w:val="clear" w:color="auto" w:fill="auto"/>
            <w:vAlign w:val="center"/>
          </w:tcPr>
          <w:p w14:paraId="47C2E07E">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协助做好安全生产的监督管理</w:t>
            </w:r>
          </w:p>
        </w:tc>
        <w:tc>
          <w:tcPr>
            <w:tcW w:w="5910" w:type="dxa"/>
            <w:shd w:val="clear" w:color="auto" w:fill="auto"/>
            <w:vAlign w:val="center"/>
          </w:tcPr>
          <w:p w14:paraId="4790CF0D">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发现所在区域内存在安全生产违法行为或者事故隐患的，应当进行劝导、制止和报告。</w:t>
            </w:r>
          </w:p>
        </w:tc>
        <w:tc>
          <w:tcPr>
            <w:tcW w:w="2832" w:type="dxa"/>
            <w:shd w:val="clear" w:color="auto" w:fill="auto"/>
            <w:vAlign w:val="center"/>
          </w:tcPr>
          <w:p w14:paraId="28C218E8">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《中华人民共和国安全生产法》第七十二条</w:t>
            </w:r>
          </w:p>
          <w:p w14:paraId="39ECC5DF">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《重庆市安全生产条例》第三十五条第二款</w:t>
            </w:r>
          </w:p>
        </w:tc>
        <w:tc>
          <w:tcPr>
            <w:tcW w:w="1170" w:type="dxa"/>
            <w:shd w:val="clear" w:color="auto" w:fill="auto"/>
            <w:vAlign w:val="center"/>
          </w:tcPr>
          <w:p w14:paraId="3E8B6C74">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应急管理部门</w:t>
            </w:r>
          </w:p>
        </w:tc>
        <w:tc>
          <w:tcPr>
            <w:tcW w:w="622" w:type="dxa"/>
            <w:shd w:val="clear" w:color="auto" w:fill="auto"/>
            <w:vAlign w:val="center"/>
          </w:tcPr>
          <w:p w14:paraId="5B4C324B">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51E42B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DCD74BA">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21</w:t>
            </w:r>
          </w:p>
        </w:tc>
        <w:tc>
          <w:tcPr>
            <w:tcW w:w="2244" w:type="dxa"/>
            <w:shd w:val="clear" w:color="auto" w:fill="auto"/>
            <w:vAlign w:val="center"/>
          </w:tcPr>
          <w:p w14:paraId="4E8DF20A">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协助开展自然灾害救助工作</w:t>
            </w:r>
          </w:p>
        </w:tc>
        <w:tc>
          <w:tcPr>
            <w:tcW w:w="5910" w:type="dxa"/>
            <w:shd w:val="clear" w:color="auto" w:fill="auto"/>
            <w:vAlign w:val="center"/>
          </w:tcPr>
          <w:p w14:paraId="23A872A8">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协助做好自然灾害信息报送工作；提名、评议居民住房恢复重建补助对象；公布救助对象及其接受救助款物数额和使用情况。</w:t>
            </w:r>
          </w:p>
        </w:tc>
        <w:tc>
          <w:tcPr>
            <w:tcW w:w="2832" w:type="dxa"/>
            <w:shd w:val="clear" w:color="auto" w:fill="auto"/>
            <w:vAlign w:val="center"/>
          </w:tcPr>
          <w:p w14:paraId="2B729F0C">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《自然灾害救助条例》第五条、第十二条、第二十条、第二十六条第二款</w:t>
            </w:r>
          </w:p>
        </w:tc>
        <w:tc>
          <w:tcPr>
            <w:tcW w:w="1170" w:type="dxa"/>
            <w:shd w:val="clear" w:color="auto" w:fill="auto"/>
            <w:vAlign w:val="center"/>
          </w:tcPr>
          <w:p w14:paraId="5F25A399">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应急管理部门</w:t>
            </w:r>
          </w:p>
        </w:tc>
        <w:tc>
          <w:tcPr>
            <w:tcW w:w="622" w:type="dxa"/>
            <w:shd w:val="clear" w:color="auto" w:fill="auto"/>
            <w:vAlign w:val="center"/>
          </w:tcPr>
          <w:p w14:paraId="26AA28A2">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769983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B9EA3CF">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22</w:t>
            </w:r>
          </w:p>
        </w:tc>
        <w:tc>
          <w:tcPr>
            <w:tcW w:w="2244" w:type="dxa"/>
            <w:shd w:val="clear" w:color="auto" w:fill="auto"/>
            <w:vAlign w:val="center"/>
          </w:tcPr>
          <w:p w14:paraId="4CD14DC6">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协助开展突发事件应对工作</w:t>
            </w:r>
          </w:p>
        </w:tc>
        <w:tc>
          <w:tcPr>
            <w:tcW w:w="5910" w:type="dxa"/>
            <w:shd w:val="clear" w:color="auto" w:fill="auto"/>
            <w:vAlign w:val="center"/>
          </w:tcPr>
          <w:p w14:paraId="162DA65E">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协助开展应急知识的宣传普及活动和必要的应急演练；突发事件发生后，协助进行宣传动员，报送突发事件信息，组织群众开展自救和互救，维护社会秩序。</w:t>
            </w:r>
          </w:p>
        </w:tc>
        <w:tc>
          <w:tcPr>
            <w:tcW w:w="2832" w:type="dxa"/>
            <w:shd w:val="clear" w:color="auto" w:fill="auto"/>
            <w:vAlign w:val="center"/>
          </w:tcPr>
          <w:p w14:paraId="6FCC6C39">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《中华人民共和国突发事件应对法》第二十九条第二款、第三十八条第二款、第五十五条</w:t>
            </w:r>
          </w:p>
        </w:tc>
        <w:tc>
          <w:tcPr>
            <w:tcW w:w="1170" w:type="dxa"/>
            <w:shd w:val="clear" w:color="auto" w:fill="auto"/>
            <w:vAlign w:val="center"/>
          </w:tcPr>
          <w:p w14:paraId="54CCB206">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应急管理部门</w:t>
            </w:r>
          </w:p>
        </w:tc>
        <w:tc>
          <w:tcPr>
            <w:tcW w:w="622" w:type="dxa"/>
            <w:shd w:val="clear" w:color="auto" w:fill="auto"/>
            <w:vAlign w:val="center"/>
          </w:tcPr>
          <w:p w14:paraId="149CEFC1">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3F2226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8DF5290">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23</w:t>
            </w:r>
          </w:p>
        </w:tc>
        <w:tc>
          <w:tcPr>
            <w:tcW w:w="2244" w:type="dxa"/>
            <w:shd w:val="clear" w:color="auto" w:fill="auto"/>
            <w:vAlign w:val="center"/>
          </w:tcPr>
          <w:p w14:paraId="07665A28">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协助做好物业管理工作</w:t>
            </w:r>
          </w:p>
        </w:tc>
        <w:tc>
          <w:tcPr>
            <w:tcW w:w="5910" w:type="dxa"/>
            <w:shd w:val="clear" w:color="auto" w:fill="auto"/>
            <w:vAlign w:val="center"/>
          </w:tcPr>
          <w:p w14:paraId="79B4CFBB">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协助做好物业管理相关工作。</w:t>
            </w:r>
          </w:p>
        </w:tc>
        <w:tc>
          <w:tcPr>
            <w:tcW w:w="2832" w:type="dxa"/>
            <w:shd w:val="clear" w:color="auto" w:fill="auto"/>
            <w:vAlign w:val="center"/>
          </w:tcPr>
          <w:p w14:paraId="4BAC4B9A">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《重庆市物业管理条例》第四条</w:t>
            </w:r>
          </w:p>
        </w:tc>
        <w:tc>
          <w:tcPr>
            <w:tcW w:w="1170" w:type="dxa"/>
            <w:shd w:val="clear" w:color="auto" w:fill="auto"/>
            <w:vAlign w:val="center"/>
          </w:tcPr>
          <w:p w14:paraId="5498ECA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住房城乡建设部门</w:t>
            </w:r>
          </w:p>
        </w:tc>
        <w:tc>
          <w:tcPr>
            <w:tcW w:w="622" w:type="dxa"/>
            <w:shd w:val="clear" w:color="auto" w:fill="auto"/>
            <w:vAlign w:val="center"/>
          </w:tcPr>
          <w:p w14:paraId="2ABA9D24">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539561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0470181">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24</w:t>
            </w:r>
          </w:p>
        </w:tc>
        <w:tc>
          <w:tcPr>
            <w:tcW w:w="2244" w:type="dxa"/>
            <w:shd w:val="clear" w:color="auto" w:fill="auto"/>
            <w:vAlign w:val="center"/>
          </w:tcPr>
          <w:p w14:paraId="74EC27DA">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协助推进家庭教育</w:t>
            </w:r>
          </w:p>
        </w:tc>
        <w:tc>
          <w:tcPr>
            <w:tcW w:w="5910" w:type="dxa"/>
            <w:shd w:val="clear" w:color="auto" w:fill="auto"/>
            <w:vAlign w:val="center"/>
          </w:tcPr>
          <w:p w14:paraId="7631F8F8">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协助推进家庭教育工作，处理家庭教育求助申请。</w:t>
            </w:r>
          </w:p>
        </w:tc>
        <w:tc>
          <w:tcPr>
            <w:tcW w:w="2832" w:type="dxa"/>
            <w:shd w:val="clear" w:color="auto" w:fill="auto"/>
            <w:vAlign w:val="center"/>
          </w:tcPr>
          <w:p w14:paraId="57D20354">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《重庆市家庭教育促进条例》第四十条</w:t>
            </w:r>
          </w:p>
        </w:tc>
        <w:tc>
          <w:tcPr>
            <w:tcW w:w="1170" w:type="dxa"/>
            <w:shd w:val="clear" w:color="auto" w:fill="auto"/>
            <w:vAlign w:val="center"/>
          </w:tcPr>
          <w:p w14:paraId="4BBF074D">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政府相关部门</w:t>
            </w:r>
          </w:p>
        </w:tc>
        <w:tc>
          <w:tcPr>
            <w:tcW w:w="622" w:type="dxa"/>
            <w:shd w:val="clear" w:color="auto" w:fill="auto"/>
            <w:vAlign w:val="center"/>
          </w:tcPr>
          <w:p w14:paraId="40431313">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6DD815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0704B34">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25</w:t>
            </w:r>
          </w:p>
        </w:tc>
        <w:tc>
          <w:tcPr>
            <w:tcW w:w="2244" w:type="dxa"/>
            <w:shd w:val="clear" w:color="auto" w:fill="auto"/>
            <w:vAlign w:val="center"/>
          </w:tcPr>
          <w:p w14:paraId="4C7D9CF3">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协助做好未成年人保护工作</w:t>
            </w:r>
          </w:p>
        </w:tc>
        <w:tc>
          <w:tcPr>
            <w:tcW w:w="5910" w:type="dxa"/>
            <w:shd w:val="clear" w:color="auto" w:fill="auto"/>
            <w:vAlign w:val="center"/>
          </w:tcPr>
          <w:p w14:paraId="7A43362C">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协助有关部门教育和挽救违法犯罪的未成年人，预防和制止侵害未成年人合法权益的违法犯罪行为。</w:t>
            </w:r>
          </w:p>
        </w:tc>
        <w:tc>
          <w:tcPr>
            <w:tcW w:w="2832" w:type="dxa"/>
            <w:shd w:val="clear" w:color="auto" w:fill="auto"/>
            <w:vAlign w:val="center"/>
          </w:tcPr>
          <w:p w14:paraId="7AEF43A3">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《中华人民共和国未成年人保护法》第六条、第四十八条</w:t>
            </w:r>
          </w:p>
        </w:tc>
        <w:tc>
          <w:tcPr>
            <w:tcW w:w="1170" w:type="dxa"/>
            <w:shd w:val="clear" w:color="auto" w:fill="auto"/>
            <w:vAlign w:val="center"/>
          </w:tcPr>
          <w:p w14:paraId="67BCC61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政府相关部门</w:t>
            </w:r>
          </w:p>
        </w:tc>
        <w:tc>
          <w:tcPr>
            <w:tcW w:w="622" w:type="dxa"/>
            <w:shd w:val="clear" w:color="auto" w:fill="auto"/>
            <w:vAlign w:val="center"/>
          </w:tcPr>
          <w:p w14:paraId="761ACFFF">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4FAB28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BC88B12">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26</w:t>
            </w:r>
          </w:p>
        </w:tc>
        <w:tc>
          <w:tcPr>
            <w:tcW w:w="2244" w:type="dxa"/>
            <w:shd w:val="clear" w:color="auto" w:fill="auto"/>
            <w:vAlign w:val="center"/>
          </w:tcPr>
          <w:p w14:paraId="2C3F018F">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协助做好反家庭暴力工作</w:t>
            </w:r>
          </w:p>
        </w:tc>
        <w:tc>
          <w:tcPr>
            <w:tcW w:w="5910" w:type="dxa"/>
            <w:shd w:val="clear" w:color="auto" w:fill="auto"/>
            <w:vAlign w:val="center"/>
          </w:tcPr>
          <w:p w14:paraId="1D7C57B4">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协助有关部门做好家庭暴力的预防、处置等工作，履行强制报告职责。</w:t>
            </w:r>
          </w:p>
        </w:tc>
        <w:tc>
          <w:tcPr>
            <w:tcW w:w="2832" w:type="dxa"/>
            <w:shd w:val="clear" w:color="auto" w:fill="auto"/>
            <w:vAlign w:val="center"/>
          </w:tcPr>
          <w:p w14:paraId="7A2853B2">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《中华人民共和国反家庭暴力法》第四条、第二款、第八条、第十三条、第十四条、第三十五条</w:t>
            </w:r>
          </w:p>
        </w:tc>
        <w:tc>
          <w:tcPr>
            <w:tcW w:w="1170" w:type="dxa"/>
            <w:shd w:val="clear" w:color="auto" w:fill="auto"/>
            <w:vAlign w:val="center"/>
          </w:tcPr>
          <w:p w14:paraId="3D45F979">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政府相关部门</w:t>
            </w:r>
          </w:p>
        </w:tc>
        <w:tc>
          <w:tcPr>
            <w:tcW w:w="622" w:type="dxa"/>
            <w:shd w:val="clear" w:color="auto" w:fill="auto"/>
            <w:vAlign w:val="center"/>
          </w:tcPr>
          <w:p w14:paraId="1D8C0B73">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r w14:paraId="71261A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B45B076">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27</w:t>
            </w:r>
          </w:p>
        </w:tc>
        <w:tc>
          <w:tcPr>
            <w:tcW w:w="2244" w:type="dxa"/>
            <w:shd w:val="clear" w:color="auto" w:fill="auto"/>
            <w:vAlign w:val="center"/>
          </w:tcPr>
          <w:p w14:paraId="0590F51D">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协助做好农民工权益保护、服务和管理工作。</w:t>
            </w:r>
          </w:p>
        </w:tc>
        <w:tc>
          <w:tcPr>
            <w:tcW w:w="5910" w:type="dxa"/>
            <w:shd w:val="clear" w:color="auto" w:fill="auto"/>
            <w:vAlign w:val="center"/>
          </w:tcPr>
          <w:p w14:paraId="276DEB97">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农民工户籍所在地的村委会应当协助提高农民外出务工的组织化程度，开拓劳务市场，收集发布劳务信息，发展订单培训、定向输出。农民工务工暂住地的居委会应当协助做好培训教育、治安管理、消防安全、计划生育、妇幼保健、卫生防疫、法律服务、法律援助等工作，免费提供房屋租赁、求职和就业等信息咨询服务。</w:t>
            </w:r>
          </w:p>
        </w:tc>
        <w:tc>
          <w:tcPr>
            <w:tcW w:w="2832" w:type="dxa"/>
            <w:shd w:val="clear" w:color="auto" w:fill="auto"/>
            <w:vAlign w:val="center"/>
          </w:tcPr>
          <w:p w14:paraId="4BF288E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《重庆市进城务工农民权益保护和服务管理办法》第六条、第二十三条、第三十八条</w:t>
            </w:r>
          </w:p>
        </w:tc>
        <w:tc>
          <w:tcPr>
            <w:tcW w:w="1170" w:type="dxa"/>
            <w:shd w:val="clear" w:color="auto" w:fill="auto"/>
            <w:vAlign w:val="center"/>
          </w:tcPr>
          <w:p w14:paraId="6BD446F1">
            <w:pPr>
              <w:pStyle w:val="9"/>
              <w:widowControl/>
              <w:spacing w:beforeAutospacing="0" w:afterAutospacing="0" w:line="57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政府相关部门</w:t>
            </w:r>
          </w:p>
        </w:tc>
        <w:tc>
          <w:tcPr>
            <w:tcW w:w="622" w:type="dxa"/>
            <w:shd w:val="clear" w:color="auto" w:fill="auto"/>
            <w:vAlign w:val="center"/>
          </w:tcPr>
          <w:p w14:paraId="3E94FB7D">
            <w:pPr>
              <w:pStyle w:val="9"/>
              <w:widowControl/>
              <w:spacing w:beforeAutospacing="0" w:afterAutospacing="0" w:line="570" w:lineRule="atLeast"/>
              <w:jc w:val="center"/>
              <w:rPr>
                <w:rFonts w:ascii="仿宋" w:hAnsi="仿宋" w:eastAsia="仿宋" w:cs="仿宋"/>
                <w:sz w:val="20"/>
                <w:szCs w:val="20"/>
              </w:rPr>
            </w:pPr>
            <w:r>
              <w:rPr>
                <w:rFonts w:hint="eastAsia" w:ascii="仿宋" w:hAnsi="仿宋" w:eastAsia="仿宋" w:cs="仿宋"/>
                <w:sz w:val="20"/>
                <w:szCs w:val="20"/>
              </w:rPr>
              <w:t>　</w:t>
            </w:r>
          </w:p>
        </w:tc>
      </w:tr>
    </w:tbl>
    <w:p w14:paraId="352060C3">
      <w:pPr>
        <w:pStyle w:val="9"/>
        <w:widowControl/>
        <w:spacing w:beforeAutospacing="0" w:afterAutospacing="0" w:line="570" w:lineRule="atLeast"/>
        <w:rPr>
          <w:rFonts w:ascii="仿宋" w:hAnsi="仿宋" w:eastAsia="仿宋" w:cs="仿宋"/>
          <w:sz w:val="31"/>
          <w:szCs w:val="31"/>
        </w:rPr>
      </w:pPr>
    </w:p>
    <w:p w14:paraId="4861CBA3">
      <w:pPr>
        <w:pStyle w:val="9"/>
        <w:widowControl/>
        <w:spacing w:beforeAutospacing="0" w:afterAutospacing="0" w:line="570" w:lineRule="atLeast"/>
        <w:rPr>
          <w:rFonts w:ascii="仿宋" w:hAnsi="仿宋" w:eastAsia="仿宋" w:cs="仿宋"/>
          <w:sz w:val="31"/>
          <w:szCs w:val="31"/>
        </w:rPr>
      </w:pPr>
    </w:p>
    <w:p w14:paraId="275CAC74">
      <w:pPr>
        <w:pStyle w:val="9"/>
        <w:widowControl/>
        <w:spacing w:beforeAutospacing="0" w:afterAutospacing="0" w:line="570" w:lineRule="atLeast"/>
        <w:rPr>
          <w:rFonts w:ascii="仿宋" w:hAnsi="仿宋" w:eastAsia="仿宋" w:cs="仿宋"/>
          <w:sz w:val="31"/>
          <w:szCs w:val="31"/>
        </w:rPr>
      </w:pPr>
    </w:p>
    <w:p w14:paraId="67F64CEC">
      <w:pPr>
        <w:pStyle w:val="9"/>
        <w:widowControl/>
        <w:spacing w:beforeAutospacing="0" w:afterAutospacing="0" w:line="570" w:lineRule="atLeast"/>
        <w:rPr>
          <w:rFonts w:ascii="仿宋" w:hAnsi="仿宋" w:eastAsia="仿宋" w:cs="仿宋"/>
          <w:sz w:val="31"/>
          <w:szCs w:val="31"/>
        </w:rPr>
      </w:pPr>
    </w:p>
    <w:p w14:paraId="132D8475">
      <w:pPr>
        <w:pStyle w:val="9"/>
        <w:widowControl/>
        <w:spacing w:beforeAutospacing="0" w:afterAutospacing="0" w:line="570" w:lineRule="atLeast"/>
        <w:rPr>
          <w:rFonts w:ascii="黑体" w:hAnsi="宋体" w:eastAsia="黑体" w:cs="黑体"/>
          <w:sz w:val="32"/>
          <w:szCs w:val="32"/>
        </w:rPr>
      </w:pPr>
    </w:p>
    <w:p w14:paraId="2D4D4113">
      <w:pPr>
        <w:pStyle w:val="9"/>
        <w:widowControl/>
        <w:spacing w:beforeAutospacing="0" w:afterAutospacing="0" w:line="570" w:lineRule="atLeast"/>
        <w:rPr>
          <w:rFonts w:ascii="黑体" w:hAnsi="宋体" w:eastAsia="黑体" w:cs="黑体"/>
          <w:sz w:val="32"/>
          <w:szCs w:val="32"/>
        </w:rPr>
      </w:pPr>
      <w:r>
        <w:rPr>
          <w:rFonts w:ascii="黑体" w:hAnsi="宋体" w:eastAsia="黑体" w:cs="黑体"/>
          <w:sz w:val="32"/>
          <w:szCs w:val="32"/>
        </w:rPr>
        <w:t>附件3</w:t>
      </w:r>
    </w:p>
    <w:p w14:paraId="1324DA5E">
      <w:pPr>
        <w:pStyle w:val="9"/>
        <w:widowControl/>
        <w:spacing w:beforeAutospacing="0" w:afterAutospacing="0" w:line="570" w:lineRule="atLeast"/>
        <w:rPr>
          <w:rFonts w:ascii="仿宋" w:hAnsi="仿宋" w:eastAsia="仿宋" w:cs="仿宋"/>
          <w:sz w:val="31"/>
          <w:szCs w:val="31"/>
        </w:rPr>
      </w:pPr>
    </w:p>
    <w:p w14:paraId="76F3FC82">
      <w:pPr>
        <w:pStyle w:val="9"/>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基层群众性自治组织工作负面事项清单</w:t>
      </w:r>
    </w:p>
    <w:p w14:paraId="1EEC543D">
      <w:pPr>
        <w:pStyle w:val="9"/>
        <w:widowControl/>
        <w:spacing w:beforeAutospacing="0" w:afterAutospacing="0" w:line="570" w:lineRule="atLeast"/>
        <w:rPr>
          <w:rFonts w:ascii="仿宋" w:hAnsi="仿宋" w:eastAsia="仿宋" w:cs="仿宋"/>
          <w:sz w:val="31"/>
          <w:szCs w:val="31"/>
        </w:rPr>
      </w:pP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90"/>
        <w:gridCol w:w="1701"/>
        <w:gridCol w:w="10598"/>
      </w:tblGrid>
      <w:tr w14:paraId="41E743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90" w:type="dxa"/>
            <w:shd w:val="clear" w:color="auto" w:fill="auto"/>
            <w:vAlign w:val="center"/>
          </w:tcPr>
          <w:p w14:paraId="3A1273F2">
            <w:pPr>
              <w:pStyle w:val="9"/>
              <w:widowControl/>
              <w:spacing w:beforeAutospacing="0" w:afterAutospacing="0" w:line="570" w:lineRule="atLeast"/>
              <w:jc w:val="center"/>
              <w:rPr>
                <w:rFonts w:ascii="仿宋" w:hAnsi="仿宋" w:eastAsia="仿宋" w:cs="仿宋"/>
                <w:sz w:val="22"/>
                <w:szCs w:val="22"/>
              </w:rPr>
            </w:pPr>
            <w:r>
              <w:rPr>
                <w:rFonts w:ascii="黑体" w:hAnsi="宋体" w:eastAsia="黑体" w:cs="黑体"/>
                <w:sz w:val="22"/>
                <w:szCs w:val="22"/>
              </w:rPr>
              <w:t>序号</w:t>
            </w:r>
          </w:p>
        </w:tc>
        <w:tc>
          <w:tcPr>
            <w:tcW w:w="1701" w:type="dxa"/>
            <w:shd w:val="clear" w:color="auto" w:fill="auto"/>
            <w:vAlign w:val="center"/>
          </w:tcPr>
          <w:p w14:paraId="5145A666">
            <w:pPr>
              <w:pStyle w:val="9"/>
              <w:widowControl/>
              <w:spacing w:beforeAutospacing="0" w:afterAutospacing="0" w:line="570" w:lineRule="atLeast"/>
              <w:jc w:val="center"/>
              <w:rPr>
                <w:rFonts w:ascii="仿宋" w:hAnsi="仿宋" w:eastAsia="仿宋" w:cs="仿宋"/>
                <w:sz w:val="22"/>
                <w:szCs w:val="22"/>
              </w:rPr>
            </w:pPr>
            <w:r>
              <w:rPr>
                <w:rFonts w:ascii="黑体" w:hAnsi="宋体" w:eastAsia="黑体" w:cs="黑体"/>
                <w:sz w:val="22"/>
                <w:szCs w:val="22"/>
              </w:rPr>
              <w:t>工作事项类别</w:t>
            </w:r>
          </w:p>
        </w:tc>
        <w:tc>
          <w:tcPr>
            <w:tcW w:w="10598" w:type="dxa"/>
            <w:shd w:val="clear" w:color="auto" w:fill="auto"/>
            <w:vAlign w:val="center"/>
          </w:tcPr>
          <w:p w14:paraId="732A63AF">
            <w:pPr>
              <w:pStyle w:val="9"/>
              <w:widowControl/>
              <w:spacing w:beforeAutospacing="0" w:afterAutospacing="0" w:line="570" w:lineRule="atLeast"/>
              <w:jc w:val="center"/>
              <w:rPr>
                <w:rFonts w:ascii="仿宋" w:hAnsi="仿宋" w:eastAsia="仿宋" w:cs="仿宋"/>
                <w:sz w:val="22"/>
                <w:szCs w:val="22"/>
              </w:rPr>
            </w:pPr>
            <w:r>
              <w:rPr>
                <w:rFonts w:ascii="黑体" w:hAnsi="宋体" w:eastAsia="黑体" w:cs="黑体"/>
                <w:sz w:val="22"/>
                <w:szCs w:val="22"/>
              </w:rPr>
              <w:t>具体工作内容</w:t>
            </w:r>
          </w:p>
        </w:tc>
      </w:tr>
      <w:tr w14:paraId="2B35D1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90" w:type="dxa"/>
            <w:shd w:val="clear" w:color="auto" w:fill="auto"/>
            <w:vAlign w:val="center"/>
          </w:tcPr>
          <w:p w14:paraId="1C6E6F45">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1701" w:type="dxa"/>
            <w:shd w:val="clear" w:color="auto" w:fill="auto"/>
            <w:vAlign w:val="center"/>
          </w:tcPr>
          <w:p w14:paraId="4F19D2CE">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行政执法类</w:t>
            </w:r>
          </w:p>
        </w:tc>
        <w:tc>
          <w:tcPr>
            <w:tcW w:w="10598" w:type="dxa"/>
            <w:shd w:val="clear" w:color="auto" w:fill="auto"/>
            <w:vAlign w:val="center"/>
          </w:tcPr>
          <w:p w14:paraId="6B429C37">
            <w:pPr>
              <w:pStyle w:val="9"/>
              <w:widowControl/>
              <w:spacing w:beforeAutospacing="0" w:afterAutospacing="0" w:line="600" w:lineRule="exact"/>
              <w:ind w:firstLine="42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评定食品安全等级和日常监督检查执法；整治非机动车；公共场所卫生、饮用水安全等监督检查执法等</w:t>
            </w:r>
          </w:p>
        </w:tc>
      </w:tr>
      <w:tr w14:paraId="462B2F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90" w:type="dxa"/>
            <w:shd w:val="clear" w:color="auto" w:fill="auto"/>
            <w:vAlign w:val="center"/>
          </w:tcPr>
          <w:p w14:paraId="0EB3F8B9">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1701" w:type="dxa"/>
            <w:shd w:val="clear" w:color="auto" w:fill="auto"/>
            <w:vAlign w:val="center"/>
          </w:tcPr>
          <w:p w14:paraId="473776F1">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拆迁拆违类</w:t>
            </w:r>
          </w:p>
        </w:tc>
        <w:tc>
          <w:tcPr>
            <w:tcW w:w="10598" w:type="dxa"/>
            <w:shd w:val="clear" w:color="auto" w:fill="auto"/>
            <w:vAlign w:val="center"/>
          </w:tcPr>
          <w:p w14:paraId="4F8A983A">
            <w:pPr>
              <w:pStyle w:val="9"/>
              <w:widowControl/>
              <w:spacing w:beforeAutospacing="0" w:afterAutospacing="0" w:line="600" w:lineRule="exact"/>
              <w:ind w:firstLine="42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鉴定违章搭建的建筑物；拆除违章建筑；对违法搭建进行罚没；组织拆除农村已建新房的旧房以及废弃的闲置厂房；认定危房等级；强制危房户搬迁等</w:t>
            </w:r>
          </w:p>
        </w:tc>
      </w:tr>
      <w:tr w14:paraId="7699B5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90" w:type="dxa"/>
            <w:shd w:val="clear" w:color="auto" w:fill="auto"/>
            <w:vAlign w:val="center"/>
          </w:tcPr>
          <w:p w14:paraId="39BE161F">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1701" w:type="dxa"/>
            <w:shd w:val="clear" w:color="auto" w:fill="auto"/>
            <w:vAlign w:val="center"/>
          </w:tcPr>
          <w:p w14:paraId="7FFD25BE">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环境整治类</w:t>
            </w:r>
          </w:p>
        </w:tc>
        <w:tc>
          <w:tcPr>
            <w:tcW w:w="10598" w:type="dxa"/>
            <w:shd w:val="clear" w:color="auto" w:fill="auto"/>
            <w:vAlign w:val="center"/>
          </w:tcPr>
          <w:p w14:paraId="5CC8243C">
            <w:pPr>
              <w:pStyle w:val="9"/>
              <w:widowControl/>
              <w:spacing w:beforeAutospacing="0" w:afterAutospacing="0" w:line="600" w:lineRule="exact"/>
              <w:ind w:firstLine="42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燃煤及油烟整治；畜禽养殖关闭整治；河道整治；音响、施工等噪音投诉处理等</w:t>
            </w:r>
          </w:p>
        </w:tc>
      </w:tr>
      <w:tr w14:paraId="75C137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90" w:type="dxa"/>
            <w:shd w:val="clear" w:color="auto" w:fill="auto"/>
            <w:vAlign w:val="center"/>
          </w:tcPr>
          <w:p w14:paraId="4A8CA216">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w:t>
            </w:r>
          </w:p>
        </w:tc>
        <w:tc>
          <w:tcPr>
            <w:tcW w:w="1701" w:type="dxa"/>
            <w:shd w:val="clear" w:color="auto" w:fill="auto"/>
            <w:vAlign w:val="center"/>
          </w:tcPr>
          <w:p w14:paraId="36CFE936">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城市管理类</w:t>
            </w:r>
          </w:p>
        </w:tc>
        <w:tc>
          <w:tcPr>
            <w:tcW w:w="10598" w:type="dxa"/>
            <w:shd w:val="clear" w:color="auto" w:fill="auto"/>
            <w:vAlign w:val="center"/>
          </w:tcPr>
          <w:p w14:paraId="0FCB7E59">
            <w:pPr>
              <w:pStyle w:val="9"/>
              <w:widowControl/>
              <w:spacing w:beforeAutospacing="0" w:afterAutospacing="0" w:line="600" w:lineRule="exact"/>
              <w:ind w:firstLine="42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场镇管理，维护场镇秩序、负责街面卫生；占道经营管理；整治市容市貌；处罚乱扔行为；负责市政道路的清洁卫生，行道树的排危及道路沿线花木的养护等</w:t>
            </w:r>
          </w:p>
        </w:tc>
      </w:tr>
      <w:tr w14:paraId="5D6A62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90" w:type="dxa"/>
            <w:shd w:val="clear" w:color="auto" w:fill="auto"/>
            <w:vAlign w:val="center"/>
          </w:tcPr>
          <w:p w14:paraId="47B1D2B8">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c>
          <w:tcPr>
            <w:tcW w:w="1701" w:type="dxa"/>
            <w:shd w:val="clear" w:color="auto" w:fill="auto"/>
            <w:vAlign w:val="center"/>
          </w:tcPr>
          <w:p w14:paraId="7F193A54">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招商引资类</w:t>
            </w:r>
          </w:p>
        </w:tc>
        <w:tc>
          <w:tcPr>
            <w:tcW w:w="10598" w:type="dxa"/>
            <w:shd w:val="clear" w:color="auto" w:fill="auto"/>
            <w:vAlign w:val="center"/>
          </w:tcPr>
          <w:p w14:paraId="427B6DB9">
            <w:pPr>
              <w:pStyle w:val="9"/>
              <w:widowControl/>
              <w:spacing w:beforeAutospacing="0" w:afterAutospacing="0" w:line="600" w:lineRule="exact"/>
              <w:ind w:firstLine="42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组织考察和洽谈招商项目；发展个体工商户；非公有制经济组织的统计调查工作等</w:t>
            </w:r>
          </w:p>
        </w:tc>
      </w:tr>
      <w:tr w14:paraId="5CB51A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90" w:type="dxa"/>
            <w:shd w:val="clear" w:color="auto" w:fill="auto"/>
            <w:vAlign w:val="center"/>
          </w:tcPr>
          <w:p w14:paraId="282ECC43">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6</w:t>
            </w:r>
          </w:p>
        </w:tc>
        <w:tc>
          <w:tcPr>
            <w:tcW w:w="1701" w:type="dxa"/>
            <w:shd w:val="clear" w:color="auto" w:fill="auto"/>
            <w:vAlign w:val="center"/>
          </w:tcPr>
          <w:p w14:paraId="15E31E4C">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协税护税类</w:t>
            </w:r>
          </w:p>
        </w:tc>
        <w:tc>
          <w:tcPr>
            <w:tcW w:w="10598" w:type="dxa"/>
            <w:shd w:val="clear" w:color="auto" w:fill="auto"/>
            <w:vAlign w:val="center"/>
          </w:tcPr>
          <w:p w14:paraId="0B27BF90">
            <w:pPr>
              <w:pStyle w:val="9"/>
              <w:widowControl/>
              <w:spacing w:beforeAutospacing="0" w:afterAutospacing="0" w:line="600" w:lineRule="exact"/>
              <w:ind w:firstLine="42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征收商业用房零散税费；核实业主申报的企业缴税情况等</w:t>
            </w:r>
          </w:p>
        </w:tc>
      </w:tr>
      <w:tr w14:paraId="4D4EAE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90" w:type="dxa"/>
            <w:shd w:val="clear" w:color="auto" w:fill="auto"/>
            <w:vAlign w:val="center"/>
          </w:tcPr>
          <w:p w14:paraId="62D4B665">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7</w:t>
            </w:r>
          </w:p>
        </w:tc>
        <w:tc>
          <w:tcPr>
            <w:tcW w:w="1701" w:type="dxa"/>
            <w:shd w:val="clear" w:color="auto" w:fill="auto"/>
            <w:vAlign w:val="center"/>
          </w:tcPr>
          <w:p w14:paraId="7F2A41D3">
            <w:pPr>
              <w:pStyle w:val="9"/>
              <w:widowControl/>
              <w:spacing w:beforeAutospacing="0" w:afterAutospacing="0" w:line="600" w:lineRule="exact"/>
              <w:ind w:firstLine="42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生产安全管理类</w:t>
            </w:r>
          </w:p>
        </w:tc>
        <w:tc>
          <w:tcPr>
            <w:tcW w:w="10598" w:type="dxa"/>
            <w:shd w:val="clear" w:color="auto" w:fill="auto"/>
            <w:vAlign w:val="center"/>
          </w:tcPr>
          <w:p w14:paraId="4E976C63">
            <w:pPr>
              <w:pStyle w:val="9"/>
              <w:widowControl/>
              <w:spacing w:beforeAutospacing="0" w:afterAutospacing="0" w:line="600" w:lineRule="exact"/>
              <w:ind w:firstLine="42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辖区电梯、锅炉等特种设备安全检查；化学危险品的管理和处罚；辖区商户、企业、工地、服务机构等单位消防和生产安全检查；农村病害山坪塘鉴定、非农村集体所有的村镇供水工程管护、交通劝导站的管理和农村公路养护管理等</w:t>
            </w:r>
          </w:p>
        </w:tc>
      </w:tr>
    </w:tbl>
    <w:p w14:paraId="4439D3AF">
      <w:pPr>
        <w:pStyle w:val="9"/>
        <w:widowControl/>
        <w:shd w:val="clear" w:color="auto" w:fill="FFFFFF"/>
        <w:spacing w:beforeAutospacing="0" w:afterAutospacing="0"/>
        <w:ind w:firstLine="640" w:firstLineChars="200"/>
        <w:jc w:val="both"/>
        <w:rPr>
          <w:rFonts w:ascii="方正仿宋_GBK" w:hAnsi="方正仿宋_GBK" w:eastAsia="方正仿宋_GBK" w:cs="方正仿宋_GBK"/>
          <w:color w:val="000000"/>
          <w:sz w:val="31"/>
          <w:szCs w:val="31"/>
          <w:shd w:val="clear" w:color="auto" w:fill="FFFFFF"/>
        </w:rPr>
      </w:pPr>
      <w:r>
        <w:rPr>
          <w:rFonts w:hint="eastAsia" w:ascii="方正仿宋_GBK" w:hAnsi="方正仿宋_GBK" w:eastAsia="方正仿宋_GBK" w:cs="方正仿宋_GBK"/>
          <w:sz w:val="32"/>
          <w:szCs w:val="32"/>
        </w:rPr>
        <w:t>备注：纳入本清单的工作事项责任主体系有关部门，基层群众性自治组织不具有主体资格和专业资质，应由相关部门及其执法机构或其授权的乡镇（街道）有关机构办理，各级政府及相关部门不得以任何方式要求基层群众性自治组织办理。</w:t>
      </w:r>
    </w:p>
    <w:sectPr>
      <w:headerReference r:id="rId5" w:type="default"/>
      <w:footerReference r:id="rId6" w:type="default"/>
      <w:pgSz w:w="16838" w:h="11906" w:orient="landscape"/>
      <w:pgMar w:top="1587" w:right="1962" w:bottom="1474" w:left="184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D93930-EBA6-4E2A-805B-A6D88563DE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12757C72-E42F-4746-84DD-45609DC49338}"/>
  </w:font>
  <w:font w:name="方正小标宋_GBK">
    <w:panose1 w:val="03000509000000000000"/>
    <w:charset w:val="86"/>
    <w:family w:val="script"/>
    <w:pitch w:val="default"/>
    <w:sig w:usb0="00000001" w:usb1="080E0000" w:usb2="00000000" w:usb3="00000000" w:csb0="00040000" w:csb1="00000000"/>
    <w:embedRegular r:id="rId3" w:fontKey="{2B3EA066-47A0-48F4-ACDF-F63A67625AD2}"/>
  </w:font>
  <w:font w:name="仿宋">
    <w:panose1 w:val="02010609060101010101"/>
    <w:charset w:val="86"/>
    <w:family w:val="modern"/>
    <w:pitch w:val="default"/>
    <w:sig w:usb0="800002BF" w:usb1="38CF7CFA" w:usb2="00000016" w:usb3="00000000" w:csb0="00040001" w:csb1="00000000"/>
    <w:embedRegular r:id="rId4" w:fontKey="{0F46C06A-F9D2-4651-8D09-4AA5940D6D92}"/>
  </w:font>
  <w:font w:name="方正黑体_GBK">
    <w:panose1 w:val="03000509000000000000"/>
    <w:charset w:val="86"/>
    <w:family w:val="script"/>
    <w:pitch w:val="default"/>
    <w:sig w:usb0="00000001" w:usb1="080E0000" w:usb2="00000000" w:usb3="00000000" w:csb0="00040000" w:csb1="00000000"/>
    <w:embedRegular r:id="rId5" w:fontKey="{B6D4BAA0-D09D-4B49-820C-1DF4DD9A75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DC16">
    <w:pPr>
      <w:pStyle w:val="8"/>
      <w:rPr>
        <w:rFonts w:ascii="宋体" w:hAnsi="宋体" w:eastAsia="宋体" w:cs="宋体"/>
        <w:b/>
        <w:bCs/>
        <w:color w:val="005192"/>
        <w:sz w:val="28"/>
        <w:szCs w:val="44"/>
      </w:rPr>
    </w:pPr>
    <w:r>
      <w:rPr>
        <w:color w:val="FAFAFA"/>
        <w:sz w:val="32"/>
      </w:rPr>
      <w:pict>
        <v:line id="_x0000_s1031" o:spid="_x0000_s1031" o:spt="20" style="position:absolute;left:0pt;margin-left:0pt;margin-top:17.4pt;height:0.15pt;width:442.25pt;z-index:251660288;mso-width-relative:page;mso-height-relative:page;"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sz w:val="32"/>
      </w:rPr>
      <w:pict>
        <v:shape id="_x0000_s1030" o:spid="_x0000_s1030"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21638FBC">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p>
  <w:p w14:paraId="111249A8">
    <w:pPr>
      <w:pStyle w:val="8"/>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云阳县人民政府办公室发布 </w:t>
    </w:r>
  </w:p>
  <w:p w14:paraId="32C6F843">
    <w:pPr>
      <w:pStyle w:val="8"/>
      <w:wordWrap w:val="0"/>
      <w:ind w:left="4788" w:leftChars="2280" w:firstLine="5622" w:firstLineChars="2000"/>
      <w:jc w:val="center"/>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8E351">
    <w:pPr>
      <w:pStyle w:val="8"/>
      <w:rPr>
        <w:rFonts w:ascii="宋体" w:hAnsi="宋体" w:eastAsia="宋体" w:cs="宋体"/>
        <w:b/>
        <w:bCs/>
        <w:color w:val="005192"/>
        <w:sz w:val="28"/>
        <w:szCs w:val="44"/>
      </w:rPr>
    </w:pPr>
    <w:r>
      <w:rPr>
        <w:color w:val="FAFAFA"/>
        <w:sz w:val="32"/>
      </w:rPr>
      <w:pict>
        <v:line id="_x0000_s1028" o:spid="_x0000_s1028" o:spt="20" style="position:absolute;left:0pt;margin-left:0pt;margin-top:17.4pt;height:0pt;width:646.65pt;z-index:251662336;mso-width-relative:page;mso-height-relative:page;"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path arrowok="t"/>
          <v:fill focussize="0,0"/>
          <v:stroke weight="1.75pt" color="#005192" joinstyle="miter"/>
          <v:imagedata o:title=""/>
          <o:lock v:ext="edit"/>
        </v:line>
      </w:pict>
    </w:r>
    <w:r>
      <w:rPr>
        <w:sz w:val="32"/>
      </w:rPr>
      <w:pict>
        <v:shape id="_x0000_s1027" o:spid="_x0000_s1027"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07B1FE4C">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14:paraId="6B425BA5">
    <w:pPr>
      <w:pStyle w:val="8"/>
      <w:ind w:left="2732" w:leftChars="1301" w:firstLine="6299" w:firstLineChars="2241"/>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云阳县人民政府办公室发布 </w:t>
    </w:r>
  </w:p>
  <w:p w14:paraId="26ADE806">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08E0">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05pt;margin-top:54.35pt;height:0pt;width:442.55pt;z-index:251659264;mso-width-relative:page;mso-height-relative:page;"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14:paraId="74876643">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p w14:paraId="78110484">
    <w:pPr>
      <w:pStyle w:val="8"/>
      <w:textAlignment w:val="center"/>
      <w:rPr>
        <w:rFonts w:ascii="宋体" w:hAnsi="宋体" w:eastAsia="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FD3DF">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9" o:spid="_x0000_s1029" o:spt="20" style="position:absolute;left:0pt;margin-left:0pt;margin-top:54.35pt;height:0pt;width:648.5pt;z-index:251664384;mso-width-relative:page;mso-height-relative:page;" stroked="t" coordsize="21600,21600"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iretMAAAAJAQAADwAAAAAAAAABACAAAAAiAAAAZHJzL2Rvd25yZXYueG1sUEsBAhQAFAAA&#10;AAgAh07iQPgUwzf0AQAAvQMAAA4AAAAAAAAAAQAgAAAAIgEAAGRycy9lMm9Eb2MueG1sUEsFBgAA&#10;AAAGAAYAWQEAAIgFAAAAAA==&#10;">
          <v:path arrowok="t"/>
          <v:fill focussize="0,0"/>
          <v:stroke weight="1.75pt" color="#005192" joinstyle="miter"/>
          <v:imagedata o:title=""/>
          <o:lock v:ext="edit"/>
        </v:line>
      </w:pict>
    </w:r>
  </w:p>
  <w:p w14:paraId="3001BB11">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p w14:paraId="12A08448">
    <w:pPr>
      <w:pStyle w:val="8"/>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kxYzhlMWE4OTA3OThhNDc5MWE1ZDQzYjgyZmUwZGEifQ=="/>
  </w:docVars>
  <w:rsids>
    <w:rsidRoot w:val="00172A27"/>
    <w:rsid w:val="00172A27"/>
    <w:rsid w:val="00753B07"/>
    <w:rsid w:val="00774477"/>
    <w:rsid w:val="007D21FC"/>
    <w:rsid w:val="007E0BB7"/>
    <w:rsid w:val="00CC76D6"/>
    <w:rsid w:val="00EE1F65"/>
    <w:rsid w:val="00F540AB"/>
    <w:rsid w:val="019E71BD"/>
    <w:rsid w:val="025D09AC"/>
    <w:rsid w:val="049A1735"/>
    <w:rsid w:val="04B679C3"/>
    <w:rsid w:val="05F07036"/>
    <w:rsid w:val="06E00104"/>
    <w:rsid w:val="080F63D8"/>
    <w:rsid w:val="09341458"/>
    <w:rsid w:val="098254C2"/>
    <w:rsid w:val="0A766EDE"/>
    <w:rsid w:val="0AD64BE8"/>
    <w:rsid w:val="0B0912D7"/>
    <w:rsid w:val="0BE23A13"/>
    <w:rsid w:val="0E025194"/>
    <w:rsid w:val="0FC650AF"/>
    <w:rsid w:val="1357175D"/>
    <w:rsid w:val="152D2DCA"/>
    <w:rsid w:val="15EE2139"/>
    <w:rsid w:val="171F6119"/>
    <w:rsid w:val="187168EA"/>
    <w:rsid w:val="196673CA"/>
    <w:rsid w:val="1CF734C9"/>
    <w:rsid w:val="1DEC284C"/>
    <w:rsid w:val="1E4E59B9"/>
    <w:rsid w:val="1E6523AC"/>
    <w:rsid w:val="22440422"/>
    <w:rsid w:val="22BB4BBB"/>
    <w:rsid w:val="241B1988"/>
    <w:rsid w:val="24735DA9"/>
    <w:rsid w:val="2AEB3417"/>
    <w:rsid w:val="2BF22D28"/>
    <w:rsid w:val="31A15F24"/>
    <w:rsid w:val="36FB1DF0"/>
    <w:rsid w:val="37A62A7C"/>
    <w:rsid w:val="395347B5"/>
    <w:rsid w:val="39A232A0"/>
    <w:rsid w:val="39E745AA"/>
    <w:rsid w:val="3B5A6BBB"/>
    <w:rsid w:val="3EDA13A6"/>
    <w:rsid w:val="417B75E9"/>
    <w:rsid w:val="42884676"/>
    <w:rsid w:val="42F058B7"/>
    <w:rsid w:val="436109F6"/>
    <w:rsid w:val="441A38D4"/>
    <w:rsid w:val="4504239D"/>
    <w:rsid w:val="468102D8"/>
    <w:rsid w:val="4BC77339"/>
    <w:rsid w:val="4C9236C5"/>
    <w:rsid w:val="4E250A85"/>
    <w:rsid w:val="4FFD4925"/>
    <w:rsid w:val="505C172E"/>
    <w:rsid w:val="506405EA"/>
    <w:rsid w:val="50734513"/>
    <w:rsid w:val="52F46F0B"/>
    <w:rsid w:val="532B6A10"/>
    <w:rsid w:val="53D8014D"/>
    <w:rsid w:val="55E064E0"/>
    <w:rsid w:val="572C6D10"/>
    <w:rsid w:val="58412511"/>
    <w:rsid w:val="5B1D3568"/>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5"/>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qFormat/>
    <w:uiPriority w:val="0"/>
    <w:rPr>
      <w:rFonts w:eastAsia="宋体"/>
      <w:sz w:val="18"/>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2028</Words>
  <Characters>2043</Characters>
  <Lines>54</Lines>
  <Paragraphs>15</Paragraphs>
  <TotalTime>14</TotalTime>
  <ScaleCrop>false</ScaleCrop>
  <LinksUpToDate>false</LinksUpToDate>
  <CharactersWithSpaces>2056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鱼丸粗面</cp:lastModifiedBy>
  <cp:lastPrinted>2022-05-11T16:46:00Z</cp:lastPrinted>
  <dcterms:modified xsi:type="dcterms:W3CDTF">2024-12-04T08:12:01Z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48C61CB29D3F4D9384F5922CF0F7FFB4</vt:lpwstr>
  </property>
</Properties>
</file>