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1B" w:rsidRDefault="001D461B" w:rsidP="000E2C1B">
      <w:pPr>
        <w:spacing w:afterLines="1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0E2C1B" w:rsidRDefault="001D461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w:t>
      </w:r>
      <w:r>
        <w:rPr>
          <w:rFonts w:ascii="方正小标宋_GBK" w:eastAsia="方正小标宋_GBK" w:hAnsi="方正小标宋_GBK" w:cs="方正小标宋_GBK" w:hint="eastAsia"/>
          <w:sz w:val="44"/>
          <w:szCs w:val="44"/>
        </w:rPr>
        <w:t>云阳县</w:t>
      </w:r>
      <w:r>
        <w:rPr>
          <w:rFonts w:ascii="方正小标宋_GBK" w:eastAsia="方正小标宋_GBK" w:hAnsi="方正小标宋_GBK" w:cs="方正小标宋_GBK" w:hint="eastAsia"/>
          <w:sz w:val="44"/>
          <w:szCs w:val="44"/>
        </w:rPr>
        <w:t>“三线一单”生态环境分区管控</w:t>
      </w:r>
    </w:p>
    <w:p w:rsidR="000E2C1B" w:rsidRDefault="001D461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调整方案（</w:t>
      </w:r>
      <w:r>
        <w:rPr>
          <w:rFonts w:ascii="Times New Roman" w:eastAsia="方正小标宋_GBK" w:hAnsi="Times New Roman"/>
          <w:sz w:val="44"/>
          <w:szCs w:val="44"/>
        </w:rPr>
        <w:t>2023</w:t>
      </w:r>
      <w:r>
        <w:rPr>
          <w:rFonts w:ascii="Times New Roman" w:eastAsia="方正小标宋_GBK" w:hAnsi="Times New Roman"/>
          <w:sz w:val="44"/>
          <w:szCs w:val="44"/>
        </w:rPr>
        <w:t>年</w:t>
      </w:r>
      <w:r>
        <w:rPr>
          <w:rFonts w:ascii="方正小标宋_GBK" w:eastAsia="方正小标宋_GBK" w:hAnsi="方正小标宋_GBK" w:cs="方正小标宋_GBK" w:hint="eastAsia"/>
          <w:sz w:val="44"/>
          <w:szCs w:val="44"/>
        </w:rPr>
        <w:t>）</w:t>
      </w:r>
    </w:p>
    <w:p w:rsidR="000E2C1B" w:rsidRDefault="001D461B" w:rsidP="000E2C1B">
      <w:pPr>
        <w:adjustRightInd w:val="0"/>
        <w:snapToGrid w:val="0"/>
        <w:spacing w:afterLines="100" w:line="600" w:lineRule="exact"/>
        <w:jc w:val="center"/>
        <w:rPr>
          <w:rFonts w:ascii="Times New Roman" w:eastAsia="方正仿宋_GBK" w:hAnsi="Times New Roman"/>
          <w:color w:val="FF0000"/>
          <w:sz w:val="32"/>
          <w:szCs w:val="32"/>
        </w:rPr>
      </w:pPr>
      <w:r>
        <w:rPr>
          <w:rFonts w:ascii="方正楷体_GBK" w:eastAsia="方正楷体_GBK" w:hAnsi="方正楷体_GBK" w:cs="方正楷体_GBK" w:hint="eastAsia"/>
          <w:sz w:val="32"/>
          <w:szCs w:val="32"/>
        </w:rPr>
        <w:t>（征求意见稿）</w:t>
      </w:r>
    </w:p>
    <w:p w:rsidR="000E2C1B" w:rsidRDefault="001D461B">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实施“三线一单”（生态保护红线、环境质量底线、资源利用上线和生态环境准入清单）生态环境分区管控制度，是新时代贯彻落</w:t>
      </w:r>
      <w:proofErr w:type="gramStart"/>
      <w:r>
        <w:rPr>
          <w:rFonts w:ascii="Times New Roman" w:eastAsia="方正仿宋_GBK" w:hAnsi="Times New Roman" w:hint="eastAsia"/>
          <w:sz w:val="32"/>
          <w:szCs w:val="32"/>
        </w:rPr>
        <w:t>实习近</w:t>
      </w:r>
      <w:proofErr w:type="gramEnd"/>
      <w:r>
        <w:rPr>
          <w:rFonts w:ascii="Times New Roman" w:eastAsia="方正仿宋_GBK" w:hAnsi="Times New Roman" w:hint="eastAsia"/>
          <w:sz w:val="32"/>
          <w:szCs w:val="32"/>
        </w:rPr>
        <w:t>平生态文明思想、深入打好污染防治攻坚战、加强生态环境源头防控的重要举措。为落实“十四五”相关规划要求，衔接最新“三区三线”成果，结合实际，系统调整我</w:t>
      </w:r>
      <w:r>
        <w:rPr>
          <w:rFonts w:ascii="Times New Roman" w:eastAsia="方正仿宋_GBK" w:hAnsi="Times New Roman" w:hint="eastAsia"/>
          <w:sz w:val="32"/>
          <w:szCs w:val="32"/>
        </w:rPr>
        <w:t>县</w:t>
      </w:r>
      <w:r>
        <w:rPr>
          <w:rFonts w:ascii="Times New Roman" w:eastAsia="方正仿宋_GBK" w:hAnsi="Times New Roman" w:hint="eastAsia"/>
          <w:sz w:val="32"/>
          <w:szCs w:val="32"/>
        </w:rPr>
        <w:t>“三线一单”生态环境分区管控成果，提升成果时效性和针对性，形成与我</w:t>
      </w:r>
      <w:r>
        <w:rPr>
          <w:rFonts w:ascii="Times New Roman" w:eastAsia="方正仿宋_GBK" w:hAnsi="Times New Roman" w:hint="eastAsia"/>
          <w:sz w:val="32"/>
          <w:szCs w:val="32"/>
        </w:rPr>
        <w:t>县</w:t>
      </w:r>
      <w:r>
        <w:rPr>
          <w:rFonts w:ascii="Times New Roman" w:eastAsia="方正仿宋_GBK" w:hAnsi="Times New Roman" w:hint="eastAsia"/>
          <w:sz w:val="32"/>
          <w:szCs w:val="32"/>
        </w:rPr>
        <w:t>高质量发展和高水平保护相适应的“三线一单”生态环境分区管控体系。</w:t>
      </w:r>
    </w:p>
    <w:p w:rsidR="000E2C1B" w:rsidRDefault="001D461B">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一、调整原则</w:t>
      </w:r>
    </w:p>
    <w:p w:rsidR="000E2C1B" w:rsidRDefault="001D461B">
      <w:pPr>
        <w:spacing w:line="60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（一）坚持底线约束。</w:t>
      </w:r>
      <w:r>
        <w:rPr>
          <w:rFonts w:ascii="Times New Roman" w:eastAsia="方正仿宋_GBK" w:hAnsi="Times New Roman" w:hint="eastAsia"/>
          <w:sz w:val="32"/>
          <w:szCs w:val="32"/>
        </w:rPr>
        <w:t>坚持以生态功能不降低、环境质量不下降、资源环境承载能力不突破为底线，落实生态环境分区</w:t>
      </w:r>
      <w:proofErr w:type="gramStart"/>
      <w:r>
        <w:rPr>
          <w:rFonts w:ascii="Times New Roman" w:eastAsia="方正仿宋_GBK" w:hAnsi="Times New Roman" w:hint="eastAsia"/>
          <w:sz w:val="32"/>
          <w:szCs w:val="32"/>
        </w:rPr>
        <w:t>管控硬约束</w:t>
      </w:r>
      <w:proofErr w:type="gramEnd"/>
      <w:r>
        <w:rPr>
          <w:rFonts w:ascii="Times New Roman" w:eastAsia="方正仿宋_GBK" w:hAnsi="Times New Roman" w:hint="eastAsia"/>
          <w:sz w:val="32"/>
          <w:szCs w:val="32"/>
        </w:rPr>
        <w:t>，严格禁止降低要求、弱化管控的调整。</w:t>
      </w:r>
    </w:p>
    <w:p w:rsidR="000E2C1B" w:rsidRDefault="001D461B">
      <w:pPr>
        <w:spacing w:line="60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（二）强化空间管控。</w:t>
      </w:r>
      <w:r>
        <w:rPr>
          <w:rFonts w:ascii="Times New Roman" w:eastAsia="方正仿宋_GBK" w:hAnsi="Times New Roman" w:hint="eastAsia"/>
          <w:sz w:val="32"/>
          <w:szCs w:val="32"/>
        </w:rPr>
        <w:t>结合“十四五”环境管理目标和国土空间规划成果，优化调整生态保护红线及一般生态空间、环境质量底线、资源利用上线的生态环境管控要求，完善以环境管控单元为基础的空间管控体系。</w:t>
      </w:r>
    </w:p>
    <w:p w:rsidR="000E2C1B" w:rsidRDefault="001D461B">
      <w:pPr>
        <w:spacing w:line="60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（三）突出分类准入。</w:t>
      </w:r>
      <w:r>
        <w:rPr>
          <w:rFonts w:ascii="Times New Roman" w:eastAsia="方正仿宋_GBK" w:hAnsi="Times New Roman" w:hint="eastAsia"/>
          <w:sz w:val="32"/>
          <w:szCs w:val="32"/>
        </w:rPr>
        <w:t>以调整后的环境管控单元为单位，从空间布局约束、污染物排放管控、环境风险防控、资源利用效率等维度，优化调整</w:t>
      </w:r>
      <w:r>
        <w:rPr>
          <w:rFonts w:ascii="Times New Roman" w:eastAsia="方正仿宋_GBK" w:hAnsi="Times New Roman" w:hint="eastAsia"/>
          <w:sz w:val="32"/>
          <w:szCs w:val="32"/>
        </w:rPr>
        <w:t>全县</w:t>
      </w:r>
      <w:r>
        <w:rPr>
          <w:rFonts w:ascii="Times New Roman" w:eastAsia="方正仿宋_GBK" w:hAnsi="Times New Roman" w:hint="eastAsia"/>
          <w:sz w:val="32"/>
          <w:szCs w:val="32"/>
        </w:rPr>
        <w:t>生态环境准入清单，强化刚性约束，突出</w:t>
      </w:r>
      <w:r>
        <w:rPr>
          <w:rFonts w:ascii="Times New Roman" w:eastAsia="方正仿宋_GBK" w:hAnsi="Times New Roman" w:hint="eastAsia"/>
          <w:sz w:val="32"/>
          <w:szCs w:val="32"/>
        </w:rPr>
        <w:lastRenderedPageBreak/>
        <w:t>生态环</w:t>
      </w:r>
      <w:r>
        <w:rPr>
          <w:rFonts w:ascii="Times New Roman" w:eastAsia="方正仿宋_GBK" w:hAnsi="Times New Roman" w:hint="eastAsia"/>
          <w:sz w:val="32"/>
          <w:szCs w:val="32"/>
        </w:rPr>
        <w:t>境准入清单的针对性、有效性、实用性和可操作性。</w:t>
      </w:r>
    </w:p>
    <w:p w:rsidR="000E2C1B" w:rsidRDefault="001D461B">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二、总体目标</w:t>
      </w:r>
    </w:p>
    <w:p w:rsidR="000E2C1B" w:rsidRDefault="001D461B">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年，全县生态系统质量和稳定性进一步提升，生产生活方式绿色</w:t>
      </w:r>
      <w:proofErr w:type="gramStart"/>
      <w:r>
        <w:rPr>
          <w:rFonts w:ascii="Times New Roman" w:eastAsia="方正仿宋_GBK" w:hAnsi="Times New Roman"/>
          <w:sz w:val="32"/>
          <w:szCs w:val="32"/>
        </w:rPr>
        <w:t>转型成效</w:t>
      </w:r>
      <w:proofErr w:type="gramEnd"/>
      <w:r>
        <w:rPr>
          <w:rFonts w:ascii="Times New Roman" w:eastAsia="方正仿宋_GBK" w:hAnsi="Times New Roman"/>
          <w:sz w:val="32"/>
          <w:szCs w:val="32"/>
        </w:rPr>
        <w:t>显著，生态环境质量持续改善，主要污染物排放总量持续减少，环境突出问题得到有效治理，环境安全得到有效保障，生态环境治理体系和治理能力现代化水平明显提升，城乡人居环境更加优美，长江上游重要生态屏障更加巩固，山清水秀美丽云阳建设取得重大进展，人民群众幸福感、获得感、安全感显著增强。</w:t>
      </w:r>
    </w:p>
    <w:p w:rsidR="000E2C1B" w:rsidRDefault="001D461B">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到</w:t>
      </w:r>
      <w:r>
        <w:rPr>
          <w:rFonts w:ascii="Times New Roman" w:eastAsia="方正仿宋_GBK" w:hAnsi="Times New Roman"/>
          <w:sz w:val="32"/>
          <w:szCs w:val="32"/>
        </w:rPr>
        <w:t>2035</w:t>
      </w:r>
      <w:r>
        <w:rPr>
          <w:rFonts w:ascii="Times New Roman" w:eastAsia="方正仿宋_GBK" w:hAnsi="Times New Roman"/>
          <w:sz w:val="32"/>
          <w:szCs w:val="32"/>
        </w:rPr>
        <w:t>年，广泛形成绿色生产生活方式，碳排放达峰后稳中有降，生态环境质量根本好转，蓝天白云、绿水</w:t>
      </w:r>
      <w:r>
        <w:rPr>
          <w:rFonts w:ascii="Times New Roman" w:eastAsia="方正仿宋_GBK" w:hAnsi="Times New Roman"/>
          <w:sz w:val="32"/>
          <w:szCs w:val="32"/>
        </w:rPr>
        <w:t>青山成为常态，长江上游重要生态屏障全面筑牢，生态美、产业兴、百姓富实现有机统一，山清水秀美丽云阳基本建成，使云阳成为</w:t>
      </w:r>
      <w:proofErr w:type="gramStart"/>
      <w:r>
        <w:rPr>
          <w:rFonts w:ascii="Times New Roman" w:eastAsia="方正仿宋_GBK" w:hAnsi="Times New Roman"/>
          <w:sz w:val="32"/>
          <w:szCs w:val="32"/>
        </w:rPr>
        <w:t>渝</w:t>
      </w:r>
      <w:proofErr w:type="gramEnd"/>
      <w:r>
        <w:rPr>
          <w:rFonts w:ascii="Times New Roman" w:eastAsia="方正仿宋_GBK" w:hAnsi="Times New Roman"/>
          <w:sz w:val="32"/>
          <w:szCs w:val="32"/>
        </w:rPr>
        <w:t>东北乃至全重庆建设美丽中国的样板，实现人与自然和谐共生。</w:t>
      </w:r>
    </w:p>
    <w:p w:rsidR="000E2C1B" w:rsidRDefault="001D461B">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hint="eastAsia"/>
          <w:sz w:val="32"/>
          <w:szCs w:val="32"/>
        </w:rPr>
        <w:t>三、调整要求</w:t>
      </w:r>
    </w:p>
    <w:p w:rsidR="000E2C1B" w:rsidRDefault="001D461B">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（一）环境管控单元调整要求。</w:t>
      </w:r>
    </w:p>
    <w:p w:rsidR="000E2C1B" w:rsidRDefault="001D461B">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以系统化集成为基础，基于生态保护红线与一般生态空间、水环境管控分区、大气环境管控分区、土壤环境风险管控分区、资源管控分区等调整结果，</w:t>
      </w:r>
      <w:r>
        <w:rPr>
          <w:rFonts w:ascii="Times New Roman" w:eastAsia="方正仿宋_GBK" w:hAnsi="Times New Roman" w:hint="eastAsia"/>
          <w:sz w:val="32"/>
          <w:szCs w:val="32"/>
        </w:rPr>
        <w:t>科学调整优先、重点、一般三类环境管控单元，分区分类实施精细化管控，将部分重点管控单元进一步细分。原则上优先保护单元的空间格局应保持基本稳定，重点管控单元的空间格局应与环境治理格局相匹配。</w:t>
      </w:r>
    </w:p>
    <w:p w:rsidR="000E2C1B" w:rsidRDefault="001D461B">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（二）生态环境准入清单调整要求。</w:t>
      </w:r>
    </w:p>
    <w:p w:rsidR="000E2C1B" w:rsidRDefault="001D461B">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color w:val="000000"/>
          <w:sz w:val="32"/>
          <w:szCs w:val="32"/>
        </w:rPr>
        <w:lastRenderedPageBreak/>
        <w:t>生态环境准入清单管理要求应保持一定的延续性，保持“市级总体管控要求—区县总体管控要求—单元管控要求”三个层级框架，</w:t>
      </w:r>
      <w:r>
        <w:rPr>
          <w:rFonts w:ascii="Times New Roman" w:eastAsia="方正仿宋_GBK" w:hAnsi="Times New Roman" w:hint="eastAsia"/>
          <w:sz w:val="32"/>
          <w:szCs w:val="32"/>
        </w:rPr>
        <w:t>以区域生态环境质量改善为核心，聚焦生态环境准入清单实施中发现的问题，坚持目标和问题导向，调整</w:t>
      </w:r>
      <w:r>
        <w:rPr>
          <w:rFonts w:ascii="Times New Roman" w:eastAsia="方正仿宋_GBK" w:hAnsi="Times New Roman" w:hint="eastAsia"/>
          <w:sz w:val="32"/>
          <w:szCs w:val="32"/>
        </w:rPr>
        <w:t>全县</w:t>
      </w:r>
      <w:r>
        <w:rPr>
          <w:rFonts w:ascii="Times New Roman" w:eastAsia="方正仿宋_GBK" w:hAnsi="Times New Roman" w:hint="eastAsia"/>
          <w:sz w:val="32"/>
          <w:szCs w:val="32"/>
        </w:rPr>
        <w:t>生态环境准入清单。产业准入和生态环境管理相关的法律法规、政策文件等新增、修订、废</w:t>
      </w:r>
      <w:r>
        <w:rPr>
          <w:rFonts w:ascii="Times New Roman" w:eastAsia="方正仿宋_GBK" w:hAnsi="Times New Roman" w:hint="eastAsia"/>
          <w:sz w:val="32"/>
          <w:szCs w:val="32"/>
        </w:rPr>
        <w:t>止的，依法依规同步调整生态环境准入清单。环境要素分区管</w:t>
      </w:r>
      <w:proofErr w:type="gramStart"/>
      <w:r>
        <w:rPr>
          <w:rFonts w:ascii="Times New Roman" w:eastAsia="方正仿宋_GBK" w:hAnsi="Times New Roman" w:hint="eastAsia"/>
          <w:sz w:val="32"/>
          <w:szCs w:val="32"/>
        </w:rPr>
        <w:t>控要求</w:t>
      </w:r>
      <w:proofErr w:type="gramEnd"/>
      <w:r>
        <w:rPr>
          <w:rFonts w:ascii="Times New Roman" w:eastAsia="方正仿宋_GBK" w:hAnsi="Times New Roman" w:hint="eastAsia"/>
          <w:sz w:val="32"/>
          <w:szCs w:val="32"/>
        </w:rPr>
        <w:t>调整的，同时调整生态环境准入清单。</w:t>
      </w:r>
    </w:p>
    <w:p w:rsidR="000E2C1B" w:rsidRDefault="001D461B">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四、调整结果</w:t>
      </w:r>
    </w:p>
    <w:p w:rsidR="000E2C1B" w:rsidRDefault="001D461B">
      <w:pPr>
        <w:pStyle w:val="a3"/>
        <w:spacing w:after="0" w:line="600" w:lineRule="exact"/>
        <w:ind w:firstLineChars="200" w:firstLine="640"/>
        <w:rPr>
          <w:rFonts w:ascii="方正楷体_GBK" w:eastAsia="方正楷体_GBK" w:hAnsi="方正楷体_GBK" w:cs="方正楷体_GBK"/>
          <w:kern w:val="2"/>
          <w:sz w:val="32"/>
          <w:szCs w:val="32"/>
          <w:lang w:val="en-US"/>
        </w:rPr>
      </w:pPr>
      <w:r>
        <w:rPr>
          <w:rFonts w:ascii="方正楷体_GBK" w:eastAsia="方正楷体_GBK" w:hAnsi="方正楷体_GBK" w:cs="方正楷体_GBK" w:hint="eastAsia"/>
          <w:kern w:val="2"/>
          <w:sz w:val="32"/>
          <w:szCs w:val="32"/>
          <w:lang w:val="en-US"/>
        </w:rPr>
        <w:t>（一）环境管控单元调整结果。</w:t>
      </w:r>
    </w:p>
    <w:p w:rsidR="000E2C1B" w:rsidRDefault="001D461B">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调整后，全</w:t>
      </w:r>
      <w:r>
        <w:rPr>
          <w:rFonts w:ascii="Times New Roman" w:eastAsia="方正仿宋_GBK" w:hAnsi="Times New Roman" w:hint="eastAsia"/>
          <w:sz w:val="32"/>
          <w:szCs w:val="32"/>
        </w:rPr>
        <w:t>县</w:t>
      </w:r>
      <w:r>
        <w:rPr>
          <w:rFonts w:ascii="Times New Roman" w:eastAsia="方正仿宋_GBK" w:hAnsi="Times New Roman" w:hint="eastAsia"/>
          <w:sz w:val="32"/>
          <w:szCs w:val="32"/>
        </w:rPr>
        <w:t>环境管控单元由</w:t>
      </w:r>
      <w:r>
        <w:rPr>
          <w:rFonts w:ascii="Times New Roman" w:eastAsia="方正仿宋_GBK" w:hAnsi="Times New Roman" w:hint="eastAsia"/>
          <w:sz w:val="32"/>
          <w:szCs w:val="32"/>
        </w:rPr>
        <w:t>25</w:t>
      </w:r>
      <w:r>
        <w:rPr>
          <w:rFonts w:ascii="Times New Roman" w:eastAsia="方正仿宋_GBK" w:hAnsi="Times New Roman" w:hint="eastAsia"/>
          <w:sz w:val="32"/>
          <w:szCs w:val="32"/>
        </w:rPr>
        <w:t>个调整为</w:t>
      </w:r>
      <w:r>
        <w:rPr>
          <w:rFonts w:ascii="Times New Roman" w:eastAsia="方正仿宋_GBK" w:hAnsi="Times New Roman" w:hint="eastAsia"/>
          <w:sz w:val="32"/>
          <w:szCs w:val="32"/>
        </w:rPr>
        <w:t>20</w:t>
      </w:r>
      <w:r>
        <w:rPr>
          <w:rFonts w:ascii="Times New Roman" w:eastAsia="方正仿宋_GBK" w:hAnsi="Times New Roman" w:hint="eastAsia"/>
          <w:sz w:val="32"/>
          <w:szCs w:val="32"/>
        </w:rPr>
        <w:t>个。</w:t>
      </w:r>
    </w:p>
    <w:p w:rsidR="000E2C1B" w:rsidRDefault="001D461B">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优先保护单元：由</w:t>
      </w:r>
      <w:r>
        <w:rPr>
          <w:rFonts w:ascii="Times New Roman" w:eastAsia="方正仿宋_GBK" w:hAnsi="Times New Roman" w:hint="eastAsia"/>
          <w:sz w:val="32"/>
          <w:szCs w:val="32"/>
        </w:rPr>
        <w:t>17</w:t>
      </w:r>
      <w:r>
        <w:rPr>
          <w:rFonts w:ascii="Times New Roman" w:eastAsia="方正仿宋_GBK" w:hAnsi="Times New Roman" w:hint="eastAsia"/>
          <w:sz w:val="32"/>
          <w:szCs w:val="32"/>
        </w:rPr>
        <w:t>个调整为</w:t>
      </w:r>
      <w:r>
        <w:rPr>
          <w:rFonts w:ascii="Times New Roman" w:eastAsia="方正仿宋_GBK" w:hAnsi="Times New Roman" w:hint="eastAsia"/>
          <w:sz w:val="32"/>
          <w:szCs w:val="32"/>
        </w:rPr>
        <w:t>14</w:t>
      </w:r>
      <w:r>
        <w:rPr>
          <w:rFonts w:ascii="Times New Roman" w:eastAsia="方正仿宋_GBK" w:hAnsi="Times New Roman" w:hint="eastAsia"/>
          <w:sz w:val="32"/>
          <w:szCs w:val="32"/>
        </w:rPr>
        <w:t>个，面积占比由</w:t>
      </w:r>
      <w:r>
        <w:rPr>
          <w:rFonts w:ascii="Times New Roman" w:eastAsia="方正仿宋_GBK" w:hAnsi="Times New Roman" w:hint="eastAsia"/>
          <w:sz w:val="32"/>
          <w:szCs w:val="32"/>
        </w:rPr>
        <w:t>45.31</w:t>
      </w:r>
      <w:r>
        <w:rPr>
          <w:rFonts w:ascii="Times New Roman" w:eastAsia="方正仿宋_GBK" w:hAnsi="Times New Roman" w:hint="eastAsia"/>
          <w:sz w:val="32"/>
          <w:szCs w:val="32"/>
        </w:rPr>
        <w:t>%</w:t>
      </w:r>
      <w:r>
        <w:rPr>
          <w:rFonts w:ascii="Times New Roman" w:eastAsia="方正仿宋_GBK" w:hAnsi="Times New Roman" w:hint="eastAsia"/>
          <w:sz w:val="32"/>
          <w:szCs w:val="32"/>
        </w:rPr>
        <w:t>调整为</w:t>
      </w:r>
      <w:r>
        <w:rPr>
          <w:rFonts w:ascii="Times New Roman" w:eastAsia="方正仿宋_GBK" w:hAnsi="Times New Roman" w:hint="eastAsia"/>
          <w:sz w:val="32"/>
          <w:szCs w:val="32"/>
        </w:rPr>
        <w:t>43.08</w:t>
      </w:r>
      <w:r>
        <w:rPr>
          <w:rFonts w:ascii="Times New Roman" w:eastAsia="方正仿宋_GBK" w:hAnsi="Times New Roman" w:hint="eastAsia"/>
          <w:sz w:val="32"/>
          <w:szCs w:val="32"/>
        </w:rPr>
        <w:t>%</w:t>
      </w:r>
      <w:r>
        <w:rPr>
          <w:rFonts w:ascii="Times New Roman" w:eastAsia="方正仿宋_GBK" w:hAnsi="Times New Roman" w:hint="eastAsia"/>
          <w:sz w:val="32"/>
          <w:szCs w:val="32"/>
        </w:rPr>
        <w:t>，较上一轮减少</w:t>
      </w:r>
      <w:r>
        <w:rPr>
          <w:rFonts w:ascii="Times New Roman" w:eastAsia="方正仿宋_GBK" w:hAnsi="Times New Roman" w:hint="eastAsia"/>
          <w:sz w:val="32"/>
          <w:szCs w:val="32"/>
        </w:rPr>
        <w:t>2.23</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p>
    <w:p w:rsidR="000E2C1B" w:rsidRDefault="001D461B">
      <w:pPr>
        <w:spacing w:line="61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重点管控单元：由</w:t>
      </w:r>
      <w:r>
        <w:rPr>
          <w:rFonts w:ascii="Times New Roman" w:eastAsia="方正仿宋_GBK" w:hAnsi="Times New Roman" w:hint="eastAsia"/>
          <w:sz w:val="32"/>
          <w:szCs w:val="32"/>
        </w:rPr>
        <w:t>5</w:t>
      </w:r>
      <w:r>
        <w:rPr>
          <w:rFonts w:ascii="Times New Roman" w:eastAsia="方正仿宋_GBK" w:hAnsi="Times New Roman" w:hint="eastAsia"/>
          <w:sz w:val="32"/>
          <w:szCs w:val="32"/>
        </w:rPr>
        <w:t>个调整为</w:t>
      </w:r>
      <w:r>
        <w:rPr>
          <w:rFonts w:ascii="Times New Roman" w:eastAsia="方正仿宋_GBK" w:hAnsi="Times New Roman" w:hint="eastAsia"/>
          <w:sz w:val="32"/>
          <w:szCs w:val="32"/>
        </w:rPr>
        <w:t>3</w:t>
      </w:r>
      <w:r>
        <w:rPr>
          <w:rFonts w:ascii="Times New Roman" w:eastAsia="方正仿宋_GBK" w:hAnsi="Times New Roman" w:hint="eastAsia"/>
          <w:sz w:val="32"/>
          <w:szCs w:val="32"/>
        </w:rPr>
        <w:t>个，面积占比</w:t>
      </w:r>
      <w:r>
        <w:rPr>
          <w:rFonts w:ascii="Times New Roman" w:eastAsia="方正仿宋_GBK" w:hAnsi="Times New Roman" w:hint="eastAsia"/>
          <w:sz w:val="32"/>
          <w:szCs w:val="32"/>
        </w:rPr>
        <w:t>仍为</w:t>
      </w:r>
      <w:r>
        <w:rPr>
          <w:rFonts w:ascii="Times New Roman" w:eastAsia="方正仿宋_GBK" w:hAnsi="Times New Roman" w:hint="eastAsia"/>
          <w:sz w:val="32"/>
          <w:szCs w:val="32"/>
        </w:rPr>
        <w:t>2.49%</w:t>
      </w:r>
      <w:r>
        <w:rPr>
          <w:rFonts w:ascii="Times New Roman" w:eastAsia="方正仿宋_GBK" w:hAnsi="Times New Roman" w:hint="eastAsia"/>
          <w:sz w:val="32"/>
          <w:szCs w:val="32"/>
        </w:rPr>
        <w:t>，与</w:t>
      </w:r>
      <w:r>
        <w:rPr>
          <w:rFonts w:ascii="Times New Roman" w:eastAsia="方正仿宋_GBK" w:hAnsi="Times New Roman" w:hint="eastAsia"/>
          <w:sz w:val="32"/>
          <w:szCs w:val="32"/>
        </w:rPr>
        <w:t>上一轮</w:t>
      </w:r>
      <w:r>
        <w:rPr>
          <w:rFonts w:ascii="Times New Roman" w:eastAsia="方正仿宋_GBK" w:hAnsi="Times New Roman" w:hint="eastAsia"/>
          <w:sz w:val="32"/>
          <w:szCs w:val="32"/>
        </w:rPr>
        <w:t>保持一致</w:t>
      </w:r>
      <w:r>
        <w:rPr>
          <w:rFonts w:ascii="Times New Roman" w:eastAsia="方正仿宋_GBK" w:hAnsi="Times New Roman" w:hint="eastAsia"/>
          <w:sz w:val="32"/>
          <w:szCs w:val="32"/>
        </w:rPr>
        <w:t>。</w:t>
      </w:r>
    </w:p>
    <w:p w:rsidR="000E2C1B" w:rsidRDefault="001D461B">
      <w:pPr>
        <w:spacing w:line="61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一般管控单元：</w:t>
      </w:r>
      <w:r>
        <w:rPr>
          <w:rFonts w:ascii="Times New Roman" w:eastAsia="方正仿宋_GBK" w:hAnsi="Times New Roman" w:hint="eastAsia"/>
          <w:sz w:val="32"/>
          <w:szCs w:val="32"/>
        </w:rPr>
        <w:t>个数维持</w:t>
      </w:r>
      <w:r>
        <w:rPr>
          <w:rFonts w:ascii="Times New Roman" w:eastAsia="方正仿宋_GBK" w:hAnsi="Times New Roman" w:hint="eastAsia"/>
          <w:sz w:val="32"/>
          <w:szCs w:val="32"/>
        </w:rPr>
        <w:t>3</w:t>
      </w:r>
      <w:r>
        <w:rPr>
          <w:rFonts w:ascii="Times New Roman" w:eastAsia="方正仿宋_GBK" w:hAnsi="Times New Roman" w:hint="eastAsia"/>
          <w:sz w:val="32"/>
          <w:szCs w:val="32"/>
        </w:rPr>
        <w:t>个不变</w:t>
      </w:r>
      <w:r>
        <w:rPr>
          <w:rFonts w:ascii="Times New Roman" w:eastAsia="方正仿宋_GBK" w:hAnsi="Times New Roman" w:hint="eastAsia"/>
          <w:sz w:val="32"/>
          <w:szCs w:val="32"/>
        </w:rPr>
        <w:t>，面积占比由</w:t>
      </w:r>
      <w:r>
        <w:rPr>
          <w:rFonts w:ascii="Times New Roman" w:eastAsia="方正仿宋_GBK" w:hAnsi="Times New Roman" w:hint="eastAsia"/>
          <w:sz w:val="32"/>
          <w:szCs w:val="32"/>
        </w:rPr>
        <w:t>52.2</w:t>
      </w:r>
      <w:r>
        <w:rPr>
          <w:rFonts w:ascii="Times New Roman" w:eastAsia="方正仿宋_GBK" w:hAnsi="Times New Roman" w:hint="eastAsia"/>
          <w:sz w:val="32"/>
          <w:szCs w:val="32"/>
        </w:rPr>
        <w:t>%</w:t>
      </w:r>
      <w:r>
        <w:rPr>
          <w:rFonts w:ascii="Times New Roman" w:eastAsia="方正仿宋_GBK" w:hAnsi="Times New Roman" w:hint="eastAsia"/>
          <w:sz w:val="32"/>
          <w:szCs w:val="32"/>
        </w:rPr>
        <w:t>调整为</w:t>
      </w:r>
      <w:r>
        <w:rPr>
          <w:rFonts w:ascii="Times New Roman" w:eastAsia="方正仿宋_GBK" w:hAnsi="Times New Roman" w:hint="eastAsia"/>
          <w:sz w:val="32"/>
          <w:szCs w:val="32"/>
        </w:rPr>
        <w:t>54.43</w:t>
      </w:r>
      <w:r>
        <w:rPr>
          <w:rFonts w:ascii="Times New Roman" w:eastAsia="方正仿宋_GBK" w:hAnsi="Times New Roman" w:hint="eastAsia"/>
          <w:sz w:val="32"/>
          <w:szCs w:val="32"/>
        </w:rPr>
        <w:t>%</w:t>
      </w:r>
      <w:r>
        <w:rPr>
          <w:rFonts w:ascii="Times New Roman" w:eastAsia="方正仿宋_GBK" w:hAnsi="Times New Roman" w:hint="eastAsia"/>
          <w:sz w:val="32"/>
          <w:szCs w:val="32"/>
        </w:rPr>
        <w:t>，较上一轮增加</w:t>
      </w:r>
      <w:r>
        <w:rPr>
          <w:rFonts w:ascii="Times New Roman" w:eastAsia="方正仿宋_GBK" w:hAnsi="Times New Roman" w:hint="eastAsia"/>
          <w:sz w:val="32"/>
          <w:szCs w:val="32"/>
        </w:rPr>
        <w:t>2.23</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p>
    <w:p w:rsidR="000E2C1B" w:rsidRDefault="001D461B">
      <w:pPr>
        <w:pStyle w:val="a3"/>
        <w:spacing w:after="0" w:line="610" w:lineRule="exact"/>
        <w:ind w:firstLineChars="200" w:firstLine="640"/>
        <w:rPr>
          <w:rFonts w:ascii="方正楷体_GBK" w:eastAsia="方正楷体_GBK" w:hAnsi="方正楷体_GBK" w:cs="方正楷体_GBK"/>
          <w:kern w:val="2"/>
          <w:sz w:val="32"/>
          <w:szCs w:val="32"/>
          <w:lang w:val="en-US"/>
        </w:rPr>
      </w:pPr>
      <w:r>
        <w:rPr>
          <w:rFonts w:ascii="方正楷体_GBK" w:eastAsia="方正楷体_GBK" w:hAnsi="方正楷体_GBK" w:cs="方正楷体_GBK" w:hint="eastAsia"/>
          <w:kern w:val="2"/>
          <w:sz w:val="32"/>
          <w:szCs w:val="32"/>
          <w:lang w:val="en-US"/>
        </w:rPr>
        <w:t>（二）生态环境准入清单调整结果。</w:t>
      </w:r>
    </w:p>
    <w:p w:rsidR="000E2C1B" w:rsidRDefault="001D461B">
      <w:pPr>
        <w:pStyle w:val="a5"/>
        <w:spacing w:after="0" w:line="610" w:lineRule="exact"/>
        <w:ind w:firstLineChars="200" w:firstLine="640"/>
        <w:rPr>
          <w:rFonts w:ascii="Times New Roman" w:eastAsia="方正仿宋_GBK" w:hAnsi="Times New Roman"/>
          <w:color w:val="0000FF"/>
          <w:kern w:val="2"/>
          <w:sz w:val="32"/>
          <w:szCs w:val="32"/>
          <w:lang w:val="en-US"/>
        </w:rPr>
      </w:pPr>
      <w:r>
        <w:rPr>
          <w:rFonts w:ascii="Times New Roman" w:eastAsia="方正仿宋_GBK" w:hAnsi="Times New Roman" w:hint="eastAsia"/>
          <w:kern w:val="2"/>
          <w:sz w:val="32"/>
          <w:szCs w:val="32"/>
          <w:lang w:val="en-US"/>
        </w:rPr>
        <w:t>我县结合调整后环境管控单元的生态环境主要特征、突出问题和环境质量目标，以改善生态环境质量为导向，提出了具有针对性、可操作性的管控要求</w:t>
      </w:r>
      <w:r>
        <w:rPr>
          <w:rFonts w:ascii="Times New Roman" w:eastAsia="方正仿宋_GBK" w:hAnsi="Times New Roman" w:hint="eastAsia"/>
          <w:color w:val="000000"/>
          <w:kern w:val="2"/>
          <w:sz w:val="32"/>
          <w:szCs w:val="32"/>
          <w:lang w:val="en-US"/>
        </w:rPr>
        <w:t>。调整后，全县总体管</w:t>
      </w:r>
      <w:proofErr w:type="gramStart"/>
      <w:r>
        <w:rPr>
          <w:rFonts w:ascii="Times New Roman" w:eastAsia="方正仿宋_GBK" w:hAnsi="Times New Roman" w:hint="eastAsia"/>
          <w:color w:val="000000"/>
          <w:kern w:val="2"/>
          <w:sz w:val="32"/>
          <w:szCs w:val="32"/>
          <w:lang w:val="en-US"/>
        </w:rPr>
        <w:t>控要求</w:t>
      </w:r>
      <w:proofErr w:type="gramEnd"/>
      <w:r>
        <w:rPr>
          <w:rFonts w:ascii="Times New Roman" w:eastAsia="方正仿宋_GBK" w:hAnsi="Times New Roman" w:hint="eastAsia"/>
          <w:color w:val="000000"/>
          <w:kern w:val="2"/>
          <w:sz w:val="32"/>
          <w:szCs w:val="32"/>
          <w:lang w:val="en-US"/>
        </w:rPr>
        <w:t>共</w:t>
      </w:r>
      <w:r>
        <w:rPr>
          <w:rFonts w:ascii="Times New Roman" w:eastAsia="方正仿宋_GBK" w:hAnsi="Times New Roman" w:hint="eastAsia"/>
          <w:color w:val="000000"/>
          <w:kern w:val="2"/>
          <w:sz w:val="32"/>
          <w:szCs w:val="32"/>
          <w:lang w:val="en-US"/>
        </w:rPr>
        <w:t>27</w:t>
      </w:r>
      <w:r>
        <w:rPr>
          <w:rFonts w:ascii="Times New Roman" w:eastAsia="方正仿宋_GBK" w:hAnsi="Times New Roman" w:hint="eastAsia"/>
          <w:color w:val="000000"/>
          <w:kern w:val="2"/>
          <w:sz w:val="32"/>
          <w:szCs w:val="32"/>
          <w:lang w:val="en-US"/>
        </w:rPr>
        <w:t>条，引用重庆</w:t>
      </w:r>
      <w:r>
        <w:rPr>
          <w:rFonts w:ascii="Times New Roman" w:eastAsia="方正仿宋_GBK" w:hAnsi="Times New Roman" w:hint="eastAsia"/>
          <w:color w:val="000000"/>
          <w:sz w:val="32"/>
          <w:szCs w:val="32"/>
        </w:rPr>
        <w:t>市总体管</w:t>
      </w:r>
      <w:proofErr w:type="gramStart"/>
      <w:r>
        <w:rPr>
          <w:rFonts w:ascii="Times New Roman" w:eastAsia="方正仿宋_GBK" w:hAnsi="Times New Roman" w:hint="eastAsia"/>
          <w:color w:val="000000"/>
          <w:sz w:val="32"/>
          <w:szCs w:val="32"/>
        </w:rPr>
        <w:t>控要求</w:t>
      </w:r>
      <w:proofErr w:type="gramEnd"/>
      <w:r>
        <w:rPr>
          <w:rFonts w:ascii="Times New Roman" w:eastAsia="方正仿宋_GBK" w:hAnsi="Times New Roman" w:hint="eastAsia"/>
          <w:color w:val="000000"/>
          <w:sz w:val="32"/>
          <w:szCs w:val="32"/>
          <w:lang w:val="en-US"/>
        </w:rPr>
        <w:t>20</w:t>
      </w:r>
      <w:r>
        <w:rPr>
          <w:rFonts w:ascii="Times New Roman" w:eastAsia="方正仿宋_GBK" w:hAnsi="Times New Roman" w:hint="eastAsia"/>
          <w:color w:val="000000"/>
          <w:sz w:val="32"/>
          <w:szCs w:val="32"/>
          <w:lang w:val="en-US"/>
        </w:rPr>
        <w:t>条</w:t>
      </w:r>
      <w:r>
        <w:rPr>
          <w:rFonts w:ascii="Times New Roman" w:eastAsia="方正仿宋_GBK" w:hAnsi="Times New Roman" w:hint="eastAsia"/>
          <w:color w:val="000000"/>
          <w:kern w:val="2"/>
          <w:sz w:val="32"/>
          <w:szCs w:val="32"/>
          <w:lang w:val="en-US"/>
        </w:rPr>
        <w:t>，在原总体管</w:t>
      </w:r>
      <w:proofErr w:type="gramStart"/>
      <w:r>
        <w:rPr>
          <w:rFonts w:ascii="Times New Roman" w:eastAsia="方正仿宋_GBK" w:hAnsi="Times New Roman" w:hint="eastAsia"/>
          <w:color w:val="000000"/>
          <w:kern w:val="2"/>
          <w:sz w:val="32"/>
          <w:szCs w:val="32"/>
          <w:lang w:val="en-US"/>
        </w:rPr>
        <w:t>控要求</w:t>
      </w:r>
      <w:proofErr w:type="gramEnd"/>
      <w:r>
        <w:rPr>
          <w:rFonts w:ascii="Times New Roman" w:eastAsia="方正仿宋_GBK" w:hAnsi="Times New Roman" w:hint="eastAsia"/>
          <w:color w:val="000000"/>
          <w:kern w:val="2"/>
          <w:sz w:val="32"/>
          <w:szCs w:val="32"/>
          <w:lang w:val="en-US"/>
        </w:rPr>
        <w:t>基础上删除</w:t>
      </w:r>
      <w:r>
        <w:rPr>
          <w:rFonts w:ascii="Times New Roman" w:eastAsia="方正仿宋_GBK" w:hAnsi="Times New Roman" w:hint="eastAsia"/>
          <w:color w:val="000000"/>
          <w:kern w:val="2"/>
          <w:sz w:val="32"/>
          <w:szCs w:val="32"/>
          <w:lang w:val="en-US"/>
        </w:rPr>
        <w:t>4</w:t>
      </w:r>
      <w:r>
        <w:rPr>
          <w:rFonts w:ascii="Times New Roman" w:eastAsia="方正仿宋_GBK" w:hAnsi="Times New Roman" w:hint="eastAsia"/>
          <w:color w:val="000000"/>
          <w:kern w:val="2"/>
          <w:sz w:val="32"/>
          <w:szCs w:val="32"/>
          <w:lang w:val="en-US"/>
        </w:rPr>
        <w:t>条、修改</w:t>
      </w:r>
      <w:r>
        <w:rPr>
          <w:rFonts w:ascii="Times New Roman" w:eastAsia="方正仿宋_GBK" w:hAnsi="Times New Roman" w:hint="eastAsia"/>
          <w:color w:val="000000"/>
          <w:kern w:val="2"/>
          <w:sz w:val="32"/>
          <w:szCs w:val="32"/>
          <w:lang w:val="en-US"/>
        </w:rPr>
        <w:t>7</w:t>
      </w:r>
      <w:r>
        <w:rPr>
          <w:rFonts w:ascii="Times New Roman" w:eastAsia="方正仿宋_GBK" w:hAnsi="Times New Roman" w:hint="eastAsia"/>
          <w:color w:val="000000"/>
          <w:kern w:val="2"/>
          <w:sz w:val="32"/>
          <w:szCs w:val="32"/>
          <w:lang w:val="en-US"/>
        </w:rPr>
        <w:t>条、新增</w:t>
      </w:r>
      <w:r>
        <w:rPr>
          <w:rFonts w:ascii="Times New Roman" w:eastAsia="方正仿宋_GBK" w:hAnsi="Times New Roman" w:hint="eastAsia"/>
          <w:color w:val="000000"/>
          <w:kern w:val="2"/>
          <w:sz w:val="32"/>
          <w:szCs w:val="32"/>
          <w:lang w:val="en-US"/>
        </w:rPr>
        <w:t>0</w:t>
      </w:r>
      <w:r>
        <w:rPr>
          <w:rFonts w:ascii="Times New Roman" w:eastAsia="方正仿宋_GBK" w:hAnsi="Times New Roman" w:hint="eastAsia"/>
          <w:color w:val="000000"/>
          <w:kern w:val="2"/>
          <w:sz w:val="32"/>
          <w:szCs w:val="32"/>
          <w:lang w:val="en-US"/>
        </w:rPr>
        <w:t>条。</w:t>
      </w:r>
    </w:p>
    <w:p w:rsidR="000E2C1B" w:rsidRDefault="001D461B">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五、实施保障</w:t>
      </w:r>
    </w:p>
    <w:p w:rsidR="000E2C1B" w:rsidRDefault="001D461B">
      <w:pPr>
        <w:pStyle w:val="a5"/>
        <w:spacing w:after="0" w:line="600" w:lineRule="exact"/>
        <w:ind w:firstLineChars="200" w:firstLine="640"/>
        <w:rPr>
          <w:rFonts w:ascii="方正楷体_GBK" w:eastAsia="方正楷体_GBK" w:hAnsi="方正楷体_GBK" w:cs="方正楷体_GBK"/>
          <w:kern w:val="2"/>
          <w:sz w:val="32"/>
          <w:szCs w:val="32"/>
          <w:lang w:val="en-US"/>
        </w:rPr>
      </w:pPr>
      <w:r>
        <w:rPr>
          <w:rFonts w:ascii="方正楷体_GBK" w:eastAsia="方正楷体_GBK" w:hAnsi="方正楷体_GBK" w:cs="方正楷体_GBK" w:hint="eastAsia"/>
          <w:kern w:val="2"/>
          <w:sz w:val="32"/>
          <w:szCs w:val="32"/>
          <w:lang w:val="en-US"/>
        </w:rPr>
        <w:lastRenderedPageBreak/>
        <w:t>（一）组织保障。</w:t>
      </w:r>
      <w:r>
        <w:rPr>
          <w:rFonts w:ascii="Times New Roman" w:eastAsia="方正仿宋_GBK" w:hAnsi="Times New Roman" w:hint="eastAsia"/>
          <w:kern w:val="2"/>
          <w:sz w:val="32"/>
          <w:szCs w:val="32"/>
          <w:lang w:val="en-US"/>
        </w:rPr>
        <w:t>县生态环境局牵头组织全县三线</w:t>
      </w:r>
      <w:proofErr w:type="gramStart"/>
      <w:r>
        <w:rPr>
          <w:rFonts w:ascii="Times New Roman" w:eastAsia="方正仿宋_GBK" w:hAnsi="Times New Roman" w:hint="eastAsia"/>
          <w:kern w:val="2"/>
          <w:sz w:val="32"/>
          <w:szCs w:val="32"/>
          <w:lang w:val="en-US"/>
        </w:rPr>
        <w:t>一</w:t>
      </w:r>
      <w:proofErr w:type="gramEnd"/>
      <w:r>
        <w:rPr>
          <w:rFonts w:ascii="Times New Roman" w:eastAsia="方正仿宋_GBK" w:hAnsi="Times New Roman" w:hint="eastAsia"/>
          <w:kern w:val="2"/>
          <w:sz w:val="32"/>
          <w:szCs w:val="32"/>
          <w:lang w:val="en-US"/>
        </w:rPr>
        <w:t>单实施、评估、更新调整和宣传工作，县级有关部门结合本单位职责职能做好全县三线</w:t>
      </w:r>
      <w:proofErr w:type="gramStart"/>
      <w:r>
        <w:rPr>
          <w:rFonts w:ascii="Times New Roman" w:eastAsia="方正仿宋_GBK" w:hAnsi="Times New Roman" w:hint="eastAsia"/>
          <w:kern w:val="2"/>
          <w:sz w:val="32"/>
          <w:szCs w:val="32"/>
          <w:lang w:val="en-US"/>
        </w:rPr>
        <w:t>一</w:t>
      </w:r>
      <w:proofErr w:type="gramEnd"/>
      <w:r>
        <w:rPr>
          <w:rFonts w:ascii="Times New Roman" w:eastAsia="方正仿宋_GBK" w:hAnsi="Times New Roman" w:hint="eastAsia"/>
          <w:kern w:val="2"/>
          <w:sz w:val="32"/>
          <w:szCs w:val="32"/>
          <w:lang w:val="en-US"/>
        </w:rPr>
        <w:t>单实施工作，并积极参与评估、更新调整和宣传工作。各镇人民政府、街道办事处要履行属地管辖职责，配合做好本辖县三线</w:t>
      </w:r>
      <w:proofErr w:type="gramStart"/>
      <w:r>
        <w:rPr>
          <w:rFonts w:ascii="Times New Roman" w:eastAsia="方正仿宋_GBK" w:hAnsi="Times New Roman" w:hint="eastAsia"/>
          <w:kern w:val="2"/>
          <w:sz w:val="32"/>
          <w:szCs w:val="32"/>
          <w:lang w:val="en-US"/>
        </w:rPr>
        <w:t>一</w:t>
      </w:r>
      <w:proofErr w:type="gramEnd"/>
      <w:r>
        <w:rPr>
          <w:rFonts w:ascii="Times New Roman" w:eastAsia="方正仿宋_GBK" w:hAnsi="Times New Roman" w:hint="eastAsia"/>
          <w:kern w:val="2"/>
          <w:sz w:val="32"/>
          <w:szCs w:val="32"/>
          <w:lang w:val="en-US"/>
        </w:rPr>
        <w:t>单实施和宣传等相关工作。</w:t>
      </w:r>
    </w:p>
    <w:p w:rsidR="000E2C1B" w:rsidRDefault="001D461B">
      <w:pPr>
        <w:pStyle w:val="a5"/>
        <w:spacing w:after="0" w:line="600" w:lineRule="exact"/>
        <w:ind w:firstLineChars="200" w:firstLine="640"/>
        <w:rPr>
          <w:rFonts w:ascii="Times New Roman" w:eastAsia="方正仿宋_GBK" w:hAnsi="Times New Roman"/>
          <w:kern w:val="2"/>
          <w:sz w:val="32"/>
          <w:szCs w:val="32"/>
          <w:lang w:val="en-US"/>
        </w:rPr>
      </w:pPr>
      <w:r>
        <w:rPr>
          <w:rFonts w:ascii="方正楷体_GBK" w:eastAsia="方正楷体_GBK" w:hAnsi="方正楷体_GBK" w:cs="方正楷体_GBK" w:hint="eastAsia"/>
          <w:kern w:val="2"/>
          <w:sz w:val="32"/>
          <w:szCs w:val="32"/>
          <w:lang w:val="en-US"/>
        </w:rPr>
        <w:t>（二）资金、技术保障。</w:t>
      </w:r>
      <w:r>
        <w:rPr>
          <w:rFonts w:ascii="Times New Roman" w:eastAsia="方正仿宋_GBK" w:hAnsi="Times New Roman" w:hint="eastAsia"/>
          <w:kern w:val="2"/>
          <w:sz w:val="32"/>
          <w:szCs w:val="32"/>
          <w:lang w:val="en-US"/>
        </w:rPr>
        <w:t>由县生态环境局牵头，组建长期稳定的专业技术团队，县财政安排专项财政资金，切实保障三线</w:t>
      </w:r>
      <w:proofErr w:type="gramStart"/>
      <w:r>
        <w:rPr>
          <w:rFonts w:ascii="Times New Roman" w:eastAsia="方正仿宋_GBK" w:hAnsi="Times New Roman" w:hint="eastAsia"/>
          <w:kern w:val="2"/>
          <w:sz w:val="32"/>
          <w:szCs w:val="32"/>
          <w:lang w:val="en-US"/>
        </w:rPr>
        <w:t>一</w:t>
      </w:r>
      <w:proofErr w:type="gramEnd"/>
      <w:r>
        <w:rPr>
          <w:rFonts w:ascii="Times New Roman" w:eastAsia="方正仿宋_GBK" w:hAnsi="Times New Roman" w:hint="eastAsia"/>
          <w:kern w:val="2"/>
          <w:sz w:val="32"/>
          <w:szCs w:val="32"/>
          <w:lang w:val="en-US"/>
        </w:rPr>
        <w:t>单实施、评估、更新调整、数据应用和维护等。</w:t>
      </w:r>
    </w:p>
    <w:p w:rsidR="000E2C1B" w:rsidRDefault="000E2C1B">
      <w:pPr>
        <w:pStyle w:val="a4"/>
        <w:rPr>
          <w:rFonts w:ascii="Times New Roman" w:eastAsia="方正仿宋_GBK" w:hAnsi="Times New Roman" w:cs="Times New Roman"/>
          <w:color w:val="auto"/>
          <w:kern w:val="2"/>
          <w:sz w:val="32"/>
          <w:szCs w:val="32"/>
        </w:rPr>
      </w:pPr>
    </w:p>
    <w:p w:rsidR="000E2C1B" w:rsidRDefault="001D461B">
      <w:pPr>
        <w:spacing w:line="594" w:lineRule="exact"/>
        <w:rPr>
          <w:rFonts w:ascii="Times New Roman" w:eastAsia="方正仿宋_GBK" w:hAnsi="Times New Roman"/>
          <w:sz w:val="32"/>
          <w:szCs w:val="32"/>
          <w:lang/>
        </w:rPr>
      </w:pPr>
      <w:r>
        <w:rPr>
          <w:rFonts w:ascii="Times New Roman" w:eastAsia="方正仿宋_GBK" w:hAnsi="Times New Roman"/>
          <w:sz w:val="32"/>
          <w:szCs w:val="32"/>
          <w:lang/>
        </w:rPr>
        <w:t>附件</w:t>
      </w:r>
      <w:r>
        <w:rPr>
          <w:rFonts w:ascii="Times New Roman" w:eastAsia="方正仿宋_GBK" w:hAnsi="Times New Roman" w:hint="eastAsia"/>
          <w:sz w:val="32"/>
          <w:szCs w:val="32"/>
          <w:lang/>
        </w:rPr>
        <w:t>之附件</w:t>
      </w:r>
      <w:r>
        <w:rPr>
          <w:rFonts w:ascii="Times New Roman" w:eastAsia="方正仿宋_GBK" w:hAnsi="Times New Roman"/>
          <w:sz w:val="32"/>
          <w:szCs w:val="32"/>
          <w:lang/>
        </w:rPr>
        <w:t>：</w:t>
      </w:r>
    </w:p>
    <w:p w:rsidR="000E2C1B" w:rsidRDefault="001D461B">
      <w:pPr>
        <w:spacing w:line="594" w:lineRule="exact"/>
        <w:ind w:firstLineChars="200" w:firstLine="640"/>
        <w:rPr>
          <w:rFonts w:ascii="Times New Roman" w:eastAsia="方正仿宋_GBK" w:hAnsi="Times New Roman"/>
          <w:sz w:val="32"/>
          <w:szCs w:val="32"/>
          <w:lang/>
        </w:rPr>
      </w:pPr>
      <w:r>
        <w:rPr>
          <w:rFonts w:ascii="Times New Roman" w:eastAsia="方正仿宋_GBK" w:hAnsi="Times New Roman" w:hint="eastAsia"/>
          <w:sz w:val="32"/>
          <w:szCs w:val="32"/>
        </w:rPr>
        <w:t>1.</w:t>
      </w:r>
      <w:r>
        <w:rPr>
          <w:rFonts w:ascii="Times New Roman" w:eastAsia="方正仿宋_GBK" w:hAnsi="Times New Roman"/>
          <w:sz w:val="32"/>
          <w:szCs w:val="32"/>
          <w:lang/>
        </w:rPr>
        <w:t>重庆市</w:t>
      </w:r>
      <w:r>
        <w:rPr>
          <w:rFonts w:ascii="Times New Roman" w:eastAsia="方正仿宋_GBK" w:hAnsi="Times New Roman" w:hint="eastAsia"/>
          <w:sz w:val="32"/>
          <w:szCs w:val="32"/>
        </w:rPr>
        <w:t>云阳</w:t>
      </w:r>
      <w:proofErr w:type="gramStart"/>
      <w:r>
        <w:rPr>
          <w:rFonts w:ascii="Times New Roman" w:eastAsia="方正仿宋_GBK" w:hAnsi="Times New Roman" w:hint="eastAsia"/>
          <w:sz w:val="32"/>
          <w:szCs w:val="32"/>
        </w:rPr>
        <w:t>县</w:t>
      </w:r>
      <w:r>
        <w:rPr>
          <w:rFonts w:ascii="Times New Roman" w:eastAsia="方正仿宋_GBK" w:hAnsi="Times New Roman"/>
          <w:sz w:val="32"/>
          <w:szCs w:val="32"/>
          <w:lang/>
        </w:rPr>
        <w:t>环境管</w:t>
      </w:r>
      <w:proofErr w:type="gramEnd"/>
      <w:r>
        <w:rPr>
          <w:rFonts w:ascii="Times New Roman" w:eastAsia="方正仿宋_GBK" w:hAnsi="Times New Roman"/>
          <w:sz w:val="32"/>
          <w:szCs w:val="32"/>
          <w:lang/>
        </w:rPr>
        <w:t>控单元</w:t>
      </w:r>
      <w:r>
        <w:rPr>
          <w:rFonts w:ascii="Times New Roman" w:eastAsia="方正仿宋_GBK" w:hAnsi="Times New Roman" w:hint="eastAsia"/>
          <w:sz w:val="32"/>
          <w:szCs w:val="32"/>
          <w:lang/>
        </w:rPr>
        <w:t>调整结果</w:t>
      </w:r>
      <w:r>
        <w:rPr>
          <w:rFonts w:ascii="Times New Roman" w:eastAsia="方正仿宋_GBK" w:hAnsi="Times New Roman"/>
          <w:sz w:val="32"/>
          <w:szCs w:val="32"/>
          <w:lang/>
        </w:rPr>
        <w:t>分布图</w:t>
      </w:r>
      <w:r>
        <w:rPr>
          <w:rFonts w:ascii="Times New Roman" w:eastAsia="方正仿宋_GBK" w:hAnsi="Times New Roman" w:hint="eastAsia"/>
          <w:sz w:val="32"/>
          <w:szCs w:val="32"/>
        </w:rPr>
        <w:t>（</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p>
    <w:p w:rsidR="000E2C1B" w:rsidRDefault="001D461B">
      <w:pPr>
        <w:spacing w:line="594" w:lineRule="exact"/>
        <w:ind w:firstLineChars="200" w:firstLine="640"/>
        <w:rPr>
          <w:rFonts w:ascii="Times New Roman" w:eastAsia="方正仿宋_GBK" w:hAnsi="Times New Roman"/>
          <w:sz w:val="32"/>
          <w:szCs w:val="32"/>
          <w:lang/>
        </w:rPr>
      </w:pPr>
      <w:r>
        <w:rPr>
          <w:rFonts w:ascii="Times New Roman" w:eastAsia="方正仿宋_GBK" w:hAnsi="Times New Roman"/>
          <w:sz w:val="32"/>
          <w:szCs w:val="32"/>
          <w:lang/>
        </w:rPr>
        <w:t>2</w:t>
      </w:r>
      <w:r>
        <w:rPr>
          <w:rFonts w:ascii="Times New Roman" w:eastAsia="方正仿宋_GBK" w:hAnsi="Times New Roman" w:hint="eastAsia"/>
          <w:sz w:val="32"/>
          <w:szCs w:val="32"/>
          <w:lang/>
        </w:rPr>
        <w:t>.</w:t>
      </w:r>
      <w:r>
        <w:rPr>
          <w:rFonts w:ascii="Times New Roman" w:eastAsia="方正仿宋_GBK" w:hAnsi="Times New Roman"/>
          <w:sz w:val="32"/>
          <w:szCs w:val="32"/>
          <w:lang/>
        </w:rPr>
        <w:t>重庆市</w:t>
      </w:r>
      <w:r>
        <w:rPr>
          <w:rFonts w:ascii="Times New Roman" w:eastAsia="方正仿宋_GBK" w:hAnsi="Times New Roman" w:hint="eastAsia"/>
          <w:sz w:val="32"/>
          <w:szCs w:val="32"/>
        </w:rPr>
        <w:t>云阳</w:t>
      </w:r>
      <w:proofErr w:type="gramStart"/>
      <w:r>
        <w:rPr>
          <w:rFonts w:ascii="Times New Roman" w:eastAsia="方正仿宋_GBK" w:hAnsi="Times New Roman" w:hint="eastAsia"/>
          <w:sz w:val="32"/>
          <w:szCs w:val="32"/>
        </w:rPr>
        <w:t>县</w:t>
      </w:r>
      <w:r>
        <w:rPr>
          <w:rFonts w:ascii="Times New Roman" w:eastAsia="方正仿宋_GBK" w:hAnsi="Times New Roman"/>
          <w:sz w:val="32"/>
          <w:szCs w:val="32"/>
          <w:lang/>
        </w:rPr>
        <w:t>环境管</w:t>
      </w:r>
      <w:proofErr w:type="gramEnd"/>
      <w:r>
        <w:rPr>
          <w:rFonts w:ascii="Times New Roman" w:eastAsia="方正仿宋_GBK" w:hAnsi="Times New Roman"/>
          <w:sz w:val="32"/>
          <w:szCs w:val="32"/>
          <w:lang/>
        </w:rPr>
        <w:t>控单元</w:t>
      </w:r>
      <w:r>
        <w:rPr>
          <w:rFonts w:ascii="Times New Roman" w:eastAsia="方正仿宋_GBK" w:hAnsi="Times New Roman" w:hint="eastAsia"/>
          <w:sz w:val="32"/>
          <w:szCs w:val="32"/>
          <w:lang/>
        </w:rPr>
        <w:t>调整结果</w:t>
      </w:r>
      <w:r>
        <w:rPr>
          <w:rFonts w:ascii="Times New Roman" w:eastAsia="方正仿宋_GBK" w:hAnsi="Times New Roman"/>
          <w:sz w:val="32"/>
          <w:szCs w:val="32"/>
          <w:lang/>
        </w:rPr>
        <w:t>统计表</w:t>
      </w:r>
      <w:r>
        <w:rPr>
          <w:rFonts w:ascii="Times New Roman" w:eastAsia="方正仿宋_GBK" w:hAnsi="Times New Roman" w:hint="eastAsia"/>
          <w:sz w:val="32"/>
          <w:szCs w:val="32"/>
        </w:rPr>
        <w:t>（</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p>
    <w:p w:rsidR="000E2C1B" w:rsidRDefault="001D461B">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重庆市云阳县生态环境准入清单总体管控要求（</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p>
    <w:p w:rsidR="000E2C1B" w:rsidRDefault="000E2C1B">
      <w:pPr>
        <w:pStyle w:val="a3"/>
        <w:snapToGrid w:val="0"/>
        <w:spacing w:after="0"/>
        <w:jc w:val="left"/>
        <w:rPr>
          <w:rFonts w:ascii="方正小标宋_GBK" w:eastAsia="方正小标宋_GBK" w:hAnsi="Times New Roman"/>
          <w:sz w:val="36"/>
          <w:szCs w:val="36"/>
          <w:lang w:val="en-US"/>
        </w:rPr>
        <w:sectPr w:rsidR="000E2C1B">
          <w:pgSz w:w="11906" w:h="16838"/>
          <w:pgMar w:top="1440" w:right="1457" w:bottom="1440" w:left="1457" w:header="851" w:footer="992" w:gutter="0"/>
          <w:cols w:space="0"/>
          <w:docGrid w:type="lines" w:linePitch="315"/>
        </w:sectPr>
      </w:pPr>
    </w:p>
    <w:p w:rsidR="000E2C1B" w:rsidRDefault="001D461B" w:rsidP="000E2C1B">
      <w:pPr>
        <w:spacing w:afterLines="1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 xml:space="preserve">1 </w:t>
      </w:r>
    </w:p>
    <w:p w:rsidR="000E2C1B" w:rsidRDefault="001D461B">
      <w:r>
        <w:rPr>
          <w:noProof/>
        </w:rPr>
        <w:drawing>
          <wp:inline distT="0" distB="0" distL="114300" distR="114300">
            <wp:extent cx="5266690" cy="7439660"/>
            <wp:effectExtent l="0" t="0" r="10160" b="8890"/>
            <wp:docPr id="1" name="图片 1" descr="954f03428a0ee6104104c05adca2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4f03428a0ee6104104c05adca2e68"/>
                    <pic:cNvPicPr>
                      <a:picLocks noChangeAspect="1"/>
                    </pic:cNvPicPr>
                  </pic:nvPicPr>
                  <pic:blipFill>
                    <a:blip r:embed="rId7"/>
                    <a:stretch>
                      <a:fillRect/>
                    </a:stretch>
                  </pic:blipFill>
                  <pic:spPr>
                    <a:xfrm>
                      <a:off x="0" y="0"/>
                      <a:ext cx="5266690" cy="7439660"/>
                    </a:xfrm>
                    <a:prstGeom prst="rect">
                      <a:avLst/>
                    </a:prstGeom>
                  </pic:spPr>
                </pic:pic>
              </a:graphicData>
            </a:graphic>
          </wp:inline>
        </w:drawing>
      </w:r>
    </w:p>
    <w:p w:rsidR="000E2C1B" w:rsidRDefault="000E2C1B">
      <w:pPr>
        <w:pStyle w:val="a4"/>
        <w:sectPr w:rsidR="000E2C1B">
          <w:pgSz w:w="11906" w:h="16838"/>
          <w:pgMar w:top="1440" w:right="1797" w:bottom="1440" w:left="1797" w:header="851" w:footer="992" w:gutter="0"/>
          <w:cols w:space="0"/>
          <w:docGrid w:type="lines" w:linePitch="315"/>
        </w:sectPr>
      </w:pPr>
    </w:p>
    <w:p w:rsidR="000E2C1B" w:rsidRDefault="000E2C1B">
      <w:pPr>
        <w:pStyle w:val="a4"/>
      </w:pPr>
    </w:p>
    <w:p w:rsidR="000E2C1B" w:rsidRDefault="001D461B" w:rsidP="000E2C1B">
      <w:pPr>
        <w:spacing w:afterLines="1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2</w:t>
      </w:r>
    </w:p>
    <w:p w:rsidR="000E2C1B" w:rsidRDefault="001D461B">
      <w:pPr>
        <w:pStyle w:val="a3"/>
        <w:snapToGrid w:val="0"/>
        <w:spacing w:after="0"/>
        <w:jc w:val="center"/>
        <w:rPr>
          <w:rFonts w:ascii="方正小标宋_GBK" w:eastAsia="方正小标宋_GBK" w:hAnsi="Times New Roman"/>
          <w:kern w:val="2"/>
          <w:sz w:val="36"/>
          <w:szCs w:val="36"/>
          <w:lang w:val="en-US"/>
        </w:rPr>
      </w:pPr>
      <w:r>
        <w:rPr>
          <w:rFonts w:ascii="方正小标宋_GBK" w:eastAsia="方正小标宋_GBK" w:hAnsi="Times New Roman" w:hint="eastAsia"/>
          <w:sz w:val="36"/>
          <w:szCs w:val="36"/>
        </w:rPr>
        <w:t>重庆市</w:t>
      </w:r>
      <w:r>
        <w:rPr>
          <w:rFonts w:ascii="方正小标宋_GBK" w:eastAsia="方正小标宋_GBK" w:hAnsi="Times New Roman" w:hint="eastAsia"/>
          <w:sz w:val="36"/>
          <w:szCs w:val="36"/>
          <w:lang w:val="en-US"/>
        </w:rPr>
        <w:t>云阳</w:t>
      </w:r>
      <w:proofErr w:type="gramStart"/>
      <w:r>
        <w:rPr>
          <w:rFonts w:ascii="方正小标宋_GBK" w:eastAsia="方正小标宋_GBK" w:hAnsi="Times New Roman" w:hint="eastAsia"/>
          <w:sz w:val="36"/>
          <w:szCs w:val="36"/>
          <w:lang w:val="en-US"/>
        </w:rPr>
        <w:t>县</w:t>
      </w:r>
      <w:r>
        <w:rPr>
          <w:rFonts w:ascii="方正小标宋_GBK" w:eastAsia="方正小标宋_GBK" w:hAnsi="Times New Roman" w:hint="eastAsia"/>
          <w:sz w:val="36"/>
          <w:szCs w:val="36"/>
        </w:rPr>
        <w:t>环境管</w:t>
      </w:r>
      <w:proofErr w:type="gramEnd"/>
      <w:r>
        <w:rPr>
          <w:rFonts w:ascii="方正小标宋_GBK" w:eastAsia="方正小标宋_GBK" w:hAnsi="Times New Roman" w:hint="eastAsia"/>
          <w:sz w:val="36"/>
          <w:szCs w:val="36"/>
        </w:rPr>
        <w:t>控单元调整结果统计表</w:t>
      </w:r>
      <w:r>
        <w:rPr>
          <w:rFonts w:ascii="方正小标宋_GBK" w:eastAsia="方正小标宋_GBK" w:hAnsi="Times New Roman" w:hint="eastAsia"/>
          <w:sz w:val="36"/>
          <w:szCs w:val="36"/>
        </w:rPr>
        <w:t>（</w:t>
      </w:r>
      <w:r>
        <w:rPr>
          <w:rFonts w:ascii="方正小标宋_GBK" w:eastAsia="方正小标宋_GBK" w:hAnsi="Times New Roman" w:hint="eastAsia"/>
          <w:sz w:val="36"/>
          <w:szCs w:val="36"/>
          <w:lang w:val="en-US"/>
        </w:rPr>
        <w:t>2023</w:t>
      </w:r>
      <w:r>
        <w:rPr>
          <w:rFonts w:ascii="方正小标宋_GBK" w:eastAsia="方正小标宋_GBK" w:hAnsi="Times New Roman" w:hint="eastAsia"/>
          <w:sz w:val="36"/>
          <w:szCs w:val="36"/>
          <w:lang w:val="en-US"/>
        </w:rPr>
        <w:t>年</w:t>
      </w:r>
      <w:r>
        <w:rPr>
          <w:rFonts w:ascii="方正小标宋_GBK" w:eastAsia="方正小标宋_GBK" w:hAnsi="Times New Roman" w:hint="eastAsia"/>
          <w:sz w:val="36"/>
          <w:szCs w:val="36"/>
        </w:rPr>
        <w:t>）</w:t>
      </w:r>
    </w:p>
    <w:p w:rsidR="000E2C1B" w:rsidRDefault="000E2C1B"/>
    <w:tbl>
      <w:tblPr>
        <w:tblW w:w="1392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6"/>
        <w:gridCol w:w="8760"/>
        <w:gridCol w:w="2736"/>
      </w:tblGrid>
      <w:tr w:rsidR="000E2C1B">
        <w:trPr>
          <w:trHeight w:val="9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环境管控单元编码</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环境管控单元名称</w:t>
            </w:r>
          </w:p>
        </w:tc>
        <w:tc>
          <w:tcPr>
            <w:tcW w:w="273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环境管控单元分类</w:t>
            </w:r>
          </w:p>
        </w:tc>
      </w:tr>
      <w:tr w:rsidR="000E2C1B">
        <w:trPr>
          <w:trHeight w:val="35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ZH50023510001</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云阳县双江街道长江云阳水利水电实业开发有限公司自来水厂水源地</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54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ZH50023510002</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云阳县梅峰水库肖家湾水厂水源地</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442"/>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ZH50023510003</w:t>
            </w:r>
          </w:p>
        </w:tc>
        <w:tc>
          <w:tcPr>
            <w:tcW w:w="8760"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proofErr w:type="gramStart"/>
            <w:r>
              <w:rPr>
                <w:rFonts w:ascii="Times New Roman" w:eastAsia="方正仿宋_GBK" w:hAnsi="Times New Roman"/>
                <w:color w:val="000000"/>
                <w:spacing w:val="-6"/>
                <w:kern w:val="0"/>
                <w:sz w:val="24"/>
                <w:szCs w:val="24"/>
                <w:lang/>
              </w:rPr>
              <w:t>云阳县</w:t>
            </w:r>
            <w:r>
              <w:rPr>
                <w:rFonts w:ascii="Times New Roman" w:eastAsia="方正仿宋_GBK" w:hAnsi="Times New Roman" w:hint="eastAsia"/>
                <w:color w:val="000000"/>
                <w:spacing w:val="-6"/>
                <w:kern w:val="0"/>
                <w:sz w:val="24"/>
                <w:szCs w:val="24"/>
                <w:lang/>
              </w:rPr>
              <w:t>苦竹园</w:t>
            </w:r>
            <w:proofErr w:type="gramEnd"/>
            <w:r>
              <w:rPr>
                <w:rFonts w:ascii="Times New Roman" w:eastAsia="方正仿宋_GBK" w:hAnsi="Times New Roman"/>
                <w:color w:val="000000"/>
                <w:spacing w:val="-6"/>
                <w:kern w:val="0"/>
                <w:sz w:val="24"/>
                <w:szCs w:val="24"/>
                <w:lang/>
              </w:rPr>
              <w:t>肖家湾水厂水源地</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306"/>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ZH50023510004</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重庆云阳七曜山市级自然保护区</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ZH50023510005</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云阳小江县级湿地自然保护区</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hRule="exact" w:val="344"/>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ZH50023510006</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重庆市七曜山森林公园</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32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ZH50023510007</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重庆云阳栖霞宫市级森林公园</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332"/>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ZH50023510008</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重庆云阳四十八槽市级森林公园</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308"/>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ZH50023510009</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云阳县生态保护红线</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308"/>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ZH50023510010</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proofErr w:type="gramStart"/>
            <w:r>
              <w:rPr>
                <w:rFonts w:ascii="Times New Roman" w:eastAsia="方正仿宋_GBK" w:hAnsi="Times New Roman"/>
                <w:color w:val="000000"/>
                <w:spacing w:val="-6"/>
                <w:kern w:val="0"/>
                <w:sz w:val="24"/>
                <w:szCs w:val="24"/>
                <w:lang/>
              </w:rPr>
              <w:t>潭獐峡风景名胜区</w:t>
            </w:r>
            <w:proofErr w:type="gramEnd"/>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32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ZH50023510011</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w:t>
            </w:r>
            <w:proofErr w:type="gramStart"/>
            <w:r>
              <w:rPr>
                <w:rFonts w:ascii="Times New Roman" w:eastAsia="方正仿宋_GBK" w:hAnsi="Times New Roman"/>
                <w:color w:val="000000"/>
                <w:spacing w:val="-6"/>
                <w:kern w:val="0"/>
                <w:sz w:val="24"/>
                <w:szCs w:val="24"/>
                <w:lang/>
              </w:rPr>
              <w:t>县一般</w:t>
            </w:r>
            <w:proofErr w:type="gramEnd"/>
            <w:r>
              <w:rPr>
                <w:rFonts w:ascii="Times New Roman" w:eastAsia="方正仿宋_GBK" w:hAnsi="Times New Roman"/>
                <w:color w:val="000000"/>
                <w:spacing w:val="-6"/>
                <w:kern w:val="0"/>
                <w:sz w:val="24"/>
                <w:szCs w:val="24"/>
                <w:lang/>
              </w:rPr>
              <w:t>生态空间</w:t>
            </w:r>
            <w:r>
              <w:rPr>
                <w:rFonts w:ascii="Times New Roman" w:eastAsia="方正仿宋_GBK" w:hAnsi="Times New Roman"/>
                <w:color w:val="000000"/>
                <w:spacing w:val="-6"/>
                <w:kern w:val="0"/>
                <w:sz w:val="24"/>
                <w:szCs w:val="24"/>
                <w:lang/>
              </w:rPr>
              <w:t>-</w:t>
            </w:r>
            <w:r>
              <w:rPr>
                <w:rFonts w:ascii="Times New Roman" w:eastAsia="方正仿宋_GBK" w:hAnsi="Times New Roman"/>
                <w:color w:val="000000"/>
                <w:spacing w:val="-6"/>
                <w:kern w:val="0"/>
                <w:sz w:val="24"/>
                <w:szCs w:val="24"/>
                <w:lang/>
              </w:rPr>
              <w:t>生物多样性维护</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ZH50023510012</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w:t>
            </w:r>
            <w:proofErr w:type="gramStart"/>
            <w:r>
              <w:rPr>
                <w:rFonts w:ascii="Times New Roman" w:eastAsia="方正仿宋_GBK" w:hAnsi="Times New Roman"/>
                <w:color w:val="000000"/>
                <w:spacing w:val="-6"/>
                <w:kern w:val="0"/>
                <w:sz w:val="24"/>
                <w:szCs w:val="24"/>
                <w:lang/>
              </w:rPr>
              <w:t>县一般</w:t>
            </w:r>
            <w:proofErr w:type="gramEnd"/>
            <w:r>
              <w:rPr>
                <w:rFonts w:ascii="Times New Roman" w:eastAsia="方正仿宋_GBK" w:hAnsi="Times New Roman"/>
                <w:color w:val="000000"/>
                <w:spacing w:val="-6"/>
                <w:kern w:val="0"/>
                <w:sz w:val="24"/>
                <w:szCs w:val="24"/>
                <w:lang/>
              </w:rPr>
              <w:t>生态空间</w:t>
            </w:r>
            <w:r>
              <w:rPr>
                <w:rFonts w:ascii="Times New Roman" w:eastAsia="方正仿宋_GBK" w:hAnsi="Times New Roman"/>
                <w:color w:val="000000"/>
                <w:spacing w:val="-6"/>
                <w:kern w:val="0"/>
                <w:sz w:val="24"/>
                <w:szCs w:val="24"/>
                <w:lang/>
              </w:rPr>
              <w:t>-</w:t>
            </w:r>
            <w:r>
              <w:rPr>
                <w:rFonts w:ascii="Times New Roman" w:eastAsia="方正仿宋_GBK" w:hAnsi="Times New Roman"/>
                <w:color w:val="000000"/>
                <w:spacing w:val="-6"/>
                <w:kern w:val="0"/>
                <w:sz w:val="24"/>
                <w:szCs w:val="24"/>
                <w:lang/>
              </w:rPr>
              <w:t>水土保持</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ZH50023510013</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w:t>
            </w:r>
            <w:proofErr w:type="gramStart"/>
            <w:r>
              <w:rPr>
                <w:rFonts w:ascii="Times New Roman" w:eastAsia="方正仿宋_GBK" w:hAnsi="Times New Roman"/>
                <w:color w:val="000000"/>
                <w:spacing w:val="-6"/>
                <w:kern w:val="0"/>
                <w:sz w:val="24"/>
                <w:szCs w:val="24"/>
                <w:lang/>
              </w:rPr>
              <w:t>县一般</w:t>
            </w:r>
            <w:proofErr w:type="gramEnd"/>
            <w:r>
              <w:rPr>
                <w:rFonts w:ascii="Times New Roman" w:eastAsia="方正仿宋_GBK" w:hAnsi="Times New Roman"/>
                <w:color w:val="000000"/>
                <w:spacing w:val="-6"/>
                <w:kern w:val="0"/>
                <w:sz w:val="24"/>
                <w:szCs w:val="24"/>
                <w:lang/>
              </w:rPr>
              <w:t>生态空间</w:t>
            </w:r>
            <w:r>
              <w:rPr>
                <w:rFonts w:ascii="Times New Roman" w:eastAsia="方正仿宋_GBK" w:hAnsi="Times New Roman"/>
                <w:color w:val="000000"/>
                <w:spacing w:val="-6"/>
                <w:kern w:val="0"/>
                <w:sz w:val="24"/>
                <w:szCs w:val="24"/>
                <w:lang/>
              </w:rPr>
              <w:t>-</w:t>
            </w:r>
            <w:r>
              <w:rPr>
                <w:rFonts w:ascii="Times New Roman" w:eastAsia="方正仿宋_GBK" w:hAnsi="Times New Roman"/>
                <w:color w:val="000000"/>
                <w:spacing w:val="-6"/>
                <w:kern w:val="0"/>
                <w:sz w:val="24"/>
                <w:szCs w:val="24"/>
                <w:lang/>
              </w:rPr>
              <w:t>水土流失</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ZH50023510014</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w:t>
            </w:r>
            <w:proofErr w:type="gramStart"/>
            <w:r>
              <w:rPr>
                <w:rFonts w:ascii="Times New Roman" w:eastAsia="方正仿宋_GBK" w:hAnsi="Times New Roman"/>
                <w:color w:val="000000"/>
                <w:spacing w:val="-6"/>
                <w:kern w:val="0"/>
                <w:sz w:val="24"/>
                <w:szCs w:val="24"/>
                <w:lang/>
              </w:rPr>
              <w:t>县一般</w:t>
            </w:r>
            <w:proofErr w:type="gramEnd"/>
            <w:r>
              <w:rPr>
                <w:rFonts w:ascii="Times New Roman" w:eastAsia="方正仿宋_GBK" w:hAnsi="Times New Roman"/>
                <w:color w:val="000000"/>
                <w:spacing w:val="-6"/>
                <w:kern w:val="0"/>
                <w:sz w:val="24"/>
                <w:szCs w:val="24"/>
                <w:lang/>
              </w:rPr>
              <w:t>生态空间</w:t>
            </w:r>
            <w:r>
              <w:rPr>
                <w:rFonts w:ascii="Times New Roman" w:eastAsia="方正仿宋_GBK" w:hAnsi="Times New Roman"/>
                <w:color w:val="000000"/>
                <w:spacing w:val="-6"/>
                <w:kern w:val="0"/>
                <w:sz w:val="24"/>
                <w:szCs w:val="24"/>
                <w:lang/>
              </w:rPr>
              <w:t>-</w:t>
            </w:r>
            <w:r>
              <w:rPr>
                <w:rFonts w:ascii="Times New Roman" w:eastAsia="方正仿宋_GBK" w:hAnsi="Times New Roman"/>
                <w:color w:val="000000"/>
                <w:spacing w:val="-6"/>
                <w:kern w:val="0"/>
                <w:sz w:val="24"/>
                <w:szCs w:val="24"/>
                <w:lang/>
              </w:rPr>
              <w:t>石漠化</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优先保护单元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ZH50023520001</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中心城区片区</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工业城镇</w:t>
            </w:r>
            <w:r>
              <w:rPr>
                <w:rFonts w:ascii="Times New Roman" w:eastAsia="方正仿宋_GBK" w:hAnsi="Times New Roman"/>
                <w:color w:val="000000"/>
                <w:spacing w:val="-6"/>
                <w:kern w:val="0"/>
                <w:sz w:val="24"/>
                <w:szCs w:val="24"/>
                <w:lang/>
              </w:rPr>
              <w:t>重点管控单元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ZH50023520002</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人和片区</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工业城镇</w:t>
            </w:r>
            <w:r>
              <w:rPr>
                <w:rFonts w:ascii="Times New Roman" w:eastAsia="方正仿宋_GBK" w:hAnsi="Times New Roman"/>
                <w:color w:val="000000"/>
                <w:spacing w:val="-6"/>
                <w:kern w:val="0"/>
                <w:sz w:val="24"/>
                <w:szCs w:val="24"/>
                <w:lang/>
              </w:rPr>
              <w:t>重点管控单元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ZH50023520003</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其他片区</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hint="eastAsia"/>
                <w:color w:val="000000"/>
                <w:spacing w:val="-6"/>
                <w:kern w:val="0"/>
                <w:sz w:val="24"/>
                <w:szCs w:val="24"/>
                <w:lang/>
              </w:rPr>
              <w:t>工业城镇</w:t>
            </w:r>
            <w:r>
              <w:rPr>
                <w:rFonts w:ascii="Times New Roman" w:eastAsia="方正仿宋_GBK" w:hAnsi="Times New Roman"/>
                <w:color w:val="000000"/>
                <w:spacing w:val="-6"/>
                <w:kern w:val="0"/>
                <w:sz w:val="24"/>
                <w:szCs w:val="24"/>
                <w:lang/>
              </w:rPr>
              <w:t>重点管控单元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ZH50023530001</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w:t>
            </w:r>
            <w:proofErr w:type="gramStart"/>
            <w:r>
              <w:rPr>
                <w:rFonts w:ascii="Times New Roman" w:eastAsia="方正仿宋_GBK" w:hAnsi="Times New Roman"/>
                <w:color w:val="000000"/>
                <w:spacing w:val="-6"/>
                <w:kern w:val="0"/>
                <w:sz w:val="24"/>
                <w:szCs w:val="24"/>
                <w:lang/>
              </w:rPr>
              <w:t>县一般管</w:t>
            </w:r>
            <w:proofErr w:type="gramEnd"/>
            <w:r>
              <w:rPr>
                <w:rFonts w:ascii="Times New Roman" w:eastAsia="方正仿宋_GBK" w:hAnsi="Times New Roman"/>
                <w:color w:val="000000"/>
                <w:spacing w:val="-6"/>
                <w:kern w:val="0"/>
                <w:sz w:val="24"/>
                <w:szCs w:val="24"/>
                <w:lang/>
              </w:rPr>
              <w:t>控单元</w:t>
            </w:r>
            <w:r>
              <w:rPr>
                <w:rFonts w:ascii="Times New Roman" w:eastAsia="方正仿宋_GBK" w:hAnsi="Times New Roman"/>
                <w:color w:val="000000"/>
                <w:spacing w:val="-6"/>
                <w:kern w:val="0"/>
                <w:sz w:val="24"/>
                <w:szCs w:val="24"/>
                <w:lang/>
              </w:rPr>
              <w:t>—</w:t>
            </w:r>
            <w:proofErr w:type="gramStart"/>
            <w:r>
              <w:rPr>
                <w:rFonts w:ascii="Times New Roman" w:eastAsia="方正仿宋_GBK" w:hAnsi="Times New Roman"/>
                <w:color w:val="000000"/>
                <w:spacing w:val="-6"/>
                <w:kern w:val="0"/>
                <w:sz w:val="24"/>
                <w:szCs w:val="24"/>
                <w:lang/>
              </w:rPr>
              <w:t>澎</w:t>
            </w:r>
            <w:proofErr w:type="gramEnd"/>
            <w:r>
              <w:rPr>
                <w:rFonts w:ascii="Times New Roman" w:eastAsia="方正仿宋_GBK" w:hAnsi="Times New Roman"/>
                <w:color w:val="000000"/>
                <w:spacing w:val="-6"/>
                <w:kern w:val="0"/>
                <w:sz w:val="24"/>
                <w:szCs w:val="24"/>
                <w:lang/>
              </w:rPr>
              <w:t>溪河高阳渡口</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一般管控单元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ZH50023530002</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w:t>
            </w:r>
            <w:proofErr w:type="gramStart"/>
            <w:r>
              <w:rPr>
                <w:rFonts w:ascii="Times New Roman" w:eastAsia="方正仿宋_GBK" w:hAnsi="Times New Roman"/>
                <w:color w:val="000000"/>
                <w:spacing w:val="-6"/>
                <w:kern w:val="0"/>
                <w:sz w:val="24"/>
                <w:szCs w:val="24"/>
                <w:lang/>
              </w:rPr>
              <w:t>县一般管</w:t>
            </w:r>
            <w:proofErr w:type="gramEnd"/>
            <w:r>
              <w:rPr>
                <w:rFonts w:ascii="Times New Roman" w:eastAsia="方正仿宋_GBK" w:hAnsi="Times New Roman"/>
                <w:color w:val="000000"/>
                <w:spacing w:val="-6"/>
                <w:kern w:val="0"/>
                <w:sz w:val="24"/>
                <w:szCs w:val="24"/>
                <w:lang/>
              </w:rPr>
              <w:t>控单元</w:t>
            </w:r>
            <w:proofErr w:type="gramStart"/>
            <w:r>
              <w:rPr>
                <w:rFonts w:ascii="Times New Roman" w:eastAsia="方正仿宋_GBK" w:hAnsi="Times New Roman"/>
                <w:color w:val="000000"/>
                <w:spacing w:val="-6"/>
                <w:kern w:val="0"/>
                <w:sz w:val="24"/>
                <w:szCs w:val="24"/>
                <w:lang/>
              </w:rPr>
              <w:t>—</w:t>
            </w:r>
            <w:r>
              <w:rPr>
                <w:rFonts w:ascii="Times New Roman" w:eastAsia="方正仿宋_GBK" w:hAnsi="Times New Roman"/>
                <w:color w:val="000000"/>
                <w:spacing w:val="-6"/>
                <w:kern w:val="0"/>
                <w:sz w:val="24"/>
                <w:szCs w:val="24"/>
                <w:lang/>
              </w:rPr>
              <w:t>汤溪河汤</w:t>
            </w:r>
            <w:proofErr w:type="gramEnd"/>
            <w:r>
              <w:rPr>
                <w:rFonts w:ascii="Times New Roman" w:eastAsia="方正仿宋_GBK" w:hAnsi="Times New Roman"/>
                <w:color w:val="000000"/>
                <w:spacing w:val="-6"/>
                <w:kern w:val="0"/>
                <w:sz w:val="24"/>
                <w:szCs w:val="24"/>
                <w:lang/>
              </w:rPr>
              <w:t>溪河大桥</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一般管控单元</w:t>
            </w:r>
          </w:p>
        </w:tc>
      </w:tr>
      <w:tr w:rsidR="000E2C1B">
        <w:trPr>
          <w:trHeight w:val="260"/>
        </w:trPr>
        <w:tc>
          <w:tcPr>
            <w:tcW w:w="2426"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ZH50023530003</w:t>
            </w:r>
          </w:p>
        </w:tc>
        <w:tc>
          <w:tcPr>
            <w:tcW w:w="8760" w:type="dxa"/>
            <w:tcBorders>
              <w:tl2br w:val="nil"/>
              <w:tr2bl w:val="nil"/>
            </w:tcBorders>
            <w:shd w:val="clear" w:color="auto" w:fill="auto"/>
            <w:noWrap/>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云阳</w:t>
            </w:r>
            <w:proofErr w:type="gramStart"/>
            <w:r>
              <w:rPr>
                <w:rFonts w:ascii="Times New Roman" w:eastAsia="方正仿宋_GBK" w:hAnsi="Times New Roman"/>
                <w:color w:val="000000"/>
                <w:spacing w:val="-6"/>
                <w:kern w:val="0"/>
                <w:sz w:val="24"/>
                <w:szCs w:val="24"/>
                <w:lang/>
              </w:rPr>
              <w:t>县一般管</w:t>
            </w:r>
            <w:proofErr w:type="gramEnd"/>
            <w:r>
              <w:rPr>
                <w:rFonts w:ascii="Times New Roman" w:eastAsia="方正仿宋_GBK" w:hAnsi="Times New Roman"/>
                <w:color w:val="000000"/>
                <w:spacing w:val="-6"/>
                <w:kern w:val="0"/>
                <w:sz w:val="24"/>
                <w:szCs w:val="24"/>
                <w:lang/>
              </w:rPr>
              <w:t>控单元</w:t>
            </w:r>
            <w:r>
              <w:rPr>
                <w:rFonts w:ascii="Times New Roman" w:eastAsia="方正仿宋_GBK" w:hAnsi="Times New Roman"/>
                <w:color w:val="000000"/>
                <w:spacing w:val="-6"/>
                <w:kern w:val="0"/>
                <w:sz w:val="24"/>
                <w:szCs w:val="24"/>
                <w:lang/>
              </w:rPr>
              <w:t>—</w:t>
            </w:r>
            <w:r>
              <w:rPr>
                <w:rFonts w:ascii="Times New Roman" w:eastAsia="方正仿宋_GBK" w:hAnsi="Times New Roman"/>
                <w:color w:val="000000"/>
                <w:spacing w:val="-6"/>
                <w:kern w:val="0"/>
                <w:sz w:val="24"/>
                <w:szCs w:val="24"/>
                <w:lang/>
              </w:rPr>
              <w:t>长江白帝城云阳段</w:t>
            </w:r>
          </w:p>
        </w:tc>
        <w:tc>
          <w:tcPr>
            <w:tcW w:w="2736" w:type="dxa"/>
            <w:tcBorders>
              <w:tl2br w:val="nil"/>
              <w:tr2bl w:val="nil"/>
            </w:tcBorders>
            <w:shd w:val="clear" w:color="auto" w:fill="auto"/>
            <w:vAlign w:val="center"/>
          </w:tcPr>
          <w:p w:rsidR="000E2C1B" w:rsidRDefault="001D461B">
            <w:pPr>
              <w:widowControl/>
              <w:jc w:val="center"/>
              <w:textAlignment w:val="center"/>
              <w:rPr>
                <w:rFonts w:ascii="Times New Roman" w:eastAsia="方正仿宋_GBK" w:hAnsi="Times New Roman"/>
                <w:color w:val="000000"/>
                <w:spacing w:val="-6"/>
                <w:kern w:val="0"/>
                <w:sz w:val="24"/>
                <w:szCs w:val="24"/>
                <w:lang/>
              </w:rPr>
            </w:pPr>
            <w:r>
              <w:rPr>
                <w:rFonts w:ascii="Times New Roman" w:eastAsia="方正仿宋_GBK" w:hAnsi="Times New Roman"/>
                <w:color w:val="000000"/>
                <w:spacing w:val="-6"/>
                <w:kern w:val="0"/>
                <w:sz w:val="24"/>
                <w:szCs w:val="24"/>
                <w:lang/>
              </w:rPr>
              <w:t>一般管控单元</w:t>
            </w:r>
          </w:p>
        </w:tc>
      </w:tr>
    </w:tbl>
    <w:p w:rsidR="001D461B" w:rsidRDefault="001D461B" w:rsidP="000E2C1B">
      <w:pPr>
        <w:spacing w:afterLines="100"/>
        <w:rPr>
          <w:rFonts w:ascii="方正小标宋_GBK" w:eastAsia="方正小标宋_GBK" w:hAnsi="Times New Roman" w:hint="eastAsia"/>
          <w:sz w:val="36"/>
          <w:szCs w:val="36"/>
        </w:rPr>
      </w:pPr>
    </w:p>
    <w:p w:rsidR="000E2C1B" w:rsidRDefault="001D461B" w:rsidP="000E2C1B">
      <w:pPr>
        <w:spacing w:afterLines="1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w:t>
      </w:r>
      <w:r>
        <w:rPr>
          <w:rFonts w:ascii="方正黑体_GBK" w:eastAsia="方正黑体_GBK" w:hAnsi="方正黑体_GBK" w:cs="方正黑体_GBK" w:hint="eastAsia"/>
          <w:sz w:val="32"/>
          <w:szCs w:val="32"/>
        </w:rPr>
        <w:t>件</w:t>
      </w:r>
      <w:r>
        <w:rPr>
          <w:rFonts w:ascii="方正黑体_GBK" w:eastAsia="方正黑体_GBK" w:hAnsi="方正黑体_GBK" w:cs="方正黑体_GBK" w:hint="eastAsia"/>
          <w:sz w:val="32"/>
          <w:szCs w:val="32"/>
        </w:rPr>
        <w:t>3</w:t>
      </w:r>
      <w:bookmarkStart w:id="0" w:name="_GoBack"/>
      <w:bookmarkEnd w:id="0"/>
    </w:p>
    <w:p w:rsidR="000E2C1B" w:rsidRDefault="001D461B">
      <w:pPr>
        <w:pStyle w:val="a3"/>
        <w:snapToGrid w:val="0"/>
        <w:spacing w:after="0"/>
        <w:jc w:val="center"/>
        <w:rPr>
          <w:rFonts w:ascii="方正小标宋_GBK" w:eastAsia="方正小标宋_GBK" w:hAnsi="Times New Roman"/>
          <w:kern w:val="2"/>
          <w:sz w:val="36"/>
          <w:szCs w:val="36"/>
          <w:lang w:val="en-US"/>
        </w:rPr>
      </w:pPr>
      <w:r>
        <w:rPr>
          <w:rFonts w:ascii="方正小标宋_GBK" w:eastAsia="方正小标宋_GBK" w:hAnsi="Times New Roman" w:hint="eastAsia"/>
          <w:kern w:val="2"/>
          <w:sz w:val="36"/>
          <w:szCs w:val="36"/>
          <w:lang w:val="en-US"/>
        </w:rPr>
        <w:t>重庆市</w:t>
      </w:r>
      <w:r>
        <w:rPr>
          <w:rFonts w:ascii="方正小标宋_GBK" w:eastAsia="方正小标宋_GBK" w:hAnsi="Times New Roman"/>
          <w:kern w:val="2"/>
          <w:sz w:val="36"/>
          <w:szCs w:val="36"/>
          <w:lang w:val="en-US"/>
        </w:rPr>
        <w:t>云阳县</w:t>
      </w:r>
      <w:r>
        <w:rPr>
          <w:rFonts w:ascii="方正小标宋_GBK" w:eastAsia="方正小标宋_GBK" w:hAnsi="Times New Roman" w:hint="eastAsia"/>
          <w:kern w:val="2"/>
          <w:sz w:val="36"/>
          <w:szCs w:val="36"/>
          <w:lang w:val="en-US"/>
        </w:rPr>
        <w:t>生态环境准入清单</w:t>
      </w:r>
      <w:r>
        <w:rPr>
          <w:rFonts w:ascii="方正小标宋_GBK" w:eastAsia="方正小标宋_GBK" w:hAnsi="Times New Roman"/>
          <w:kern w:val="2"/>
          <w:sz w:val="36"/>
          <w:szCs w:val="36"/>
          <w:lang w:val="en-US"/>
        </w:rPr>
        <w:t>总体管</w:t>
      </w:r>
      <w:proofErr w:type="gramStart"/>
      <w:r>
        <w:rPr>
          <w:rFonts w:ascii="方正小标宋_GBK" w:eastAsia="方正小标宋_GBK" w:hAnsi="Times New Roman"/>
          <w:kern w:val="2"/>
          <w:sz w:val="36"/>
          <w:szCs w:val="36"/>
          <w:lang w:val="en-US"/>
        </w:rPr>
        <w:t>控要求表</w:t>
      </w:r>
      <w:proofErr w:type="gramEnd"/>
      <w:r>
        <w:rPr>
          <w:rFonts w:ascii="方正小标宋_GBK" w:eastAsia="方正小标宋_GBK" w:hAnsi="Times New Roman" w:hint="eastAsia"/>
          <w:kern w:val="2"/>
          <w:sz w:val="36"/>
          <w:szCs w:val="36"/>
          <w:lang w:val="en-US"/>
        </w:rPr>
        <w:t>（</w:t>
      </w:r>
      <w:r>
        <w:rPr>
          <w:rFonts w:ascii="方正小标宋_GBK" w:eastAsia="方正小标宋_GBK" w:hAnsi="Times New Roman" w:hint="eastAsia"/>
          <w:kern w:val="2"/>
          <w:sz w:val="36"/>
          <w:szCs w:val="36"/>
          <w:lang w:val="en-US"/>
        </w:rPr>
        <w:t>2023</w:t>
      </w:r>
      <w:r>
        <w:rPr>
          <w:rFonts w:ascii="方正小标宋_GBK" w:eastAsia="方正小标宋_GBK" w:hAnsi="Times New Roman" w:hint="eastAsia"/>
          <w:kern w:val="2"/>
          <w:sz w:val="36"/>
          <w:szCs w:val="36"/>
          <w:lang w:val="en-US"/>
        </w:rPr>
        <w:t>）</w:t>
      </w:r>
    </w:p>
    <w:tbl>
      <w:tblPr>
        <w:tblStyle w:val="a6"/>
        <w:tblW w:w="14318" w:type="dxa"/>
        <w:tblLayout w:type="fixed"/>
        <w:tblLook w:val="04A0"/>
      </w:tblPr>
      <w:tblGrid>
        <w:gridCol w:w="794"/>
        <w:gridCol w:w="12348"/>
        <w:gridCol w:w="1176"/>
      </w:tblGrid>
      <w:tr w:rsidR="000E2C1B">
        <w:trPr>
          <w:trHeight w:val="90"/>
          <w:tblHeader/>
        </w:trPr>
        <w:tc>
          <w:tcPr>
            <w:tcW w:w="794" w:type="dxa"/>
            <w:vAlign w:val="center"/>
          </w:tcPr>
          <w:p w:rsidR="000E2C1B" w:rsidRDefault="001D461B">
            <w:pPr>
              <w:widowControl/>
              <w:spacing w:line="360" w:lineRule="exact"/>
              <w:jc w:val="center"/>
              <w:textAlignment w:val="center"/>
              <w:rPr>
                <w:rFonts w:ascii="方正仿宋_GBK" w:eastAsia="方正仿宋_GBK" w:hAnsi="方正仿宋_GBK" w:cs="方正仿宋_GBK"/>
                <w:color w:val="000000"/>
                <w:spacing w:val="-6"/>
                <w:kern w:val="0"/>
                <w:sz w:val="24"/>
                <w:szCs w:val="24"/>
                <w:lang/>
              </w:rPr>
            </w:pPr>
            <w:r>
              <w:rPr>
                <w:rFonts w:ascii="方正仿宋_GBK" w:eastAsia="方正仿宋_GBK" w:hAnsi="方正仿宋_GBK" w:cs="方正仿宋_GBK" w:hint="eastAsia"/>
                <w:color w:val="000000"/>
                <w:spacing w:val="-6"/>
                <w:kern w:val="0"/>
                <w:sz w:val="24"/>
                <w:szCs w:val="24"/>
                <w:lang/>
              </w:rPr>
              <w:t>管控类别</w:t>
            </w:r>
          </w:p>
        </w:tc>
        <w:tc>
          <w:tcPr>
            <w:tcW w:w="12348" w:type="dxa"/>
            <w:vAlign w:val="center"/>
          </w:tcPr>
          <w:p w:rsidR="000E2C1B" w:rsidRDefault="001D461B">
            <w:pPr>
              <w:widowControl/>
              <w:spacing w:line="360" w:lineRule="exact"/>
              <w:jc w:val="center"/>
              <w:textAlignment w:val="center"/>
              <w:rPr>
                <w:rFonts w:ascii="方正仿宋_GBK" w:eastAsia="方正仿宋_GBK" w:hAnsi="方正仿宋_GBK" w:cs="方正仿宋_GBK"/>
                <w:color w:val="000000"/>
                <w:spacing w:val="-6"/>
                <w:kern w:val="0"/>
                <w:sz w:val="24"/>
                <w:szCs w:val="24"/>
                <w:lang/>
              </w:rPr>
            </w:pPr>
            <w:r>
              <w:rPr>
                <w:rFonts w:ascii="方正仿宋_GBK" w:eastAsia="方正仿宋_GBK" w:hAnsi="方正仿宋_GBK" w:cs="方正仿宋_GBK" w:hint="eastAsia"/>
                <w:color w:val="000000"/>
                <w:spacing w:val="-6"/>
                <w:kern w:val="0"/>
                <w:sz w:val="24"/>
                <w:szCs w:val="24"/>
                <w:lang/>
              </w:rPr>
              <w:t>管</w:t>
            </w:r>
            <w:proofErr w:type="gramStart"/>
            <w:r>
              <w:rPr>
                <w:rFonts w:ascii="方正仿宋_GBK" w:eastAsia="方正仿宋_GBK" w:hAnsi="方正仿宋_GBK" w:cs="方正仿宋_GBK" w:hint="eastAsia"/>
                <w:color w:val="000000"/>
                <w:spacing w:val="-6"/>
                <w:kern w:val="0"/>
                <w:sz w:val="24"/>
                <w:szCs w:val="24"/>
                <w:lang/>
              </w:rPr>
              <w:t>控要求</w:t>
            </w:r>
            <w:proofErr w:type="gramEnd"/>
          </w:p>
        </w:tc>
        <w:tc>
          <w:tcPr>
            <w:tcW w:w="1176" w:type="dxa"/>
            <w:vAlign w:val="center"/>
          </w:tcPr>
          <w:p w:rsidR="000E2C1B" w:rsidRDefault="001D461B">
            <w:pPr>
              <w:widowControl/>
              <w:spacing w:line="360" w:lineRule="exact"/>
              <w:jc w:val="center"/>
              <w:textAlignment w:val="center"/>
              <w:rPr>
                <w:rFonts w:ascii="方正仿宋_GBK" w:eastAsia="方正仿宋_GBK" w:hAnsi="方正仿宋_GBK" w:cs="方正仿宋_GBK"/>
                <w:color w:val="000000"/>
                <w:spacing w:val="-6"/>
                <w:kern w:val="0"/>
                <w:sz w:val="24"/>
                <w:szCs w:val="24"/>
                <w:lang/>
              </w:rPr>
            </w:pPr>
            <w:r>
              <w:rPr>
                <w:rFonts w:ascii="方正仿宋_GBK" w:eastAsia="方正仿宋_GBK" w:hAnsi="方正仿宋_GBK" w:cs="方正仿宋_GBK" w:hint="eastAsia"/>
                <w:color w:val="000000"/>
                <w:spacing w:val="-6"/>
                <w:kern w:val="0"/>
                <w:sz w:val="24"/>
                <w:szCs w:val="24"/>
                <w:lang/>
              </w:rPr>
              <w:t>备注</w:t>
            </w:r>
          </w:p>
        </w:tc>
      </w:tr>
      <w:tr w:rsidR="000E2C1B">
        <w:trPr>
          <w:trHeight w:val="583"/>
        </w:trPr>
        <w:tc>
          <w:tcPr>
            <w:tcW w:w="794" w:type="dxa"/>
            <w:vMerge w:val="restart"/>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r>
              <w:rPr>
                <w:rFonts w:ascii="方正仿宋_GBK" w:eastAsia="方正仿宋_GBK" w:hAnsi="方正仿宋_GBK" w:cs="方正仿宋_GBK" w:hint="eastAsia"/>
                <w:color w:val="000000"/>
                <w:spacing w:val="-6"/>
                <w:kern w:val="0"/>
                <w:sz w:val="24"/>
                <w:szCs w:val="24"/>
                <w:lang/>
              </w:rPr>
              <w:t>空间布局约束</w:t>
            </w:r>
          </w:p>
        </w:tc>
        <w:tc>
          <w:tcPr>
            <w:tcW w:w="12348"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val="zh-CN"/>
              </w:rPr>
            </w:pPr>
            <w:r>
              <w:rPr>
                <w:rFonts w:ascii="方正仿宋_GBK" w:eastAsia="方正仿宋_GBK" w:hAnsi="方正仿宋_GBK" w:cs="方正仿宋_GBK" w:hint="eastAsia"/>
                <w:color w:val="000000"/>
                <w:spacing w:val="-6"/>
                <w:kern w:val="0"/>
                <w:sz w:val="24"/>
                <w:szCs w:val="24"/>
                <w:lang/>
              </w:rPr>
              <w:t>第一条</w:t>
            </w:r>
            <w:r>
              <w:rPr>
                <w:rFonts w:ascii="方正仿宋_GBK" w:eastAsia="方正仿宋_GBK" w:hAnsi="方正仿宋_GBK" w:cs="方正仿宋_GBK" w:hint="eastAsia"/>
                <w:color w:val="000000"/>
                <w:spacing w:val="-6"/>
                <w:kern w:val="0"/>
                <w:sz w:val="24"/>
                <w:szCs w:val="24"/>
                <w:lang/>
              </w:rPr>
              <w:t xml:space="preserve">  </w:t>
            </w:r>
            <w:r>
              <w:rPr>
                <w:rFonts w:ascii="方正仿宋_GBK" w:eastAsia="方正仿宋_GBK" w:hAnsi="方正仿宋_GBK" w:cs="方正仿宋_GBK" w:hint="eastAsia"/>
                <w:color w:val="000000"/>
                <w:spacing w:val="-6"/>
                <w:kern w:val="0"/>
                <w:sz w:val="24"/>
                <w:szCs w:val="24"/>
                <w:lang/>
              </w:rPr>
              <w:t>深入贯彻习近平生态文明思想，筑牢长江上游重要生态屏障，推动优势区域重点发展、生态功能区重点保护、</w:t>
            </w:r>
            <w:hyperlink r:id="rId8" w:tgtFrame="http://www.gui-hua.com/post/_blank" w:history="1">
              <w:r>
                <w:rPr>
                  <w:rFonts w:ascii="方正仿宋_GBK" w:eastAsia="方正仿宋_GBK" w:hAnsi="方正仿宋_GBK" w:cs="方正仿宋_GBK" w:hint="eastAsia"/>
                  <w:color w:val="000000"/>
                  <w:spacing w:val="-6"/>
                  <w:kern w:val="0"/>
                  <w:sz w:val="24"/>
                  <w:szCs w:val="24"/>
                  <w:lang/>
                </w:rPr>
                <w:t>城乡融合发展</w:t>
              </w:r>
            </w:hyperlink>
            <w:r>
              <w:rPr>
                <w:rFonts w:ascii="方正仿宋_GBK" w:eastAsia="方正仿宋_GBK" w:hAnsi="方正仿宋_GBK" w:cs="方正仿宋_GBK" w:hint="eastAsia"/>
                <w:color w:val="000000"/>
                <w:spacing w:val="-6"/>
                <w:kern w:val="0"/>
                <w:sz w:val="24"/>
                <w:szCs w:val="24"/>
                <w:lang/>
              </w:rPr>
              <w:t>，优化重点区域、流域、产业的空间布局。</w:t>
            </w:r>
          </w:p>
        </w:tc>
        <w:tc>
          <w:tcPr>
            <w:tcW w:w="1176"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r>
              <w:rPr>
                <w:rFonts w:ascii="方正仿宋_GBK" w:eastAsia="方正仿宋_GBK" w:hAnsi="方正仿宋_GBK" w:cs="方正仿宋_GBK" w:hint="eastAsia"/>
                <w:color w:val="000000"/>
                <w:spacing w:val="-6"/>
                <w:kern w:val="0"/>
                <w:sz w:val="24"/>
                <w:szCs w:val="24"/>
                <w:lang/>
              </w:rPr>
              <w:t>适用于云阳县全域</w:t>
            </w:r>
          </w:p>
        </w:tc>
      </w:tr>
      <w:tr w:rsidR="000E2C1B">
        <w:trPr>
          <w:trHeight w:val="583"/>
        </w:trPr>
        <w:tc>
          <w:tcPr>
            <w:tcW w:w="794" w:type="dxa"/>
            <w:vMerge/>
            <w:vAlign w:val="center"/>
          </w:tcPr>
          <w:p w:rsidR="000E2C1B" w:rsidRDefault="000E2C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p>
        </w:tc>
        <w:tc>
          <w:tcPr>
            <w:tcW w:w="12348"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val="zh-CN"/>
              </w:rPr>
            </w:pPr>
            <w:r>
              <w:rPr>
                <w:rFonts w:ascii="方正仿宋_GBK" w:eastAsia="方正仿宋_GBK" w:hAnsi="方正仿宋_GBK" w:cs="方正仿宋_GBK" w:hint="eastAsia"/>
                <w:color w:val="000000"/>
                <w:spacing w:val="-6"/>
                <w:kern w:val="0"/>
                <w:sz w:val="24"/>
                <w:szCs w:val="24"/>
                <w:lang/>
              </w:rPr>
              <w:t>第二条</w:t>
            </w:r>
            <w:r>
              <w:rPr>
                <w:rFonts w:ascii="方正仿宋_GBK" w:eastAsia="方正仿宋_GBK" w:hAnsi="方正仿宋_GBK" w:cs="方正仿宋_GBK" w:hint="eastAsia"/>
                <w:color w:val="000000"/>
                <w:spacing w:val="-6"/>
                <w:kern w:val="0"/>
                <w:sz w:val="24"/>
                <w:szCs w:val="24"/>
                <w:lang/>
              </w:rPr>
              <w:t xml:space="preserve">  </w:t>
            </w:r>
            <w:r>
              <w:rPr>
                <w:rFonts w:ascii="方正仿宋_GBK" w:eastAsia="方正仿宋_GBK" w:hAnsi="方正仿宋_GBK" w:cs="方正仿宋_GBK" w:hint="eastAsia"/>
                <w:color w:val="000000"/>
                <w:spacing w:val="-6"/>
                <w:kern w:val="0"/>
                <w:sz w:val="24"/>
                <w:szCs w:val="24"/>
                <w:lang/>
              </w:rPr>
              <w:t>禁止在长江干支流、重要湖泊岸线一公里范围内新建、扩建化工园区和化工项目。禁止在长江干流岸线三公里范围内和重要支流岸线一公里范围内新建、改建、扩建尾矿库、冶炼渣库、磷石膏库，以提升</w:t>
            </w:r>
            <w:r>
              <w:rPr>
                <w:rFonts w:ascii="方正仿宋_GBK" w:eastAsia="方正仿宋_GBK" w:hAnsi="方正仿宋_GBK" w:cs="方正仿宋_GBK" w:hint="eastAsia"/>
                <w:color w:val="000000"/>
                <w:spacing w:val="-6"/>
                <w:kern w:val="0"/>
                <w:sz w:val="24"/>
                <w:szCs w:val="24"/>
                <w:lang/>
              </w:rPr>
              <w:t>安全、生态环境保护水平为目的的改建除外。</w:t>
            </w:r>
          </w:p>
        </w:tc>
        <w:tc>
          <w:tcPr>
            <w:tcW w:w="1176"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r>
              <w:rPr>
                <w:rFonts w:ascii="方正仿宋_GBK" w:eastAsia="方正仿宋_GBK" w:hAnsi="方正仿宋_GBK" w:cs="方正仿宋_GBK" w:hint="eastAsia"/>
                <w:color w:val="000000"/>
                <w:spacing w:val="-6"/>
                <w:kern w:val="0"/>
                <w:sz w:val="24"/>
                <w:szCs w:val="24"/>
                <w:lang/>
              </w:rPr>
              <w:t>适用于云阳县全域</w:t>
            </w:r>
          </w:p>
        </w:tc>
      </w:tr>
      <w:tr w:rsidR="000E2C1B">
        <w:trPr>
          <w:trHeight w:val="1157"/>
        </w:trPr>
        <w:tc>
          <w:tcPr>
            <w:tcW w:w="794" w:type="dxa"/>
            <w:vMerge/>
            <w:vAlign w:val="center"/>
          </w:tcPr>
          <w:p w:rsidR="000E2C1B" w:rsidRDefault="000E2C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p>
        </w:tc>
        <w:tc>
          <w:tcPr>
            <w:tcW w:w="12348"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val="zh-CN"/>
              </w:rPr>
            </w:pPr>
            <w:r>
              <w:rPr>
                <w:rFonts w:ascii="方正仿宋_GBK" w:eastAsia="方正仿宋_GBK" w:hAnsi="方正仿宋_GBK" w:cs="方正仿宋_GBK" w:hint="eastAsia"/>
                <w:color w:val="000000"/>
                <w:spacing w:val="-6"/>
                <w:kern w:val="0"/>
                <w:sz w:val="24"/>
                <w:szCs w:val="24"/>
                <w:lang/>
              </w:rPr>
              <w:t>第三条</w:t>
            </w:r>
            <w:r>
              <w:rPr>
                <w:rFonts w:ascii="方正仿宋_GBK" w:eastAsia="方正仿宋_GBK" w:hAnsi="方正仿宋_GBK" w:cs="方正仿宋_GBK" w:hint="eastAsia"/>
                <w:color w:val="000000"/>
                <w:spacing w:val="-6"/>
                <w:kern w:val="0"/>
                <w:sz w:val="24"/>
                <w:szCs w:val="24"/>
                <w:lang/>
              </w:rPr>
              <w:t xml:space="preserve">  </w:t>
            </w:r>
            <w:r>
              <w:rPr>
                <w:rFonts w:ascii="方正仿宋_GBK" w:eastAsia="方正仿宋_GBK" w:hAnsi="方正仿宋_GBK" w:cs="方正仿宋_GBK" w:hint="eastAsia"/>
                <w:color w:val="000000"/>
                <w:spacing w:val="-6"/>
                <w:kern w:val="0"/>
                <w:sz w:val="24"/>
                <w:szCs w:val="24"/>
                <w:lang/>
              </w:rPr>
              <w:t>禁止在合</w:t>
            </w:r>
            <w:proofErr w:type="gramStart"/>
            <w:r>
              <w:rPr>
                <w:rFonts w:ascii="方正仿宋_GBK" w:eastAsia="方正仿宋_GBK" w:hAnsi="方正仿宋_GBK" w:cs="方正仿宋_GBK" w:hint="eastAsia"/>
                <w:color w:val="000000"/>
                <w:spacing w:val="-6"/>
                <w:kern w:val="0"/>
                <w:sz w:val="24"/>
                <w:szCs w:val="24"/>
                <w:lang/>
              </w:rPr>
              <w:t>规</w:t>
            </w:r>
            <w:proofErr w:type="gramEnd"/>
            <w:r>
              <w:rPr>
                <w:rFonts w:ascii="方正仿宋_GBK" w:eastAsia="方正仿宋_GBK" w:hAnsi="方正仿宋_GBK" w:cs="方正仿宋_GBK" w:hint="eastAsia"/>
                <w:color w:val="000000"/>
                <w:spacing w:val="-6"/>
                <w:kern w:val="0"/>
                <w:sz w:val="24"/>
                <w:szCs w:val="24"/>
                <w:lang/>
              </w:rPr>
              <w:t>园区外新建、扩建钢铁、石化、化工、焦化、建材、有色、制浆造纸等高污染项目（高污染项目严格按照《环境保护综合名录》“高污染”产品名录执行）。禁止新建、扩建不符合国家石化、现代煤化工等产业规划布局的项目。新建、改建、扩建“两高”项目须符合生态环境保护法律法规和相关法定规划，满足重点污染物排放总量控制、碳排放达峰目标、生态环境准入清单、相关规划环评和相应行业建设项目环境准入条件、环</w:t>
            </w:r>
            <w:proofErr w:type="gramStart"/>
            <w:r>
              <w:rPr>
                <w:rFonts w:ascii="方正仿宋_GBK" w:eastAsia="方正仿宋_GBK" w:hAnsi="方正仿宋_GBK" w:cs="方正仿宋_GBK" w:hint="eastAsia"/>
                <w:color w:val="000000"/>
                <w:spacing w:val="-6"/>
                <w:kern w:val="0"/>
                <w:sz w:val="24"/>
                <w:szCs w:val="24"/>
                <w:lang/>
              </w:rPr>
              <w:t>评文件</w:t>
            </w:r>
            <w:proofErr w:type="gramEnd"/>
            <w:r>
              <w:rPr>
                <w:rFonts w:ascii="方正仿宋_GBK" w:eastAsia="方正仿宋_GBK" w:hAnsi="方正仿宋_GBK" w:cs="方正仿宋_GBK" w:hint="eastAsia"/>
                <w:color w:val="000000"/>
                <w:spacing w:val="-6"/>
                <w:kern w:val="0"/>
                <w:sz w:val="24"/>
                <w:szCs w:val="24"/>
                <w:lang/>
              </w:rPr>
              <w:t>审批原则要求。</w:t>
            </w:r>
          </w:p>
        </w:tc>
        <w:tc>
          <w:tcPr>
            <w:tcW w:w="1176"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r>
              <w:rPr>
                <w:rFonts w:ascii="方正仿宋_GBK" w:eastAsia="方正仿宋_GBK" w:hAnsi="方正仿宋_GBK" w:cs="方正仿宋_GBK" w:hint="eastAsia"/>
                <w:color w:val="000000"/>
                <w:spacing w:val="-6"/>
                <w:kern w:val="0"/>
                <w:sz w:val="24"/>
                <w:szCs w:val="24"/>
                <w:lang/>
              </w:rPr>
              <w:t>适用于云阳县全域</w:t>
            </w:r>
          </w:p>
        </w:tc>
      </w:tr>
      <w:tr w:rsidR="000E2C1B">
        <w:trPr>
          <w:trHeight w:val="870"/>
        </w:trPr>
        <w:tc>
          <w:tcPr>
            <w:tcW w:w="794" w:type="dxa"/>
            <w:vMerge/>
            <w:vAlign w:val="center"/>
          </w:tcPr>
          <w:p w:rsidR="000E2C1B" w:rsidRDefault="000E2C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p>
        </w:tc>
        <w:tc>
          <w:tcPr>
            <w:tcW w:w="12348"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val="zh-CN"/>
              </w:rPr>
            </w:pPr>
            <w:r>
              <w:rPr>
                <w:rFonts w:ascii="方正仿宋_GBK" w:eastAsia="方正仿宋_GBK" w:hAnsi="方正仿宋_GBK" w:cs="方正仿宋_GBK" w:hint="eastAsia"/>
                <w:color w:val="000000"/>
                <w:spacing w:val="-6"/>
                <w:kern w:val="0"/>
                <w:sz w:val="24"/>
                <w:szCs w:val="24"/>
                <w:lang/>
              </w:rPr>
              <w:t>第四条</w:t>
            </w:r>
            <w:r>
              <w:rPr>
                <w:rFonts w:ascii="方正仿宋_GBK" w:eastAsia="方正仿宋_GBK" w:hAnsi="方正仿宋_GBK" w:cs="方正仿宋_GBK" w:hint="eastAsia"/>
                <w:color w:val="000000"/>
                <w:spacing w:val="-6"/>
                <w:kern w:val="0"/>
                <w:sz w:val="24"/>
                <w:szCs w:val="24"/>
                <w:lang/>
              </w:rPr>
              <w:t xml:space="preserve">  </w:t>
            </w:r>
            <w:r>
              <w:rPr>
                <w:rFonts w:ascii="方正仿宋_GBK" w:eastAsia="方正仿宋_GBK" w:hAnsi="方正仿宋_GBK" w:cs="方正仿宋_GBK" w:hint="eastAsia"/>
                <w:color w:val="000000"/>
                <w:spacing w:val="-6"/>
                <w:kern w:val="0"/>
                <w:sz w:val="24"/>
                <w:szCs w:val="24"/>
                <w:lang/>
              </w:rPr>
              <w:t>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1176"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r>
              <w:rPr>
                <w:rFonts w:ascii="方正仿宋_GBK" w:eastAsia="方正仿宋_GBK" w:hAnsi="方正仿宋_GBK" w:cs="方正仿宋_GBK" w:hint="eastAsia"/>
                <w:color w:val="000000"/>
                <w:spacing w:val="-6"/>
                <w:kern w:val="0"/>
                <w:sz w:val="24"/>
                <w:szCs w:val="24"/>
                <w:lang/>
              </w:rPr>
              <w:t>适用于云阳县全域</w:t>
            </w:r>
          </w:p>
        </w:tc>
      </w:tr>
      <w:tr w:rsidR="000E2C1B">
        <w:trPr>
          <w:trHeight w:val="296"/>
        </w:trPr>
        <w:tc>
          <w:tcPr>
            <w:tcW w:w="794" w:type="dxa"/>
            <w:vMerge/>
            <w:vAlign w:val="center"/>
          </w:tcPr>
          <w:p w:rsidR="000E2C1B" w:rsidRDefault="000E2C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p>
        </w:tc>
        <w:tc>
          <w:tcPr>
            <w:tcW w:w="12348"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val="zh-CN"/>
              </w:rPr>
            </w:pPr>
            <w:r>
              <w:rPr>
                <w:rFonts w:ascii="方正仿宋_GBK" w:eastAsia="方正仿宋_GBK" w:hAnsi="方正仿宋_GBK" w:cs="方正仿宋_GBK" w:hint="eastAsia"/>
                <w:color w:val="000000"/>
                <w:spacing w:val="-6"/>
                <w:kern w:val="0"/>
                <w:sz w:val="24"/>
                <w:szCs w:val="24"/>
                <w:lang/>
              </w:rPr>
              <w:t>第五条</w:t>
            </w:r>
            <w:r>
              <w:rPr>
                <w:rFonts w:ascii="方正仿宋_GBK" w:eastAsia="方正仿宋_GBK" w:hAnsi="方正仿宋_GBK" w:cs="方正仿宋_GBK" w:hint="eastAsia"/>
                <w:color w:val="000000"/>
                <w:spacing w:val="-6"/>
                <w:kern w:val="0"/>
                <w:sz w:val="24"/>
                <w:szCs w:val="24"/>
                <w:lang/>
              </w:rPr>
              <w:t xml:space="preserve">  </w:t>
            </w:r>
            <w:r>
              <w:rPr>
                <w:rFonts w:ascii="方正仿宋_GBK" w:eastAsia="方正仿宋_GBK" w:hAnsi="方正仿宋_GBK" w:cs="方正仿宋_GBK" w:hint="eastAsia"/>
                <w:color w:val="000000"/>
                <w:spacing w:val="-6"/>
                <w:kern w:val="0"/>
                <w:sz w:val="24"/>
                <w:szCs w:val="24"/>
                <w:lang/>
              </w:rPr>
              <w:t>新建、扩建有色金属冶炼、电镀、铅蓄电池等企业应布设在依法合</w:t>
            </w:r>
            <w:proofErr w:type="gramStart"/>
            <w:r>
              <w:rPr>
                <w:rFonts w:ascii="方正仿宋_GBK" w:eastAsia="方正仿宋_GBK" w:hAnsi="方正仿宋_GBK" w:cs="方正仿宋_GBK" w:hint="eastAsia"/>
                <w:color w:val="000000"/>
                <w:spacing w:val="-6"/>
                <w:kern w:val="0"/>
                <w:sz w:val="24"/>
                <w:szCs w:val="24"/>
                <w:lang/>
              </w:rPr>
              <w:t>规</w:t>
            </w:r>
            <w:proofErr w:type="gramEnd"/>
            <w:r>
              <w:rPr>
                <w:rFonts w:ascii="方正仿宋_GBK" w:eastAsia="方正仿宋_GBK" w:hAnsi="方正仿宋_GBK" w:cs="方正仿宋_GBK" w:hint="eastAsia"/>
                <w:color w:val="000000"/>
                <w:spacing w:val="-6"/>
                <w:kern w:val="0"/>
                <w:sz w:val="24"/>
                <w:szCs w:val="24"/>
                <w:lang/>
              </w:rPr>
              <w:t>设立并经过规划环评的产业园区。</w:t>
            </w:r>
          </w:p>
        </w:tc>
        <w:tc>
          <w:tcPr>
            <w:tcW w:w="1176" w:type="dxa"/>
            <w:vAlign w:val="center"/>
          </w:tcPr>
          <w:p w:rsidR="000E2C1B" w:rsidRDefault="001D461B">
            <w:pPr>
              <w:widowControl/>
              <w:spacing w:line="360" w:lineRule="exact"/>
              <w:jc w:val="left"/>
              <w:textAlignment w:val="center"/>
              <w:rPr>
                <w:rFonts w:ascii="方正仿宋_GBK" w:eastAsia="方正仿宋_GBK" w:hAnsi="方正仿宋_GBK" w:cs="方正仿宋_GBK"/>
                <w:color w:val="000000"/>
                <w:spacing w:val="-6"/>
                <w:kern w:val="0"/>
                <w:sz w:val="24"/>
                <w:szCs w:val="24"/>
                <w:lang/>
              </w:rPr>
            </w:pPr>
            <w:r>
              <w:rPr>
                <w:rFonts w:ascii="方正仿宋_GBK" w:eastAsia="方正仿宋_GBK" w:hAnsi="方正仿宋_GBK" w:cs="方正仿宋_GBK" w:hint="eastAsia"/>
                <w:color w:val="000000"/>
                <w:spacing w:val="-6"/>
                <w:kern w:val="0"/>
                <w:sz w:val="24"/>
                <w:szCs w:val="24"/>
                <w:lang/>
              </w:rPr>
              <w:t>适用于云阳县全域</w:t>
            </w:r>
          </w:p>
        </w:tc>
      </w:tr>
      <w:tr w:rsidR="000E2C1B">
        <w:trPr>
          <w:trHeight w:val="583"/>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vAlign w:val="center"/>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rPr>
            </w:pPr>
            <w:r>
              <w:rPr>
                <w:rFonts w:ascii="方正仿宋_GBK" w:eastAsia="方正仿宋_GBK" w:hAnsi="方正仿宋_GBK" w:cs="方正仿宋_GBK" w:hint="eastAsia"/>
                <w:bCs/>
                <w:kern w:val="2"/>
                <w:sz w:val="24"/>
                <w:szCs w:val="24"/>
                <w:lang w:val="en-US"/>
              </w:rPr>
              <w:t>第六条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涉及环境防护距离的工业企业或项目应通过选址或调整布局原则上将环境防护距离控制在园区边界或用地红线内，提前合理规划项目地块布置、预防环境风险。</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583"/>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vAlign w:val="center"/>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rPr>
            </w:pPr>
            <w:r>
              <w:rPr>
                <w:rFonts w:ascii="方正仿宋_GBK" w:eastAsia="方正仿宋_GBK" w:hAnsi="方正仿宋_GBK" w:cs="方正仿宋_GBK" w:hint="eastAsia"/>
                <w:bCs/>
                <w:kern w:val="2"/>
                <w:sz w:val="24"/>
                <w:szCs w:val="24"/>
                <w:lang w:val="en-US"/>
              </w:rPr>
              <w:t>第七条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有效规范空间开发秩序，合理控制空间开发强度，切实将各类开发活动限制在资源环境承载能力之内，为构建高效协调可持续的国土空间开发格局奠定坚实基础。</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870"/>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vAlign w:val="center"/>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第</w:t>
            </w:r>
            <w:r>
              <w:rPr>
                <w:rFonts w:ascii="方正仿宋_GBK" w:eastAsia="方正仿宋_GBK" w:hAnsi="方正仿宋_GBK" w:cs="方正仿宋_GBK" w:hint="eastAsia"/>
                <w:sz w:val="24"/>
                <w:szCs w:val="24"/>
                <w:lang w:val="en-US"/>
              </w:rPr>
              <w:t>八</w:t>
            </w:r>
            <w:r>
              <w:rPr>
                <w:rFonts w:ascii="方正仿宋_GBK" w:eastAsia="方正仿宋_GBK" w:hAnsi="方正仿宋_GBK" w:cs="方正仿宋_GBK" w:hint="eastAsia"/>
                <w:sz w:val="24"/>
                <w:szCs w:val="24"/>
              </w:rPr>
              <w:t>条以生态空间为约束合理布局旅游项目。</w:t>
            </w:r>
          </w:p>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风景名胜区、森林公园禁止布局经营性地产开发和采矿项目；</w:t>
            </w:r>
            <w:r>
              <w:rPr>
                <w:rFonts w:ascii="方正仿宋_GBK" w:eastAsia="方正仿宋_GBK" w:hAnsi="方正仿宋_GBK" w:cs="方正仿宋_GBK" w:hint="eastAsia"/>
                <w:sz w:val="24"/>
                <w:szCs w:val="24"/>
              </w:rPr>
              <w:t>风景名胜区、森林公园核心景区内禁止布局酒店、餐饮等旅游接待设施；风景名胜区、森林公园</w:t>
            </w:r>
            <w:r>
              <w:rPr>
                <w:rFonts w:ascii="方正仿宋_GBK" w:eastAsia="方正仿宋_GBK" w:hAnsi="方正仿宋_GBK" w:cs="方正仿宋_GBK" w:hint="eastAsia"/>
                <w:sz w:val="24"/>
                <w:szCs w:val="24"/>
              </w:rPr>
              <w:t>大力</w:t>
            </w:r>
            <w:r>
              <w:rPr>
                <w:rFonts w:ascii="方正仿宋_GBK" w:eastAsia="方正仿宋_GBK" w:hAnsi="方正仿宋_GBK" w:cs="方正仿宋_GBK" w:hint="eastAsia"/>
                <w:sz w:val="24"/>
                <w:szCs w:val="24"/>
              </w:rPr>
              <w:t>推广“区内游、区外住”。</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583"/>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vAlign w:val="center"/>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第</w:t>
            </w:r>
            <w:r>
              <w:rPr>
                <w:rFonts w:ascii="方正仿宋_GBK" w:eastAsia="方正仿宋_GBK" w:hAnsi="方正仿宋_GBK" w:cs="方正仿宋_GBK" w:hint="eastAsia"/>
                <w:sz w:val="24"/>
                <w:szCs w:val="24"/>
                <w:lang w:val="en-US"/>
              </w:rPr>
              <w:t>九</w:t>
            </w:r>
            <w:r>
              <w:rPr>
                <w:rFonts w:ascii="方正仿宋_GBK" w:eastAsia="方正仿宋_GBK" w:hAnsi="方正仿宋_GBK" w:cs="方正仿宋_GBK" w:hint="eastAsia"/>
                <w:sz w:val="24"/>
                <w:szCs w:val="24"/>
              </w:rPr>
              <w:t>条强化自然保护地监管。</w:t>
            </w:r>
          </w:p>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重庆云阳恐龙国家地质公园的核心是地质遗迹资源的保护，旅游开发建设过程中应强化地形地貌的保护，</w:t>
            </w:r>
            <w:r>
              <w:rPr>
                <w:rFonts w:ascii="方正仿宋_GBK" w:eastAsia="方正仿宋_GBK" w:hAnsi="方正仿宋_GBK" w:cs="方正仿宋_GBK" w:hint="eastAsia"/>
                <w:sz w:val="24"/>
                <w:szCs w:val="24"/>
              </w:rPr>
              <w:t>严格限制</w:t>
            </w:r>
            <w:r>
              <w:rPr>
                <w:rFonts w:ascii="方正仿宋_GBK" w:eastAsia="方正仿宋_GBK" w:hAnsi="方正仿宋_GBK" w:cs="方正仿宋_GBK" w:hint="eastAsia"/>
                <w:sz w:val="24"/>
                <w:szCs w:val="24"/>
              </w:rPr>
              <w:t>引进对地形地貌、地质遗迹破坏大的项目</w:t>
            </w:r>
            <w:r>
              <w:rPr>
                <w:rFonts w:ascii="方正仿宋_GBK" w:eastAsia="方正仿宋_GBK" w:hAnsi="方正仿宋_GBK" w:cs="方正仿宋_GBK" w:hint="eastAsia"/>
                <w:sz w:val="24"/>
                <w:szCs w:val="24"/>
              </w:rPr>
              <w:t>。</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1258"/>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vAlign w:val="center"/>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第</w:t>
            </w:r>
            <w:r>
              <w:rPr>
                <w:rFonts w:ascii="方正仿宋_GBK" w:eastAsia="方正仿宋_GBK" w:hAnsi="方正仿宋_GBK" w:cs="方正仿宋_GBK" w:hint="eastAsia"/>
                <w:sz w:val="24"/>
                <w:szCs w:val="24"/>
                <w:lang w:val="en-US"/>
              </w:rPr>
              <w:t>十</w:t>
            </w:r>
            <w:r>
              <w:rPr>
                <w:rFonts w:ascii="方正仿宋_GBK" w:eastAsia="方正仿宋_GBK" w:hAnsi="方正仿宋_GBK" w:cs="方正仿宋_GBK" w:hint="eastAsia"/>
                <w:sz w:val="24"/>
                <w:szCs w:val="24"/>
              </w:rPr>
              <w:t>条严格回水区、</w:t>
            </w:r>
            <w:proofErr w:type="gramStart"/>
            <w:r>
              <w:rPr>
                <w:rFonts w:ascii="方正仿宋_GBK" w:eastAsia="方正仿宋_GBK" w:hAnsi="方正仿宋_GBK" w:cs="方正仿宋_GBK" w:hint="eastAsia"/>
                <w:sz w:val="24"/>
                <w:szCs w:val="24"/>
              </w:rPr>
              <w:t>消落带</w:t>
            </w:r>
            <w:proofErr w:type="gramEnd"/>
            <w:r>
              <w:rPr>
                <w:rFonts w:ascii="方正仿宋_GBK" w:eastAsia="方正仿宋_GBK" w:hAnsi="方正仿宋_GBK" w:cs="方正仿宋_GBK" w:hint="eastAsia"/>
                <w:sz w:val="24"/>
                <w:szCs w:val="24"/>
                <w:lang w:val="en-US"/>
              </w:rPr>
              <w:t>建设</w:t>
            </w:r>
            <w:r>
              <w:rPr>
                <w:rFonts w:ascii="方正仿宋_GBK" w:eastAsia="方正仿宋_GBK" w:hAnsi="方正仿宋_GBK" w:cs="方正仿宋_GBK" w:hint="eastAsia"/>
                <w:sz w:val="24"/>
                <w:szCs w:val="24"/>
              </w:rPr>
              <w:t>项目管控。</w:t>
            </w:r>
          </w:p>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rPr>
              <w:t>长江及其支流三峡水库回水区禁止新建拦河（网）养鱼、肥水养鱼、筑坝拦网养鱼等项目；</w:t>
            </w:r>
            <w:proofErr w:type="gramStart"/>
            <w:r>
              <w:rPr>
                <w:rFonts w:ascii="方正仿宋_GBK" w:eastAsia="方正仿宋_GBK" w:hAnsi="方正仿宋_GBK" w:cs="方正仿宋_GBK" w:hint="eastAsia"/>
                <w:sz w:val="24"/>
                <w:szCs w:val="24"/>
                <w:lang w:val="en-US"/>
              </w:rPr>
              <w:t>消落区内</w:t>
            </w:r>
            <w:proofErr w:type="gramEnd"/>
            <w:r>
              <w:rPr>
                <w:rFonts w:ascii="方正仿宋_GBK" w:eastAsia="方正仿宋_GBK" w:hAnsi="方正仿宋_GBK" w:cs="方正仿宋_GBK" w:hint="eastAsia"/>
                <w:sz w:val="24"/>
                <w:szCs w:val="24"/>
                <w:lang w:val="en-US"/>
              </w:rPr>
              <w:t>禁止下列行为：</w:t>
            </w:r>
            <w:r>
              <w:rPr>
                <w:rFonts w:ascii="方正仿宋_GBK" w:eastAsia="方正仿宋_GBK" w:hAnsi="方正仿宋_GBK" w:cs="方正仿宋_GBK" w:hint="eastAsia"/>
                <w:sz w:val="24"/>
                <w:szCs w:val="24"/>
              </w:rPr>
              <w:t>进行围垦，毁草开垦，种植阻碍行洪的林木和高秆作物；施用化肥、农药；倾倒、填埋、堆放、弃置、处理固体废物；排放超过国家或者本市规定排放标准的水污染物；在禁止采砂区和禁止采砂期从事采砂活动。</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1157"/>
        </w:trPr>
        <w:tc>
          <w:tcPr>
            <w:tcW w:w="794" w:type="dxa"/>
            <w:vMerge w:val="restart"/>
            <w:vAlign w:val="center"/>
          </w:tcPr>
          <w:p w:rsidR="000E2C1B" w:rsidRDefault="001D461B">
            <w:pPr>
              <w:pStyle w:val="a9"/>
              <w:widowControl/>
              <w:adjustRightInd w:val="0"/>
              <w:snapToGrid w:val="0"/>
              <w:rPr>
                <w:rFonts w:ascii="方正仿宋_GBK" w:eastAsia="方正仿宋_GBK" w:hAnsi="方正仿宋_GBK" w:cs="方正仿宋_GBK"/>
                <w:bCs/>
                <w:color w:val="auto"/>
                <w:sz w:val="24"/>
                <w:szCs w:val="24"/>
              </w:rPr>
            </w:pPr>
            <w:r>
              <w:rPr>
                <w:rFonts w:ascii="方正仿宋_GBK" w:eastAsia="方正仿宋_GBK" w:hAnsi="方正仿宋_GBK" w:cs="方正仿宋_GBK" w:hint="eastAsia"/>
                <w:bCs/>
                <w:color w:val="auto"/>
                <w:sz w:val="24"/>
                <w:szCs w:val="24"/>
              </w:rPr>
              <w:t>污染物排放管控</w:t>
            </w: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第十一条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w:t>
            </w:r>
            <w:r>
              <w:rPr>
                <w:rFonts w:ascii="方正仿宋_GBK" w:eastAsia="方正仿宋_GBK" w:hAnsi="方正仿宋_GBK" w:cs="方正仿宋_GBK" w:hint="eastAsia"/>
                <w:bCs/>
                <w:kern w:val="2"/>
                <w:sz w:val="24"/>
                <w:szCs w:val="24"/>
                <w:lang w:val="en-US"/>
              </w:rPr>
              <w:t>A</w:t>
            </w:r>
            <w:proofErr w:type="gramStart"/>
            <w:r>
              <w:rPr>
                <w:rFonts w:ascii="方正仿宋_GBK" w:eastAsia="方正仿宋_GBK" w:hAnsi="方正仿宋_GBK" w:cs="方正仿宋_GBK" w:hint="eastAsia"/>
                <w:bCs/>
                <w:kern w:val="2"/>
                <w:sz w:val="24"/>
                <w:szCs w:val="24"/>
                <w:lang w:val="en-US"/>
              </w:rPr>
              <w:t>级指标</w:t>
            </w:r>
            <w:proofErr w:type="gramEnd"/>
            <w:r>
              <w:rPr>
                <w:rFonts w:ascii="方正仿宋_GBK" w:eastAsia="方正仿宋_GBK" w:hAnsi="方正仿宋_GBK" w:cs="方正仿宋_GBK" w:hint="eastAsia"/>
                <w:bCs/>
                <w:kern w:val="2"/>
                <w:sz w:val="24"/>
                <w:szCs w:val="24"/>
                <w:lang w:val="en-US"/>
              </w:rPr>
              <w:t>要求。</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870"/>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第十二条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在重点行业（石化、化工、工业涂装、包装印刷、油品储运销等）推进挥发性有机物综合治理，</w:t>
            </w:r>
            <w:proofErr w:type="gramStart"/>
            <w:r>
              <w:rPr>
                <w:rFonts w:ascii="方正仿宋_GBK" w:eastAsia="方正仿宋_GBK" w:hAnsi="方正仿宋_GBK" w:cs="方正仿宋_GBK" w:hint="eastAsia"/>
                <w:bCs/>
                <w:kern w:val="2"/>
                <w:sz w:val="24"/>
                <w:szCs w:val="24"/>
                <w:lang w:val="en-US"/>
              </w:rPr>
              <w:t>推动低</w:t>
            </w:r>
            <w:proofErr w:type="gramEnd"/>
            <w:r>
              <w:rPr>
                <w:rFonts w:ascii="方正仿宋_GBK" w:eastAsia="方正仿宋_GBK" w:hAnsi="方正仿宋_GBK" w:cs="方正仿宋_GBK" w:hint="eastAsia"/>
                <w:bCs/>
                <w:kern w:val="2"/>
                <w:sz w:val="24"/>
                <w:szCs w:val="24"/>
                <w:lang w:val="en-US"/>
              </w:rPr>
              <w:t>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583"/>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第十三条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1157"/>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第十四条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推进乡镇生活污水处理设施达标改造。新建城市生活污水处理厂全部按照《城镇污水处理厂污染物排放标准》（</w:t>
            </w:r>
            <w:r>
              <w:rPr>
                <w:rFonts w:ascii="方正仿宋_GBK" w:eastAsia="方正仿宋_GBK" w:hAnsi="方正仿宋_GBK" w:cs="方正仿宋_GBK" w:hint="eastAsia"/>
                <w:bCs/>
                <w:kern w:val="2"/>
                <w:sz w:val="24"/>
                <w:szCs w:val="24"/>
                <w:lang w:val="en-US"/>
              </w:rPr>
              <w:t>GB18918</w:t>
            </w:r>
            <w:r>
              <w:rPr>
                <w:rFonts w:ascii="方正仿宋_GBK" w:eastAsia="方正仿宋_GBK" w:hAnsi="方正仿宋_GBK" w:cs="方正仿宋_GBK" w:hint="eastAsia"/>
                <w:bCs/>
                <w:kern w:val="2"/>
                <w:sz w:val="24"/>
                <w:szCs w:val="24"/>
                <w:lang w:val="en-US"/>
              </w:rPr>
              <w:t>）一级</w:t>
            </w:r>
            <w:r>
              <w:rPr>
                <w:rFonts w:ascii="方正仿宋_GBK" w:eastAsia="方正仿宋_GBK" w:hAnsi="方正仿宋_GBK" w:cs="方正仿宋_GBK" w:hint="eastAsia"/>
                <w:bCs/>
                <w:kern w:val="2"/>
                <w:sz w:val="24"/>
                <w:szCs w:val="24"/>
                <w:lang w:val="en-US"/>
              </w:rPr>
              <w:t>A</w:t>
            </w:r>
            <w:r>
              <w:rPr>
                <w:rFonts w:ascii="方正仿宋_GBK" w:eastAsia="方正仿宋_GBK" w:hAnsi="方正仿宋_GBK" w:cs="方正仿宋_GBK" w:hint="eastAsia"/>
                <w:bCs/>
                <w:kern w:val="2"/>
                <w:sz w:val="24"/>
                <w:szCs w:val="24"/>
                <w:lang w:val="en-US"/>
              </w:rPr>
              <w:t>标及以上排放设标准设计、施工、验收，建制乡镇生活污水处理施出水水质不得低于《城镇污水处理厂污染物排放标准》（</w:t>
            </w:r>
            <w:r>
              <w:rPr>
                <w:rFonts w:ascii="方正仿宋_GBK" w:eastAsia="方正仿宋_GBK" w:hAnsi="方正仿宋_GBK" w:cs="方正仿宋_GBK" w:hint="eastAsia"/>
                <w:bCs/>
                <w:kern w:val="2"/>
                <w:sz w:val="24"/>
                <w:szCs w:val="24"/>
                <w:lang w:val="en-US"/>
              </w:rPr>
              <w:t>GB18918</w:t>
            </w:r>
            <w:r>
              <w:rPr>
                <w:rFonts w:ascii="方正仿宋_GBK" w:eastAsia="方正仿宋_GBK" w:hAnsi="方正仿宋_GBK" w:cs="方正仿宋_GBK" w:hint="eastAsia"/>
                <w:bCs/>
                <w:kern w:val="2"/>
                <w:sz w:val="24"/>
                <w:szCs w:val="24"/>
                <w:lang w:val="en-US"/>
              </w:rPr>
              <w:t>）一级</w:t>
            </w:r>
            <w:r>
              <w:rPr>
                <w:rFonts w:ascii="方正仿宋_GBK" w:eastAsia="方正仿宋_GBK" w:hAnsi="方正仿宋_GBK" w:cs="方正仿宋_GBK" w:hint="eastAsia"/>
                <w:bCs/>
                <w:kern w:val="2"/>
                <w:sz w:val="24"/>
                <w:szCs w:val="24"/>
                <w:lang w:val="en-US"/>
              </w:rPr>
              <w:t>B</w:t>
            </w:r>
            <w:r>
              <w:rPr>
                <w:rFonts w:ascii="方正仿宋_GBK" w:eastAsia="方正仿宋_GBK" w:hAnsi="方正仿宋_GBK" w:cs="方正仿宋_GBK" w:hint="eastAsia"/>
                <w:bCs/>
                <w:kern w:val="2"/>
                <w:sz w:val="24"/>
                <w:szCs w:val="24"/>
                <w:lang w:val="en-US"/>
              </w:rPr>
              <w:t>标排放标准；对现有截留制排</w:t>
            </w:r>
            <w:r>
              <w:rPr>
                <w:rFonts w:ascii="方正仿宋_GBK" w:eastAsia="方正仿宋_GBK" w:hAnsi="方正仿宋_GBK" w:cs="方正仿宋_GBK" w:hint="eastAsia"/>
                <w:bCs/>
                <w:kern w:val="2"/>
                <w:sz w:val="24"/>
                <w:szCs w:val="24"/>
                <w:lang w:val="en-US"/>
              </w:rPr>
              <w:t>水管网实施雨污分流改造，针对无法彻底雨污分流的老城区，尊重现实合理保留截留制区域，提高截留倍数；对新建的排水管网，全部按照雨污分流模式实施建设。</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870"/>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第十五条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等量替代”原则。</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583"/>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第十六条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870"/>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第十七条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建设分类投放、分类收集、分类运输、分类处理的生活垃圾处理系统。合理布局生活垃圾分类收集站点，完善分类运输系统，加快补齐分类收集转运设施能力短板。强化“无废城市”制度、技术、市场、监管、全民行动“五大体系”建设，推进城市固体废物精细化管理。</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296"/>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第十八条以旅游景区为重点推进水资源节约利用和循环利用，强化水污染防治。</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870"/>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第十九条提升生态环境基础保障能力。</w:t>
            </w:r>
          </w:p>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推进生活污水集中处理设施新、改、扩建，对进水生化需氧量浓度低于</w:t>
            </w:r>
            <w:r>
              <w:rPr>
                <w:rFonts w:ascii="方正仿宋_GBK" w:eastAsia="方正仿宋_GBK" w:hAnsi="方正仿宋_GBK" w:cs="方正仿宋_GBK" w:hint="eastAsia"/>
                <w:bCs/>
                <w:kern w:val="2"/>
                <w:sz w:val="24"/>
                <w:szCs w:val="24"/>
                <w:lang w:val="en-US"/>
              </w:rPr>
              <w:t>100mg/L</w:t>
            </w:r>
            <w:r>
              <w:rPr>
                <w:rFonts w:ascii="方正仿宋_GBK" w:eastAsia="方正仿宋_GBK" w:hAnsi="方正仿宋_GBK" w:cs="方正仿宋_GBK" w:hint="eastAsia"/>
                <w:bCs/>
                <w:kern w:val="2"/>
                <w:sz w:val="24"/>
                <w:szCs w:val="24"/>
                <w:lang w:val="en-US"/>
              </w:rPr>
              <w:t>的污水厂实施“一厂</w:t>
            </w:r>
            <w:proofErr w:type="gramStart"/>
            <w:r>
              <w:rPr>
                <w:rFonts w:ascii="方正仿宋_GBK" w:eastAsia="方正仿宋_GBK" w:hAnsi="方正仿宋_GBK" w:cs="方正仿宋_GBK" w:hint="eastAsia"/>
                <w:bCs/>
                <w:kern w:val="2"/>
                <w:sz w:val="24"/>
                <w:szCs w:val="24"/>
                <w:lang w:val="en-US"/>
              </w:rPr>
              <w:t>一</w:t>
            </w:r>
            <w:proofErr w:type="gramEnd"/>
            <w:r>
              <w:rPr>
                <w:rFonts w:ascii="方正仿宋_GBK" w:eastAsia="方正仿宋_GBK" w:hAnsi="方正仿宋_GBK" w:cs="方正仿宋_GBK" w:hint="eastAsia"/>
                <w:bCs/>
                <w:kern w:val="2"/>
                <w:sz w:val="24"/>
                <w:szCs w:val="24"/>
                <w:lang w:val="en-US"/>
              </w:rPr>
              <w:t>策”改造。开展城市建成区污水管网排查，加快补齐城镇污水收集管网短板，实施管网混错接、漏接、破损管网更新修复。</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870"/>
        </w:trPr>
        <w:tc>
          <w:tcPr>
            <w:tcW w:w="794" w:type="dxa"/>
            <w:vMerge w:val="restart"/>
            <w:vAlign w:val="center"/>
          </w:tcPr>
          <w:p w:rsidR="000E2C1B" w:rsidRDefault="001D461B">
            <w:pPr>
              <w:pStyle w:val="a9"/>
              <w:widowControl/>
              <w:adjustRightInd w:val="0"/>
              <w:snapToGrid w:val="0"/>
              <w:rPr>
                <w:rFonts w:ascii="方正仿宋_GBK" w:eastAsia="方正仿宋_GBK" w:hAnsi="方正仿宋_GBK" w:cs="方正仿宋_GBK"/>
                <w:bCs/>
                <w:color w:val="auto"/>
                <w:sz w:val="24"/>
                <w:szCs w:val="24"/>
              </w:rPr>
            </w:pPr>
            <w:r>
              <w:rPr>
                <w:rFonts w:ascii="方正仿宋_GBK" w:eastAsia="方正仿宋_GBK" w:hAnsi="方正仿宋_GBK" w:cs="方正仿宋_GBK" w:hint="eastAsia"/>
                <w:bCs/>
                <w:color w:val="auto"/>
                <w:sz w:val="24"/>
                <w:szCs w:val="24"/>
              </w:rPr>
              <w:t>环境风险防控</w:t>
            </w:r>
          </w:p>
        </w:tc>
        <w:tc>
          <w:tcPr>
            <w:tcW w:w="12348" w:type="dxa"/>
            <w:vAlign w:val="center"/>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第二十条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深入开展行政区域、重点流域、重点饮用水源、化工园区等突发环境事件风险评估，建立区域突发环境时间风险评估数据信息获取与动态更新机制。落实企业突发环境事件风险评估制度，推进突发环境事件风险分类分级管理，严格监管重大突发环境事件风险企业。</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583"/>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vAlign w:val="center"/>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第二十一条强化环境风险控制。</w:t>
            </w:r>
          </w:p>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强化园区环境风险防范体系建设，全面推进环境风险企业“一源一事一案”及风险信息登记制度。</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583"/>
        </w:trPr>
        <w:tc>
          <w:tcPr>
            <w:tcW w:w="794" w:type="dxa"/>
            <w:vMerge w:val="restart"/>
            <w:vAlign w:val="center"/>
          </w:tcPr>
          <w:p w:rsidR="000E2C1B" w:rsidRDefault="001D461B">
            <w:pPr>
              <w:pStyle w:val="a9"/>
              <w:widowControl/>
              <w:adjustRightInd w:val="0"/>
              <w:snapToGrid w:val="0"/>
              <w:rPr>
                <w:rFonts w:ascii="方正仿宋_GBK" w:eastAsia="方正仿宋_GBK" w:hAnsi="方正仿宋_GBK" w:cs="方正仿宋_GBK"/>
                <w:bCs/>
                <w:color w:val="auto"/>
                <w:sz w:val="24"/>
                <w:szCs w:val="24"/>
              </w:rPr>
            </w:pPr>
            <w:r>
              <w:rPr>
                <w:rFonts w:ascii="方正仿宋_GBK" w:eastAsia="方正仿宋_GBK" w:hAnsi="方正仿宋_GBK" w:cs="方正仿宋_GBK" w:hint="eastAsia"/>
                <w:bCs/>
                <w:color w:val="auto"/>
                <w:sz w:val="24"/>
                <w:szCs w:val="24"/>
              </w:rPr>
              <w:t>资源利用效率</w:t>
            </w: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第二十二条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实施能源领域</w:t>
            </w:r>
            <w:proofErr w:type="gramStart"/>
            <w:r>
              <w:rPr>
                <w:rFonts w:ascii="方正仿宋_GBK" w:eastAsia="方正仿宋_GBK" w:hAnsi="方正仿宋_GBK" w:cs="方正仿宋_GBK" w:hint="eastAsia"/>
                <w:bCs/>
                <w:kern w:val="2"/>
                <w:sz w:val="24"/>
                <w:szCs w:val="24"/>
                <w:lang w:val="en-US"/>
              </w:rPr>
              <w:t>碳达峰碳</w:t>
            </w:r>
            <w:proofErr w:type="gramEnd"/>
            <w:r>
              <w:rPr>
                <w:rFonts w:ascii="方正仿宋_GBK" w:eastAsia="方正仿宋_GBK" w:hAnsi="方正仿宋_GBK" w:cs="方正仿宋_GBK" w:hint="eastAsia"/>
                <w:bCs/>
                <w:kern w:val="2"/>
                <w:sz w:val="24"/>
                <w:szCs w:val="24"/>
                <w:lang w:val="en-US"/>
              </w:rPr>
              <w:t>中和行动，科学有序推动能源生产消费方式绿色低碳变革。实施可再生能源替代，减少化石能源消费。加强产业布局和能耗“双控”政策衔接，促进重点用</w:t>
            </w:r>
            <w:proofErr w:type="gramStart"/>
            <w:r>
              <w:rPr>
                <w:rFonts w:ascii="方正仿宋_GBK" w:eastAsia="方正仿宋_GBK" w:hAnsi="方正仿宋_GBK" w:cs="方正仿宋_GBK" w:hint="eastAsia"/>
                <w:bCs/>
                <w:kern w:val="2"/>
                <w:sz w:val="24"/>
                <w:szCs w:val="24"/>
                <w:lang w:val="en-US"/>
              </w:rPr>
              <w:t>能领域用能结构</w:t>
            </w:r>
            <w:proofErr w:type="gramEnd"/>
            <w:r>
              <w:rPr>
                <w:rFonts w:ascii="方正仿宋_GBK" w:eastAsia="方正仿宋_GBK" w:hAnsi="方正仿宋_GBK" w:cs="方正仿宋_GBK" w:hint="eastAsia"/>
                <w:bCs/>
                <w:kern w:val="2"/>
                <w:sz w:val="24"/>
                <w:szCs w:val="24"/>
                <w:lang w:val="en-US"/>
              </w:rPr>
              <w:t>优化和能效提升。</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870"/>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第二十三条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296"/>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第二十四条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新建、扩建“两高”项目应采用先进适用的工艺技术和装备，单位产品物耗、能耗、水耗等达到清洁生产先进水平。</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583"/>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第二十五条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推进企业内部工业用水循环利用、园区内企业间用水系统集成优化。开展火电、石化、有色金属、造纸、印染等高耗水行业工业废水循环利用示范。引导区域工业布局和产业结构调整，大力推广工业水循环利用，加快淘汰落后用水工艺和技术。</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583"/>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第二十六条</w:t>
            </w:r>
            <w:r>
              <w:rPr>
                <w:rFonts w:ascii="方正仿宋_GBK" w:eastAsia="方正仿宋_GBK" w:hAnsi="方正仿宋_GBK" w:cs="方正仿宋_GBK" w:hint="eastAsia"/>
                <w:bCs/>
                <w:kern w:val="2"/>
                <w:sz w:val="24"/>
                <w:szCs w:val="24"/>
                <w:lang w:val="en-US"/>
              </w:rPr>
              <w:t xml:space="preserve">  </w:t>
            </w:r>
            <w:r>
              <w:rPr>
                <w:rFonts w:ascii="方正仿宋_GBK" w:eastAsia="方正仿宋_GBK" w:hAnsi="方正仿宋_GBK" w:cs="方正仿宋_GBK" w:hint="eastAsia"/>
                <w:bCs/>
                <w:kern w:val="2"/>
                <w:sz w:val="24"/>
                <w:szCs w:val="24"/>
                <w:lang w:val="en-US"/>
              </w:rPr>
              <w:t>加快推进节水配套设施建设，加强再生水、雨水等非常规水多元、梯级和安全利用；结合现有污水处理设施提标升级扩能改造，系统规划城镇污水再生利用设施；进一步扩大再生水利用范围、利用量和完善再生水管网“末梢”，逐步提升再生水利用率。</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r w:rsidR="000E2C1B">
        <w:trPr>
          <w:trHeight w:val="879"/>
        </w:trPr>
        <w:tc>
          <w:tcPr>
            <w:tcW w:w="794" w:type="dxa"/>
            <w:vMerge/>
            <w:vAlign w:val="center"/>
          </w:tcPr>
          <w:p w:rsidR="000E2C1B" w:rsidRDefault="000E2C1B">
            <w:pPr>
              <w:pStyle w:val="a9"/>
              <w:widowControl/>
              <w:adjustRightInd w:val="0"/>
              <w:snapToGrid w:val="0"/>
              <w:rPr>
                <w:rFonts w:ascii="方正仿宋_GBK" w:eastAsia="方正仿宋_GBK" w:hAnsi="方正仿宋_GBK" w:cs="方正仿宋_GBK"/>
                <w:bCs/>
                <w:color w:val="auto"/>
                <w:sz w:val="24"/>
                <w:szCs w:val="24"/>
              </w:rPr>
            </w:pPr>
          </w:p>
        </w:tc>
        <w:tc>
          <w:tcPr>
            <w:tcW w:w="12348" w:type="dxa"/>
            <w:vAlign w:val="center"/>
          </w:tcPr>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第二十七条合理开发利用岸线资源。</w:t>
            </w:r>
          </w:p>
          <w:p w:rsidR="000E2C1B" w:rsidRDefault="001D461B">
            <w:pPr>
              <w:pStyle w:val="a3"/>
              <w:tabs>
                <w:tab w:val="left" w:pos="1843"/>
                <w:tab w:val="left" w:pos="2340"/>
              </w:tabs>
              <w:spacing w:after="0" w:line="320" w:lineRule="exact"/>
              <w:ind w:firstLineChars="196" w:firstLine="470"/>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加强岸线管理，实现岸线的依法、科学、有序利用；</w:t>
            </w:r>
            <w:proofErr w:type="gramStart"/>
            <w:r>
              <w:rPr>
                <w:rFonts w:ascii="方正仿宋_GBK" w:eastAsia="方正仿宋_GBK" w:hAnsi="方正仿宋_GBK" w:cs="方正仿宋_GBK" w:hint="eastAsia"/>
                <w:bCs/>
                <w:kern w:val="2"/>
                <w:sz w:val="24"/>
                <w:szCs w:val="24"/>
                <w:lang w:val="en-US"/>
              </w:rPr>
              <w:t>按水功能</w:t>
            </w:r>
            <w:proofErr w:type="gramEnd"/>
            <w:r>
              <w:rPr>
                <w:rFonts w:ascii="方正仿宋_GBK" w:eastAsia="方正仿宋_GBK" w:hAnsi="方正仿宋_GBK" w:cs="方正仿宋_GBK" w:hint="eastAsia"/>
                <w:bCs/>
                <w:kern w:val="2"/>
                <w:sz w:val="24"/>
                <w:szCs w:val="24"/>
                <w:lang w:val="en-US"/>
              </w:rPr>
              <w:t>区规定的水源保护目标，严格管理，促进经济社与资源、环境的协调发展。</w:t>
            </w:r>
          </w:p>
        </w:tc>
        <w:tc>
          <w:tcPr>
            <w:tcW w:w="1176" w:type="dxa"/>
            <w:vAlign w:val="center"/>
          </w:tcPr>
          <w:p w:rsidR="000E2C1B" w:rsidRDefault="001D461B">
            <w:pPr>
              <w:pStyle w:val="a3"/>
              <w:tabs>
                <w:tab w:val="left" w:pos="1843"/>
                <w:tab w:val="left" w:pos="2340"/>
              </w:tabs>
              <w:spacing w:after="0" w:line="320" w:lineRule="exact"/>
              <w:jc w:val="left"/>
              <w:rPr>
                <w:rFonts w:ascii="方正仿宋_GBK" w:eastAsia="方正仿宋_GBK" w:hAnsi="方正仿宋_GBK" w:cs="方正仿宋_GBK"/>
                <w:bCs/>
                <w:kern w:val="2"/>
                <w:sz w:val="24"/>
                <w:szCs w:val="24"/>
                <w:lang w:val="en-US"/>
              </w:rPr>
            </w:pPr>
            <w:r>
              <w:rPr>
                <w:rFonts w:ascii="方正仿宋_GBK" w:eastAsia="方正仿宋_GBK" w:hAnsi="方正仿宋_GBK" w:cs="方正仿宋_GBK" w:hint="eastAsia"/>
                <w:bCs/>
                <w:kern w:val="2"/>
                <w:sz w:val="24"/>
                <w:szCs w:val="24"/>
                <w:lang w:val="en-US"/>
              </w:rPr>
              <w:t>适用于云阳县全域</w:t>
            </w:r>
          </w:p>
        </w:tc>
      </w:tr>
    </w:tbl>
    <w:p w:rsidR="000E2C1B" w:rsidRDefault="000E2C1B">
      <w:pPr>
        <w:rPr>
          <w:rFonts w:ascii="Times New Roman" w:hAnsi="Times New Roman"/>
        </w:rPr>
      </w:pPr>
    </w:p>
    <w:p w:rsidR="000E2C1B" w:rsidRDefault="000E2C1B">
      <w:pPr>
        <w:pStyle w:val="a3"/>
        <w:tabs>
          <w:tab w:val="left" w:pos="1843"/>
          <w:tab w:val="left" w:pos="2340"/>
        </w:tabs>
        <w:spacing w:after="0" w:line="320" w:lineRule="exact"/>
        <w:ind w:firstLineChars="196" w:firstLine="512"/>
        <w:jc w:val="left"/>
        <w:rPr>
          <w:rFonts w:ascii="Times New Roman" w:hAnsi="Times New Roman"/>
          <w:b/>
          <w:sz w:val="26"/>
          <w:szCs w:val="26"/>
        </w:rPr>
      </w:pPr>
    </w:p>
    <w:sectPr w:rsidR="000E2C1B" w:rsidSect="000E2C1B">
      <w:pgSz w:w="16838" w:h="11906" w:orient="landscape"/>
      <w:pgMar w:top="1797" w:right="1440" w:bottom="1797" w:left="1440"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61B" w:rsidRDefault="001D461B" w:rsidP="001D461B">
      <w:r>
        <w:separator/>
      </w:r>
    </w:p>
  </w:endnote>
  <w:endnote w:type="continuationSeparator" w:id="1">
    <w:p w:rsidR="001D461B" w:rsidRDefault="001D461B" w:rsidP="001D4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9" w:usb3="00000000" w:csb0="200001FF" w:csb1="00000000"/>
  </w:font>
  <w:font w:name="Helvetica">
    <w:panose1 w:val="020B0504020202020204"/>
    <w:charset w:val="00"/>
    <w:family w:val="swiss"/>
    <w:notTrueType/>
    <w:pitch w:val="variable"/>
    <w:sig w:usb0="00000003" w:usb1="00000000" w:usb2="00000000" w:usb3="00000000" w:csb0="00000001" w:csb1="00000000"/>
  </w:font>
  <w:font w:name="方正黑体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61B" w:rsidRDefault="001D461B" w:rsidP="001D461B">
      <w:r>
        <w:separator/>
      </w:r>
    </w:p>
  </w:footnote>
  <w:footnote w:type="continuationSeparator" w:id="1">
    <w:p w:rsidR="001D461B" w:rsidRDefault="001D461B" w:rsidP="001D4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D1844"/>
    <w:multiLevelType w:val="multilevel"/>
    <w:tmpl w:val="50CD1844"/>
    <w:lvl w:ilvl="0">
      <w:start w:val="1"/>
      <w:numFmt w:val="decimal"/>
      <w:suff w:val="nothing"/>
      <w:lvlText w:val="%1."/>
      <w:lvlJc w:val="left"/>
      <w:pPr>
        <w:ind w:left="7840" w:firstLine="0"/>
      </w:pPr>
      <w:rPr>
        <w:rFonts w:hint="eastAsia"/>
      </w:rPr>
    </w:lvl>
    <w:lvl w:ilvl="1">
      <w:start w:val="1"/>
      <w:numFmt w:val="decimal"/>
      <w:pStyle w:val="2"/>
      <w:lvlText w:val="%1.%2."/>
      <w:lvlJc w:val="left"/>
      <w:pPr>
        <w:ind w:left="142"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hjNzZmYzRkZjg5ZWEyOGM0YzIyNzhlY2U0YzY3YjgifQ=="/>
  </w:docVars>
  <w:rsids>
    <w:rsidRoot w:val="67026DE9"/>
    <w:rsid w:val="000E2C1B"/>
    <w:rsid w:val="001D461B"/>
    <w:rsid w:val="24966611"/>
    <w:rsid w:val="4BAB65AF"/>
    <w:rsid w:val="67026DE9"/>
    <w:rsid w:val="68B56E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semiHidden="1" w:qFormat="1"/>
    <w:lsdException w:name="Body Text" w:unhideWhenUsed="1" w:qFormat="1"/>
    <w:lsdException w:name="Subtitle" w:qFormat="1"/>
    <w:lsdException w:name="Body Text First Indent"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0E2C1B"/>
    <w:pPr>
      <w:widowControl w:val="0"/>
      <w:jc w:val="both"/>
    </w:pPr>
    <w:rPr>
      <w:rFonts w:ascii="Calibri" w:eastAsia="宋体" w:hAnsi="Calibri" w:cs="Times New Roman"/>
      <w:kern w:val="2"/>
      <w:sz w:val="21"/>
      <w:szCs w:val="22"/>
    </w:rPr>
  </w:style>
  <w:style w:type="paragraph" w:styleId="2">
    <w:name w:val="heading 2"/>
    <w:basedOn w:val="a"/>
    <w:next w:val="a"/>
    <w:uiPriority w:val="9"/>
    <w:unhideWhenUsed/>
    <w:qFormat/>
    <w:rsid w:val="000E2C1B"/>
    <w:pPr>
      <w:keepNext/>
      <w:keepLines/>
      <w:numPr>
        <w:ilvl w:val="1"/>
        <w:numId w:val="1"/>
      </w:numPr>
      <w:outlineLvl w:val="1"/>
    </w:pPr>
    <w:rPr>
      <w:rFonts w:asciiTheme="majorHAnsi" w:eastAsiaTheme="majorEastAsia" w:hAnsiTheme="majorHAnsi" w:cstheme="majorBidi"/>
      <w:b/>
      <w:bCs/>
      <w:sz w:val="32"/>
      <w:szCs w:val="32"/>
    </w:rPr>
  </w:style>
  <w:style w:type="paragraph" w:styleId="4">
    <w:name w:val="heading 4"/>
    <w:basedOn w:val="2"/>
    <w:next w:val="a"/>
    <w:uiPriority w:val="9"/>
    <w:unhideWhenUsed/>
    <w:qFormat/>
    <w:rsid w:val="000E2C1B"/>
    <w:pPr>
      <w:spacing w:before="280" w:after="290" w:line="376" w:lineRule="auto"/>
      <w:outlineLvl w:val="3"/>
    </w:pPr>
    <w:rPr>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nhideWhenUsed/>
    <w:qFormat/>
    <w:rsid w:val="000E2C1B"/>
    <w:pPr>
      <w:spacing w:after="120"/>
    </w:pPr>
    <w:rPr>
      <w:kern w:val="0"/>
      <w:lang w:val="zh-CN"/>
    </w:rPr>
  </w:style>
  <w:style w:type="paragraph" w:customStyle="1" w:styleId="a4">
    <w:name w:val="默认"/>
    <w:qFormat/>
    <w:rsid w:val="000E2C1B"/>
    <w:rPr>
      <w:rFonts w:ascii="Helvetica" w:eastAsia="Helvetica" w:hAnsi="Helvetica" w:cs="Helvetica"/>
      <w:color w:val="000000"/>
      <w:sz w:val="22"/>
      <w:szCs w:val="22"/>
    </w:rPr>
  </w:style>
  <w:style w:type="paragraph" w:styleId="a5">
    <w:name w:val="Body Text First Indent"/>
    <w:basedOn w:val="a3"/>
    <w:qFormat/>
    <w:rsid w:val="000E2C1B"/>
    <w:pPr>
      <w:spacing w:after="160"/>
      <w:ind w:firstLineChars="100" w:firstLine="420"/>
    </w:pPr>
  </w:style>
  <w:style w:type="table" w:styleId="a6">
    <w:name w:val="Table Grid"/>
    <w:basedOn w:val="a1"/>
    <w:uiPriority w:val="59"/>
    <w:qFormat/>
    <w:rsid w:val="000E2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E2C1B"/>
    <w:rPr>
      <w:b/>
      <w:bCs/>
    </w:rPr>
  </w:style>
  <w:style w:type="character" w:styleId="a8">
    <w:name w:val="annotation reference"/>
    <w:uiPriority w:val="99"/>
    <w:unhideWhenUsed/>
    <w:qFormat/>
    <w:rsid w:val="000E2C1B"/>
    <w:rPr>
      <w:sz w:val="21"/>
      <w:szCs w:val="21"/>
    </w:rPr>
  </w:style>
  <w:style w:type="paragraph" w:customStyle="1" w:styleId="a9">
    <w:name w:val="表格内容"/>
    <w:qFormat/>
    <w:rsid w:val="000E2C1B"/>
    <w:pPr>
      <w:widowControl w:val="0"/>
      <w:jc w:val="center"/>
    </w:pPr>
    <w:rPr>
      <w:color w:val="000000"/>
      <w:kern w:val="2"/>
      <w:sz w:val="21"/>
      <w:szCs w:val="21"/>
    </w:rPr>
  </w:style>
  <w:style w:type="paragraph" w:customStyle="1" w:styleId="aa">
    <w:name w:val="表内字体"/>
    <w:basedOn w:val="a"/>
    <w:qFormat/>
    <w:rsid w:val="000E2C1B"/>
    <w:pPr>
      <w:snapToGrid w:val="0"/>
      <w:jc w:val="center"/>
    </w:pPr>
    <w:rPr>
      <w:sz w:val="18"/>
      <w:szCs w:val="18"/>
    </w:rPr>
  </w:style>
  <w:style w:type="paragraph" w:styleId="ab">
    <w:name w:val="header"/>
    <w:basedOn w:val="a"/>
    <w:link w:val="Char"/>
    <w:rsid w:val="001D46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1D461B"/>
    <w:rPr>
      <w:rFonts w:ascii="Calibri" w:eastAsia="宋体" w:hAnsi="Calibri" w:cs="Times New Roman"/>
      <w:kern w:val="2"/>
      <w:sz w:val="18"/>
      <w:szCs w:val="18"/>
    </w:rPr>
  </w:style>
  <w:style w:type="paragraph" w:styleId="ac">
    <w:name w:val="footer"/>
    <w:basedOn w:val="a"/>
    <w:link w:val="Char0"/>
    <w:rsid w:val="001D461B"/>
    <w:pPr>
      <w:tabs>
        <w:tab w:val="center" w:pos="4153"/>
        <w:tab w:val="right" w:pos="8306"/>
      </w:tabs>
      <w:snapToGrid w:val="0"/>
      <w:jc w:val="left"/>
    </w:pPr>
    <w:rPr>
      <w:sz w:val="18"/>
      <w:szCs w:val="18"/>
    </w:rPr>
  </w:style>
  <w:style w:type="character" w:customStyle="1" w:styleId="Char0">
    <w:name w:val="页脚 Char"/>
    <w:basedOn w:val="a0"/>
    <w:link w:val="ac"/>
    <w:rsid w:val="001D461B"/>
    <w:rPr>
      <w:rFonts w:ascii="Calibri" w:eastAsia="宋体" w:hAnsi="Calibri" w:cs="Times New Roman"/>
      <w:kern w:val="2"/>
      <w:sz w:val="18"/>
      <w:szCs w:val="18"/>
    </w:rPr>
  </w:style>
  <w:style w:type="paragraph" w:styleId="ad">
    <w:name w:val="Balloon Text"/>
    <w:basedOn w:val="a"/>
    <w:link w:val="Char1"/>
    <w:rsid w:val="001D461B"/>
    <w:rPr>
      <w:sz w:val="18"/>
      <w:szCs w:val="18"/>
    </w:rPr>
  </w:style>
  <w:style w:type="character" w:customStyle="1" w:styleId="Char1">
    <w:name w:val="批注框文本 Char"/>
    <w:basedOn w:val="a0"/>
    <w:link w:val="ad"/>
    <w:rsid w:val="001D461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uihuayun.com/baike/%E5%9F%8E%E4%B9%A1%E8%9E%8D%E5%90%88%E5%8F%91%E5%B1%9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5602</Words>
  <Characters>754</Characters>
  <Application>Microsoft Office Word</Application>
  <DocSecurity>0</DocSecurity>
  <Lines>6</Lines>
  <Paragraphs>12</Paragraphs>
  <ScaleCrop>false</ScaleCrop>
  <Company>微软中国</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l'f'm</dc:creator>
  <cp:lastModifiedBy>${userName!}</cp:lastModifiedBy>
  <cp:revision>2</cp:revision>
  <dcterms:created xsi:type="dcterms:W3CDTF">2023-11-22T08:29:00Z</dcterms:created>
  <dcterms:modified xsi:type="dcterms:W3CDTF">2023-11-23T03:54:00Z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F25AD745B8DE4E66A18875236D3A4195_11</vt:lpwstr>
  </property>
</Properties>
</file>