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rPr>
          <w:rFonts w:hint="default"/>
          <w:color w:val="000000" w:themeColor="text1"/>
          <w:lang w:bidi="ar"/>
          <w14:textFill>
            <w14:solidFill>
              <w14:schemeClr w14:val="tx1"/>
            </w14:solidFill>
          </w14:textFill>
        </w:rPr>
      </w:pPr>
    </w:p>
    <w:p>
      <w:pPr>
        <w:pStyle w:val="38"/>
        <w:widowControl/>
        <w:rPr>
          <w:rFonts w:hint="default"/>
          <w:color w:val="000000" w:themeColor="text1"/>
          <w:lang w:bidi="ar"/>
          <w14:textFill>
            <w14:solidFill>
              <w14:schemeClr w14:val="tx1"/>
            </w14:solidFill>
          </w14:textFill>
        </w:rPr>
      </w:pPr>
    </w:p>
    <w:p>
      <w:pPr>
        <w:pStyle w:val="38"/>
        <w:widowControl/>
        <w:rPr>
          <w:rFonts w:hint="default"/>
          <w:color w:val="000000" w:themeColor="text1"/>
          <w:lang w:bidi="ar"/>
          <w14:textFill>
            <w14:solidFill>
              <w14:schemeClr w14:val="tx1"/>
            </w14:solidFill>
          </w14:textFill>
        </w:rPr>
      </w:pPr>
      <w:bookmarkStart w:id="113" w:name="_GoBack"/>
      <w:bookmarkEnd w:id="113"/>
    </w:p>
    <w:p>
      <w:pPr>
        <w:pStyle w:val="38"/>
        <w:widowControl/>
        <w:ind w:firstLine="480"/>
        <w:rPr>
          <w:rFonts w:hint="default"/>
          <w:color w:val="000000" w:themeColor="text1"/>
          <w:lang w:bidi="ar"/>
          <w14:textFill>
            <w14:solidFill>
              <w14:schemeClr w14:val="tx1"/>
            </w14:solidFill>
          </w14:textFill>
        </w:rPr>
      </w:pPr>
    </w:p>
    <w:p>
      <w:pPr>
        <w:pStyle w:val="38"/>
        <w:widowControl/>
        <w:ind w:firstLine="480"/>
        <w:rPr>
          <w:rFonts w:hint="default"/>
          <w:color w:val="000000" w:themeColor="text1"/>
          <w:lang w:bidi="ar"/>
          <w14:textFill>
            <w14:solidFill>
              <w14:schemeClr w14:val="tx1"/>
            </w14:solidFill>
          </w14:textFill>
        </w:rPr>
      </w:pPr>
    </w:p>
    <w:p>
      <w:pPr>
        <w:pStyle w:val="38"/>
        <w:widowControl/>
        <w:ind w:firstLine="480"/>
        <w:rPr>
          <w:rFonts w:hint="default"/>
          <w:color w:val="000000" w:themeColor="text1"/>
          <w:lang w:bidi="ar"/>
          <w14:textFill>
            <w14:solidFill>
              <w14:schemeClr w14:val="tx1"/>
            </w14:solidFill>
          </w14:textFill>
        </w:rPr>
      </w:pPr>
    </w:p>
    <w:p>
      <w:pPr>
        <w:ind w:firstLine="883"/>
        <w:jc w:val="center"/>
        <w:rPr>
          <w:rFonts w:ascii="黑体" w:hAnsi="黑体" w:eastAsia="黑体"/>
          <w:b/>
          <w:color w:val="000000" w:themeColor="text1"/>
          <w:sz w:val="44"/>
          <w:szCs w:val="44"/>
          <w14:textFill>
            <w14:solidFill>
              <w14:schemeClr w14:val="tx1"/>
            </w14:solidFill>
          </w14:textFill>
        </w:rPr>
      </w:pPr>
      <w:r>
        <w:rPr>
          <w:rFonts w:hint="eastAsia" w:ascii="黑体" w:hAnsi="黑体" w:eastAsia="黑体"/>
          <w:b/>
          <w:color w:val="000000" w:themeColor="text1"/>
          <w:sz w:val="44"/>
          <w:szCs w:val="44"/>
          <w14:textFill>
            <w14:solidFill>
              <w14:schemeClr w14:val="tx1"/>
            </w14:solidFill>
          </w14:textFill>
        </w:rPr>
        <w:t>重庆市云阳县</w:t>
      </w:r>
    </w:p>
    <w:p>
      <w:pPr>
        <w:ind w:firstLine="883"/>
        <w:jc w:val="center"/>
        <w:rPr>
          <w:rFonts w:ascii="黑体" w:hAnsi="黑体" w:eastAsia="黑体"/>
          <w:b/>
          <w:color w:val="000000" w:themeColor="text1"/>
          <w:sz w:val="44"/>
          <w:szCs w:val="44"/>
          <w14:textFill>
            <w14:solidFill>
              <w14:schemeClr w14:val="tx1"/>
            </w14:solidFill>
          </w14:textFill>
        </w:rPr>
      </w:pPr>
      <w:r>
        <w:rPr>
          <w:rFonts w:hint="eastAsia" w:ascii="黑体" w:hAnsi="黑体" w:eastAsia="黑体"/>
          <w:b/>
          <w:color w:val="000000" w:themeColor="text1"/>
          <w:sz w:val="44"/>
          <w:szCs w:val="44"/>
          <w14:textFill>
            <w14:solidFill>
              <w14:schemeClr w14:val="tx1"/>
            </w14:solidFill>
          </w14:textFill>
        </w:rPr>
        <w:t>文化旅游体育发展“十四五”规划</w:t>
      </w:r>
    </w:p>
    <w:p>
      <w:pPr>
        <w:pStyle w:val="7"/>
        <w:spacing w:after="120"/>
        <w:ind w:firstLine="883"/>
        <w:jc w:val="center"/>
        <w:rPr>
          <w:rFonts w:ascii="黑体" w:hAnsi="黑体" w:eastAsia="黑体"/>
          <w:b/>
          <w:color w:val="000000" w:themeColor="text1"/>
          <w:sz w:val="44"/>
          <w:szCs w:val="44"/>
          <w14:textFill>
            <w14:solidFill>
              <w14:schemeClr w14:val="tx1"/>
            </w14:solidFill>
          </w14:textFill>
        </w:rPr>
      </w:pPr>
    </w:p>
    <w:p>
      <w:pPr>
        <w:pStyle w:val="7"/>
        <w:spacing w:after="120"/>
        <w:ind w:firstLine="440"/>
        <w:jc w:val="center"/>
        <w:rPr>
          <w:rFonts w:ascii="方正小标宋_GBK" w:hAnsi="仿宋" w:eastAsia="方正小标宋_GBK"/>
          <w:b/>
          <w:color w:val="000000" w:themeColor="text1"/>
          <w:sz w:val="22"/>
          <w:szCs w:val="22"/>
          <w14:textFill>
            <w14:solidFill>
              <w14:schemeClr w14:val="tx1"/>
            </w14:solidFill>
          </w14:textFill>
        </w:rPr>
      </w:pPr>
    </w:p>
    <w:p>
      <w:pPr>
        <w:spacing w:line="360" w:lineRule="auto"/>
        <w:ind w:firstLine="640"/>
        <w:jc w:val="center"/>
        <w:rPr>
          <w:rFonts w:ascii="黑体" w:hAnsi="宋体" w:eastAsia="黑体" w:cs="黑体"/>
          <w:color w:val="000000" w:themeColor="text1"/>
          <w:sz w:val="32"/>
          <w:szCs w:val="32"/>
          <w:lang w:bidi="ar"/>
          <w14:textFill>
            <w14:solidFill>
              <w14:schemeClr w14:val="tx1"/>
            </w14:solidFill>
          </w14:textFill>
        </w:rPr>
      </w:pPr>
      <w:r>
        <w:rPr>
          <w:rFonts w:hint="eastAsia" w:ascii="黑体" w:hAnsi="宋体" w:eastAsia="黑体" w:cs="黑体"/>
          <w:color w:val="000000" w:themeColor="text1"/>
          <w:sz w:val="32"/>
          <w:szCs w:val="32"/>
          <w:lang w:bidi="ar"/>
          <w14:textFill>
            <w14:solidFill>
              <w14:schemeClr w14:val="tx1"/>
            </w14:solidFill>
          </w14:textFill>
        </w:rPr>
        <w:t>【</w:t>
      </w:r>
      <w:r>
        <w:rPr>
          <w:rFonts w:hint="eastAsia" w:ascii="黑体" w:hAnsi="宋体" w:eastAsia="黑体" w:cs="黑体"/>
          <w:color w:val="000000" w:themeColor="text1"/>
          <w:sz w:val="32"/>
          <w:szCs w:val="32"/>
          <w:lang w:eastAsia="zh-CN" w:bidi="ar"/>
          <w14:textFill>
            <w14:solidFill>
              <w14:schemeClr w14:val="tx1"/>
            </w14:solidFill>
          </w14:textFill>
        </w:rPr>
        <w:t>送审</w:t>
      </w:r>
      <w:r>
        <w:rPr>
          <w:rFonts w:hint="eastAsia" w:ascii="黑体" w:hAnsi="宋体" w:eastAsia="黑体" w:cs="黑体"/>
          <w:color w:val="000000" w:themeColor="text1"/>
          <w:sz w:val="32"/>
          <w:szCs w:val="32"/>
          <w:lang w:bidi="ar"/>
          <w14:textFill>
            <w14:solidFill>
              <w14:schemeClr w14:val="tx1"/>
            </w14:solidFill>
          </w14:textFill>
        </w:rPr>
        <w:t>稿】</w:t>
      </w:r>
    </w:p>
    <w:p>
      <w:pPr>
        <w:spacing w:line="360" w:lineRule="auto"/>
        <w:ind w:firstLine="640"/>
        <w:jc w:val="center"/>
        <w:rPr>
          <w:rFonts w:ascii="黑体" w:hAnsi="宋体" w:eastAsia="黑体" w:cs="黑体"/>
          <w:color w:val="000000" w:themeColor="text1"/>
          <w:sz w:val="32"/>
          <w:szCs w:val="32"/>
          <w:lang w:bidi="ar"/>
          <w14:textFill>
            <w14:solidFill>
              <w14:schemeClr w14:val="tx1"/>
            </w14:solidFill>
          </w14:textFill>
        </w:rPr>
      </w:pPr>
      <w:r>
        <w:rPr>
          <w:rFonts w:hint="eastAsia" w:ascii="黑体" w:hAnsi="宋体" w:eastAsia="黑体" w:cs="黑体"/>
          <w:color w:val="000000" w:themeColor="text1"/>
          <w:sz w:val="32"/>
          <w:szCs w:val="32"/>
          <w:lang w:bidi="ar"/>
          <w14:textFill>
            <w14:solidFill>
              <w14:schemeClr w14:val="tx1"/>
            </w14:solidFill>
          </w14:textFill>
        </w:rPr>
        <w:t xml:space="preserve">  </w:t>
      </w:r>
    </w:p>
    <w:p>
      <w:pPr>
        <w:spacing w:line="360" w:lineRule="auto"/>
        <w:ind w:firstLine="640"/>
        <w:jc w:val="center"/>
        <w:rPr>
          <w:rFonts w:ascii="黑体" w:hAnsi="宋体" w:eastAsia="黑体" w:cs="黑体"/>
          <w:color w:val="000000" w:themeColor="text1"/>
          <w:sz w:val="32"/>
          <w:szCs w:val="32"/>
          <w:lang w:bidi="ar"/>
          <w14:textFill>
            <w14:solidFill>
              <w14:schemeClr w14:val="tx1"/>
            </w14:solidFill>
          </w14:textFill>
        </w:rPr>
      </w:pPr>
    </w:p>
    <w:p>
      <w:pPr>
        <w:spacing w:line="360" w:lineRule="auto"/>
        <w:ind w:firstLine="640"/>
        <w:rPr>
          <w:rFonts w:ascii="黑体" w:hAnsi="宋体" w:eastAsia="黑体" w:cs="黑体"/>
          <w:color w:val="000000" w:themeColor="text1"/>
          <w:sz w:val="32"/>
          <w:szCs w:val="32"/>
          <w:lang w:bidi="ar"/>
          <w14:textFill>
            <w14:solidFill>
              <w14:schemeClr w14:val="tx1"/>
            </w14:solidFill>
          </w14:textFill>
        </w:rPr>
      </w:pPr>
    </w:p>
    <w:p>
      <w:pPr>
        <w:spacing w:line="360" w:lineRule="auto"/>
        <w:ind w:firstLine="640"/>
        <w:rPr>
          <w:rFonts w:ascii="黑体" w:hAnsi="宋体" w:eastAsia="黑体" w:cs="黑体"/>
          <w:color w:val="000000" w:themeColor="text1"/>
          <w:sz w:val="32"/>
          <w:szCs w:val="32"/>
          <w:lang w:bidi="ar"/>
          <w14:textFill>
            <w14:solidFill>
              <w14:schemeClr w14:val="tx1"/>
            </w14:solidFill>
          </w14:textFill>
        </w:rPr>
      </w:pPr>
    </w:p>
    <w:p>
      <w:pPr>
        <w:pStyle w:val="38"/>
        <w:widowControl/>
        <w:ind w:firstLine="480"/>
        <w:rPr>
          <w:rFonts w:hint="default"/>
          <w:color w:val="000000" w:themeColor="text1"/>
          <w:lang w:bidi="ar"/>
          <w14:textFill>
            <w14:solidFill>
              <w14:schemeClr w14:val="tx1"/>
            </w14:solidFill>
          </w14:textFill>
        </w:rPr>
      </w:pPr>
    </w:p>
    <w:p>
      <w:pPr>
        <w:spacing w:line="360" w:lineRule="auto"/>
        <w:ind w:firstLine="640"/>
        <w:jc w:val="center"/>
        <w:rPr>
          <w:rFonts w:ascii="黑体" w:hAnsi="宋体" w:eastAsia="黑体" w:cs="黑体"/>
          <w:color w:val="000000" w:themeColor="text1"/>
          <w:sz w:val="32"/>
          <w:szCs w:val="32"/>
          <w:lang w:bidi="ar"/>
          <w14:textFill>
            <w14:solidFill>
              <w14:schemeClr w14:val="tx1"/>
            </w14:solidFill>
          </w14:textFill>
        </w:rPr>
      </w:pPr>
    </w:p>
    <w:p>
      <w:pPr>
        <w:pStyle w:val="7"/>
        <w:ind w:firstLine="600"/>
        <w:rPr>
          <w:color w:val="000000" w:themeColor="text1"/>
          <w:lang w:bidi="ar"/>
          <w14:textFill>
            <w14:solidFill>
              <w14:schemeClr w14:val="tx1"/>
            </w14:solidFill>
          </w14:textFill>
        </w:rPr>
      </w:pPr>
    </w:p>
    <w:p>
      <w:pPr>
        <w:pStyle w:val="7"/>
        <w:ind w:firstLine="600"/>
        <w:rPr>
          <w:color w:val="000000" w:themeColor="text1"/>
          <w:lang w:bidi="ar"/>
          <w14:textFill>
            <w14:solidFill>
              <w14:schemeClr w14:val="tx1"/>
            </w14:solidFill>
          </w14:textFill>
        </w:rPr>
      </w:pPr>
    </w:p>
    <w:p>
      <w:pPr>
        <w:spacing w:line="360" w:lineRule="auto"/>
        <w:ind w:firstLine="640"/>
        <w:jc w:val="center"/>
        <w:rPr>
          <w:rFonts w:ascii="黑体" w:hAnsi="黑体" w:eastAsia="黑体" w:cs="黑体"/>
          <w:color w:val="000000" w:themeColor="text1"/>
          <w:sz w:val="32"/>
          <w:szCs w:val="32"/>
          <w:lang w:bidi="ar"/>
          <w14:textFill>
            <w14:solidFill>
              <w14:schemeClr w14:val="tx1"/>
            </w14:solidFill>
          </w14:textFill>
        </w:rPr>
      </w:pPr>
      <w:r>
        <w:rPr>
          <w:rFonts w:hint="eastAsia" w:ascii="黑体" w:hAnsi="黑体" w:eastAsia="黑体" w:cs="黑体"/>
          <w:color w:val="000000" w:themeColor="text1"/>
          <w:sz w:val="32"/>
          <w:szCs w:val="32"/>
          <w:lang w:bidi="ar"/>
          <w14:textFill>
            <w14:solidFill>
              <w14:schemeClr w14:val="tx1"/>
            </w14:solidFill>
          </w14:textFill>
        </w:rPr>
        <w:t>云阳县文化和旅游发展委员会</w:t>
      </w:r>
    </w:p>
    <w:p>
      <w:pPr>
        <w:ind w:firstLine="640"/>
        <w:jc w:val="center"/>
        <w:rPr>
          <w:sz w:val="24"/>
        </w:rPr>
      </w:pPr>
      <w:r>
        <w:rPr>
          <w:rFonts w:hint="eastAsia" w:ascii="黑体" w:hAnsi="黑体" w:eastAsia="黑体" w:cs="黑体"/>
          <w:color w:val="000000" w:themeColor="text1"/>
          <w:sz w:val="32"/>
          <w:szCs w:val="32"/>
          <w:lang w:bidi="ar"/>
          <w14:textFill>
            <w14:solidFill>
              <w14:schemeClr w14:val="tx1"/>
            </w14:solidFill>
          </w14:textFill>
        </w:rPr>
        <w:t>二〇二一年九月</w:t>
      </w:r>
      <w:r>
        <w:rPr>
          <w:rFonts w:ascii="黑体" w:hAnsi="黑体" w:eastAsia="黑体" w:cs="黑体"/>
          <w:color w:val="000000" w:themeColor="text1"/>
          <w:szCs w:val="32"/>
          <w:lang w:bidi="ar"/>
          <w14:textFill>
            <w14:solidFill>
              <w14:schemeClr w14:val="tx1"/>
            </w14:solidFill>
          </w14:textFill>
        </w:rPr>
        <w:br w:type="page"/>
      </w:r>
      <w:bookmarkStart w:id="0" w:name="_Toc5423"/>
      <w:r>
        <w:rPr>
          <w:rFonts w:ascii="黑体" w:hAnsi="黑体" w:eastAsia="黑体"/>
          <w:b/>
          <w:color w:val="000000" w:themeColor="text1"/>
          <w:sz w:val="32"/>
          <w:lang w:val="zh-CN"/>
          <w14:textFill>
            <w14:solidFill>
              <w14:schemeClr w14:val="tx1"/>
            </w14:solidFill>
          </w14:textFill>
        </w:rPr>
        <w:t>目</w:t>
      </w:r>
      <w:r>
        <w:rPr>
          <w:rFonts w:hint="eastAsia" w:ascii="黑体" w:hAnsi="黑体" w:eastAsia="黑体"/>
          <w:b/>
          <w:color w:val="000000" w:themeColor="text1"/>
          <w:sz w:val="32"/>
          <w:lang w:val="zh-CN"/>
          <w14:textFill>
            <w14:solidFill>
              <w14:schemeClr w14:val="tx1"/>
            </w14:solidFill>
          </w14:textFill>
        </w:rPr>
        <w:t xml:space="preserve">  </w:t>
      </w:r>
      <w:r>
        <w:rPr>
          <w:rFonts w:ascii="黑体" w:hAnsi="黑体" w:eastAsia="黑体"/>
          <w:b/>
          <w:color w:val="000000" w:themeColor="text1"/>
          <w:sz w:val="32"/>
          <w:lang w:val="zh-CN"/>
          <w14:textFill>
            <w14:solidFill>
              <w14:schemeClr w14:val="tx1"/>
            </w14:solidFill>
          </w14:textFill>
        </w:rPr>
        <w:t>录</w:t>
      </w:r>
      <w:bookmarkEnd w:id="0"/>
      <w:r>
        <w:rPr>
          <w:rFonts w:asciiTheme="minorHAnsi" w:hAnsiTheme="minorHAnsi"/>
          <w:bCs/>
          <w:color w:val="000000" w:themeColor="text1"/>
          <w:sz w:val="2"/>
          <w:szCs w:val="20"/>
          <w:lang w:val="zh-CN"/>
          <w14:textFill>
            <w14:solidFill>
              <w14:schemeClr w14:val="tx1"/>
            </w14:solidFill>
          </w14:textFill>
        </w:rPr>
        <w:fldChar w:fldCharType="begin"/>
      </w:r>
      <w:r>
        <w:rPr>
          <w:bCs/>
          <w:color w:val="000000" w:themeColor="text1"/>
          <w:sz w:val="2"/>
          <w:szCs w:val="20"/>
          <w:lang w:val="zh-CN"/>
          <w14:textFill>
            <w14:solidFill>
              <w14:schemeClr w14:val="tx1"/>
            </w14:solidFill>
          </w14:textFill>
        </w:rPr>
        <w:instrText xml:space="preserve"> TOC \o "1-3" \h \z \u </w:instrText>
      </w:r>
      <w:r>
        <w:rPr>
          <w:rFonts w:asciiTheme="minorHAnsi" w:hAnsiTheme="minorHAnsi"/>
          <w:bCs/>
          <w:color w:val="000000" w:themeColor="text1"/>
          <w:sz w:val="2"/>
          <w:szCs w:val="20"/>
          <w:lang w:val="zh-CN"/>
          <w14:textFill>
            <w14:solidFill>
              <w14:schemeClr w14:val="tx1"/>
            </w14:solidFill>
          </w14:textFill>
        </w:rPr>
        <w:fldChar w:fldCharType="separate"/>
      </w:r>
    </w:p>
    <w:p>
      <w:pPr>
        <w:pStyle w:val="15"/>
        <w:ind w:firstLine="482"/>
        <w:rPr>
          <w:rFonts w:asciiTheme="minorHAnsi" w:hAnsiTheme="minorHAnsi" w:eastAsiaTheme="minorEastAsia" w:cstheme="minorBidi"/>
          <w:b w:val="0"/>
          <w:sz w:val="21"/>
          <w:szCs w:val="22"/>
        </w:rPr>
      </w:pPr>
      <w:r>
        <w:fldChar w:fldCharType="begin"/>
      </w:r>
      <w:r>
        <w:instrText xml:space="preserve"> HYPERLINK \l "_Toc82624309" </w:instrText>
      </w:r>
      <w:r>
        <w:fldChar w:fldCharType="separate"/>
      </w:r>
      <w:r>
        <w:rPr>
          <w:rStyle w:val="25"/>
          <w:rFonts w:hint="eastAsia"/>
          <w:sz w:val="28"/>
        </w:rPr>
        <w:t>第一篇</w:t>
      </w:r>
      <w:r>
        <w:rPr>
          <w:rStyle w:val="25"/>
          <w:sz w:val="28"/>
        </w:rPr>
        <w:t xml:space="preserve"> </w:t>
      </w:r>
      <w:r>
        <w:rPr>
          <w:rStyle w:val="25"/>
          <w:rFonts w:hint="eastAsia"/>
          <w:sz w:val="28"/>
        </w:rPr>
        <w:t>乘势而上开启新征程</w:t>
      </w:r>
      <w:r>
        <w:rPr>
          <w:sz w:val="28"/>
        </w:rPr>
        <w:tab/>
      </w:r>
      <w:r>
        <w:rPr>
          <w:sz w:val="28"/>
        </w:rPr>
        <w:fldChar w:fldCharType="begin"/>
      </w:r>
      <w:r>
        <w:rPr>
          <w:sz w:val="28"/>
        </w:rPr>
        <w:instrText xml:space="preserve"> PAGEREF _Toc82624309 \h </w:instrText>
      </w:r>
      <w:r>
        <w:rPr>
          <w:sz w:val="28"/>
        </w:rPr>
        <w:fldChar w:fldCharType="separate"/>
      </w:r>
      <w:r>
        <w:rPr>
          <w:sz w:val="28"/>
        </w:rPr>
        <w:t>- 1 -</w:t>
      </w:r>
      <w:r>
        <w:rPr>
          <w:sz w:val="28"/>
        </w:rPr>
        <w:fldChar w:fldCharType="end"/>
      </w:r>
      <w:r>
        <w:rPr>
          <w:sz w:val="28"/>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"_Toc82624310" </w:instrText>
      </w:r>
      <w:r>
        <w:fldChar w:fldCharType="separate"/>
      </w:r>
      <w:r>
        <w:rPr>
          <w:rStyle w:val="25"/>
          <w:rFonts w:hint="eastAsia"/>
          <w:sz w:val="24"/>
        </w:rPr>
        <w:t>第一章</w:t>
      </w:r>
      <w:r>
        <w:rPr>
          <w:rStyle w:val="25"/>
          <w:sz w:val="24"/>
        </w:rPr>
        <w:t xml:space="preserve"> </w:t>
      </w:r>
      <w:r>
        <w:rPr>
          <w:rStyle w:val="25"/>
          <w:rFonts w:hint="eastAsia"/>
          <w:sz w:val="24"/>
        </w:rPr>
        <w:t>发展基础和环境</w:t>
      </w:r>
      <w:r>
        <w:rPr>
          <w:sz w:val="24"/>
        </w:rPr>
        <w:tab/>
      </w:r>
      <w:r>
        <w:rPr>
          <w:sz w:val="24"/>
        </w:rPr>
        <w:fldChar w:fldCharType="begin"/>
      </w:r>
      <w:r>
        <w:rPr>
          <w:sz w:val="24"/>
        </w:rPr>
        <w:instrText xml:space="preserve"> PAGEREF _Toc82624310 \h </w:instrText>
      </w:r>
      <w:r>
        <w:rPr>
          <w:sz w:val="24"/>
        </w:rPr>
        <w:fldChar w:fldCharType="separate"/>
      </w:r>
      <w:r>
        <w:rPr>
          <w:sz w:val="24"/>
        </w:rPr>
        <w:t>- 1 -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"_Toc82624311" </w:instrText>
      </w:r>
      <w:r>
        <w:fldChar w:fldCharType="separate"/>
      </w:r>
      <w:r>
        <w:rPr>
          <w:rStyle w:val="25"/>
          <w:rFonts w:hint="eastAsia"/>
          <w:sz w:val="24"/>
        </w:rPr>
        <w:t>第一节</w:t>
      </w:r>
      <w:r>
        <w:rPr>
          <w:rStyle w:val="25"/>
          <w:sz w:val="24"/>
        </w:rPr>
        <w:t xml:space="preserve"> </w:t>
      </w:r>
      <w:r>
        <w:rPr>
          <w:rStyle w:val="25"/>
          <w:rFonts w:hint="eastAsia"/>
          <w:sz w:val="24"/>
        </w:rPr>
        <w:t>发展基础</w:t>
      </w:r>
      <w:r>
        <w:rPr>
          <w:sz w:val="24"/>
        </w:rPr>
        <w:tab/>
      </w:r>
      <w:r>
        <w:rPr>
          <w:sz w:val="24"/>
        </w:rPr>
        <w:fldChar w:fldCharType="begin"/>
      </w:r>
      <w:r>
        <w:rPr>
          <w:sz w:val="24"/>
        </w:rPr>
        <w:instrText xml:space="preserve"> PAGEREF _Toc82624311 \h </w:instrText>
      </w:r>
      <w:r>
        <w:rPr>
          <w:sz w:val="24"/>
        </w:rPr>
        <w:fldChar w:fldCharType="separate"/>
      </w:r>
      <w:r>
        <w:rPr>
          <w:sz w:val="24"/>
        </w:rPr>
        <w:t>- 1 -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"_Toc82624312" </w:instrText>
      </w:r>
      <w:r>
        <w:fldChar w:fldCharType="separate"/>
      </w:r>
      <w:r>
        <w:rPr>
          <w:rStyle w:val="25"/>
          <w:rFonts w:hint="eastAsia"/>
          <w:sz w:val="24"/>
        </w:rPr>
        <w:t>第二节</w:t>
      </w:r>
      <w:r>
        <w:rPr>
          <w:rStyle w:val="25"/>
          <w:sz w:val="24"/>
        </w:rPr>
        <w:t xml:space="preserve"> </w:t>
      </w:r>
      <w:r>
        <w:rPr>
          <w:rStyle w:val="25"/>
          <w:rFonts w:hint="eastAsia"/>
          <w:sz w:val="24"/>
        </w:rPr>
        <w:t>发展环境</w:t>
      </w:r>
      <w:r>
        <w:rPr>
          <w:sz w:val="24"/>
        </w:rPr>
        <w:tab/>
      </w:r>
      <w:r>
        <w:rPr>
          <w:sz w:val="24"/>
        </w:rPr>
        <w:fldChar w:fldCharType="begin"/>
      </w:r>
      <w:r>
        <w:rPr>
          <w:sz w:val="24"/>
        </w:rPr>
        <w:instrText xml:space="preserve"> PAGEREF _Toc82624312 \h </w:instrText>
      </w:r>
      <w:r>
        <w:rPr>
          <w:sz w:val="24"/>
        </w:rPr>
        <w:fldChar w:fldCharType="separate"/>
      </w:r>
      <w:r>
        <w:rPr>
          <w:sz w:val="24"/>
        </w:rPr>
        <w:t>- 5 -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"_Toc82624313" </w:instrText>
      </w:r>
      <w:r>
        <w:fldChar w:fldCharType="separate"/>
      </w:r>
      <w:r>
        <w:rPr>
          <w:rStyle w:val="25"/>
          <w:rFonts w:hint="eastAsia"/>
          <w:sz w:val="24"/>
        </w:rPr>
        <w:t>第三节</w:t>
      </w:r>
      <w:r>
        <w:rPr>
          <w:rStyle w:val="25"/>
          <w:sz w:val="24"/>
        </w:rPr>
        <w:t xml:space="preserve"> </w:t>
      </w:r>
      <w:r>
        <w:rPr>
          <w:rStyle w:val="25"/>
          <w:rFonts w:hint="eastAsia"/>
          <w:sz w:val="24"/>
        </w:rPr>
        <w:t>发展优势</w:t>
      </w:r>
      <w:r>
        <w:rPr>
          <w:sz w:val="24"/>
        </w:rPr>
        <w:tab/>
      </w:r>
      <w:r>
        <w:rPr>
          <w:sz w:val="24"/>
        </w:rPr>
        <w:fldChar w:fldCharType="begin"/>
      </w:r>
      <w:r>
        <w:rPr>
          <w:sz w:val="24"/>
        </w:rPr>
        <w:instrText xml:space="preserve"> PAGEREF _Toc82624313 \h </w:instrText>
      </w:r>
      <w:r>
        <w:rPr>
          <w:sz w:val="24"/>
        </w:rPr>
        <w:fldChar w:fldCharType="separate"/>
      </w:r>
      <w:r>
        <w:rPr>
          <w:sz w:val="24"/>
        </w:rPr>
        <w:t>- 9 -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"_Toc82624314" </w:instrText>
      </w:r>
      <w:r>
        <w:fldChar w:fldCharType="separate"/>
      </w:r>
      <w:r>
        <w:rPr>
          <w:rStyle w:val="25"/>
          <w:rFonts w:hint="eastAsia"/>
          <w:sz w:val="24"/>
        </w:rPr>
        <w:t>第二章</w:t>
      </w:r>
      <w:r>
        <w:rPr>
          <w:rStyle w:val="25"/>
          <w:sz w:val="24"/>
        </w:rPr>
        <w:t xml:space="preserve"> </w:t>
      </w:r>
      <w:r>
        <w:rPr>
          <w:rStyle w:val="25"/>
          <w:rFonts w:hint="eastAsia"/>
          <w:sz w:val="24"/>
        </w:rPr>
        <w:t>总体要求</w:t>
      </w:r>
      <w:r>
        <w:rPr>
          <w:sz w:val="24"/>
        </w:rPr>
        <w:tab/>
      </w:r>
      <w:r>
        <w:rPr>
          <w:sz w:val="24"/>
        </w:rPr>
        <w:fldChar w:fldCharType="begin"/>
      </w:r>
      <w:r>
        <w:rPr>
          <w:sz w:val="24"/>
        </w:rPr>
        <w:instrText xml:space="preserve"> PAGEREF _Toc82624314 \h </w:instrText>
      </w:r>
      <w:r>
        <w:rPr>
          <w:sz w:val="24"/>
        </w:rPr>
        <w:fldChar w:fldCharType="separate"/>
      </w:r>
      <w:r>
        <w:rPr>
          <w:sz w:val="24"/>
        </w:rPr>
        <w:t>- 10 -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"_Toc82624315" </w:instrText>
      </w:r>
      <w:r>
        <w:fldChar w:fldCharType="separate"/>
      </w:r>
      <w:r>
        <w:rPr>
          <w:rStyle w:val="25"/>
          <w:rFonts w:hint="eastAsia"/>
          <w:sz w:val="24"/>
        </w:rPr>
        <w:t>第一节</w:t>
      </w:r>
      <w:r>
        <w:rPr>
          <w:rStyle w:val="25"/>
          <w:sz w:val="24"/>
        </w:rPr>
        <w:t xml:space="preserve"> </w:t>
      </w:r>
      <w:r>
        <w:rPr>
          <w:rStyle w:val="25"/>
          <w:rFonts w:hint="eastAsia"/>
          <w:sz w:val="24"/>
        </w:rPr>
        <w:t>指导思想</w:t>
      </w:r>
      <w:r>
        <w:rPr>
          <w:sz w:val="24"/>
        </w:rPr>
        <w:tab/>
      </w:r>
      <w:r>
        <w:rPr>
          <w:sz w:val="24"/>
        </w:rPr>
        <w:fldChar w:fldCharType="begin"/>
      </w:r>
      <w:r>
        <w:rPr>
          <w:sz w:val="24"/>
        </w:rPr>
        <w:instrText xml:space="preserve"> PAGEREF _Toc82624315 \h </w:instrText>
      </w:r>
      <w:r>
        <w:rPr>
          <w:sz w:val="24"/>
        </w:rPr>
        <w:fldChar w:fldCharType="separate"/>
      </w:r>
      <w:r>
        <w:rPr>
          <w:sz w:val="24"/>
        </w:rPr>
        <w:t>- 10 -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"_Toc82624316" </w:instrText>
      </w:r>
      <w:r>
        <w:fldChar w:fldCharType="separate"/>
      </w:r>
      <w:r>
        <w:rPr>
          <w:rStyle w:val="25"/>
          <w:rFonts w:hint="eastAsia"/>
          <w:sz w:val="24"/>
        </w:rPr>
        <w:t>第二节</w:t>
      </w:r>
      <w:r>
        <w:rPr>
          <w:rStyle w:val="25"/>
          <w:sz w:val="24"/>
        </w:rPr>
        <w:t xml:space="preserve"> </w:t>
      </w:r>
      <w:r>
        <w:rPr>
          <w:rStyle w:val="25"/>
          <w:rFonts w:hint="eastAsia"/>
          <w:sz w:val="24"/>
        </w:rPr>
        <w:t>发展原则</w:t>
      </w:r>
      <w:r>
        <w:rPr>
          <w:sz w:val="24"/>
        </w:rPr>
        <w:tab/>
      </w:r>
      <w:r>
        <w:rPr>
          <w:sz w:val="24"/>
        </w:rPr>
        <w:fldChar w:fldCharType="begin"/>
      </w:r>
      <w:r>
        <w:rPr>
          <w:sz w:val="24"/>
        </w:rPr>
        <w:instrText xml:space="preserve"> PAGEREF _Toc82624316 \h </w:instrText>
      </w:r>
      <w:r>
        <w:rPr>
          <w:sz w:val="24"/>
        </w:rPr>
        <w:fldChar w:fldCharType="separate"/>
      </w:r>
      <w:r>
        <w:rPr>
          <w:sz w:val="24"/>
        </w:rPr>
        <w:t>- 10 -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"_Toc82624317" </w:instrText>
      </w:r>
      <w:r>
        <w:fldChar w:fldCharType="separate"/>
      </w:r>
      <w:r>
        <w:rPr>
          <w:rStyle w:val="25"/>
          <w:rFonts w:hint="eastAsia"/>
          <w:sz w:val="24"/>
        </w:rPr>
        <w:t>第三节</w:t>
      </w:r>
      <w:r>
        <w:rPr>
          <w:rStyle w:val="25"/>
          <w:sz w:val="24"/>
        </w:rPr>
        <w:t xml:space="preserve"> </w:t>
      </w:r>
      <w:r>
        <w:rPr>
          <w:rStyle w:val="25"/>
          <w:rFonts w:hint="eastAsia"/>
          <w:sz w:val="24"/>
        </w:rPr>
        <w:t>发展目标</w:t>
      </w:r>
      <w:r>
        <w:rPr>
          <w:sz w:val="24"/>
        </w:rPr>
        <w:tab/>
      </w:r>
      <w:r>
        <w:rPr>
          <w:sz w:val="24"/>
        </w:rPr>
        <w:fldChar w:fldCharType="begin"/>
      </w:r>
      <w:r>
        <w:rPr>
          <w:sz w:val="24"/>
        </w:rPr>
        <w:instrText xml:space="preserve"> PAGEREF _Toc82624317 \h </w:instrText>
      </w:r>
      <w:r>
        <w:rPr>
          <w:sz w:val="24"/>
        </w:rPr>
        <w:fldChar w:fldCharType="separate"/>
      </w:r>
      <w:r>
        <w:rPr>
          <w:sz w:val="24"/>
        </w:rPr>
        <w:t>- 12 -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"_Toc82624318" </w:instrText>
      </w:r>
      <w:r>
        <w:fldChar w:fldCharType="separate"/>
      </w:r>
      <w:r>
        <w:rPr>
          <w:rStyle w:val="25"/>
          <w:rFonts w:hint="eastAsia"/>
          <w:sz w:val="24"/>
        </w:rPr>
        <w:t>第四节</w:t>
      </w:r>
      <w:r>
        <w:rPr>
          <w:rStyle w:val="25"/>
          <w:sz w:val="24"/>
        </w:rPr>
        <w:t xml:space="preserve"> </w:t>
      </w:r>
      <w:r>
        <w:rPr>
          <w:rStyle w:val="25"/>
          <w:rFonts w:hint="eastAsia"/>
          <w:sz w:val="24"/>
        </w:rPr>
        <w:t>空间布局</w:t>
      </w:r>
      <w:r>
        <w:rPr>
          <w:sz w:val="24"/>
        </w:rPr>
        <w:tab/>
      </w:r>
      <w:r>
        <w:rPr>
          <w:sz w:val="24"/>
        </w:rPr>
        <w:fldChar w:fldCharType="begin"/>
      </w:r>
      <w:r>
        <w:rPr>
          <w:sz w:val="24"/>
        </w:rPr>
        <w:instrText xml:space="preserve"> PAGEREF _Toc82624318 \h </w:instrText>
      </w:r>
      <w:r>
        <w:rPr>
          <w:sz w:val="24"/>
        </w:rPr>
        <w:fldChar w:fldCharType="separate"/>
      </w:r>
      <w:r>
        <w:rPr>
          <w:sz w:val="24"/>
        </w:rPr>
        <w:t>- 14 -</w:t>
      </w:r>
      <w:r>
        <w:rPr>
          <w:sz w:val="24"/>
        </w:rPr>
        <w:fldChar w:fldCharType="end"/>
      </w:r>
      <w:r>
        <w:rPr>
          <w:sz w:val="24"/>
        </w:rPr>
        <w:fldChar w:fldCharType="end"/>
      </w:r>
    </w:p>
    <w:p>
      <w:pPr>
        <w:pStyle w:val="15"/>
        <w:ind w:firstLine="562"/>
        <w:rPr>
          <w:rFonts w:asciiTheme="minorHAnsi" w:hAnsiTheme="minorHAnsi" w:eastAsiaTheme="minorEastAsia" w:cstheme="minorBidi"/>
          <w:b w:val="0"/>
          <w:sz w:val="22"/>
          <w:szCs w:val="22"/>
        </w:rPr>
      </w:pPr>
      <w:r>
        <w:fldChar w:fldCharType="begin"/>
      </w:r>
      <w:r>
        <w:instrText xml:space="preserve"> HYPERLINK \l "_Toc82624319" </w:instrText>
      </w:r>
      <w:r>
        <w:fldChar w:fldCharType="separate"/>
      </w:r>
      <w:r>
        <w:rPr>
          <w:rStyle w:val="25"/>
          <w:rFonts w:hint="eastAsia"/>
          <w:sz w:val="28"/>
        </w:rPr>
        <w:t>第二篇</w:t>
      </w:r>
      <w:r>
        <w:rPr>
          <w:rStyle w:val="25"/>
          <w:sz w:val="28"/>
        </w:rPr>
        <w:t xml:space="preserve"> </w:t>
      </w:r>
      <w:r>
        <w:rPr>
          <w:rStyle w:val="25"/>
          <w:rFonts w:hint="eastAsia"/>
          <w:sz w:val="28"/>
        </w:rPr>
        <w:t>加快文化强县建设</w:t>
      </w:r>
      <w:r>
        <w:rPr>
          <w:sz w:val="28"/>
        </w:rPr>
        <w:tab/>
      </w:r>
      <w:r>
        <w:rPr>
          <w:sz w:val="28"/>
        </w:rPr>
        <w:fldChar w:fldCharType="begin"/>
      </w:r>
      <w:r>
        <w:rPr>
          <w:sz w:val="28"/>
        </w:rPr>
        <w:instrText xml:space="preserve"> PAGEREF _Toc82624319 \h </w:instrText>
      </w:r>
      <w:r>
        <w:rPr>
          <w:sz w:val="28"/>
        </w:rPr>
        <w:fldChar w:fldCharType="separate"/>
      </w:r>
      <w:r>
        <w:rPr>
          <w:sz w:val="28"/>
        </w:rPr>
        <w:t>- 16 -</w:t>
      </w:r>
      <w:r>
        <w:rPr>
          <w:sz w:val="28"/>
        </w:rPr>
        <w:fldChar w:fldCharType="end"/>
      </w:r>
      <w:r>
        <w:rPr>
          <w:sz w:val="28"/>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"_Toc82624320" </w:instrText>
      </w:r>
      <w:r>
        <w:fldChar w:fldCharType="separate"/>
      </w:r>
      <w:r>
        <w:rPr>
          <w:rStyle w:val="25"/>
          <w:rFonts w:hint="eastAsia"/>
          <w:sz w:val="24"/>
        </w:rPr>
        <w:t>第三章</w:t>
      </w:r>
      <w:r>
        <w:rPr>
          <w:rStyle w:val="25"/>
          <w:sz w:val="24"/>
        </w:rPr>
        <w:t xml:space="preserve"> </w:t>
      </w:r>
      <w:r>
        <w:rPr>
          <w:rStyle w:val="25"/>
          <w:rFonts w:hint="eastAsia"/>
          <w:sz w:val="24"/>
        </w:rPr>
        <w:t>提升城乡公共文化服务水平</w:t>
      </w:r>
      <w:r>
        <w:rPr>
          <w:sz w:val="24"/>
        </w:rPr>
        <w:tab/>
      </w:r>
      <w:r>
        <w:rPr>
          <w:sz w:val="24"/>
        </w:rPr>
        <w:fldChar w:fldCharType="begin"/>
      </w:r>
      <w:r>
        <w:rPr>
          <w:sz w:val="24"/>
        </w:rPr>
        <w:instrText xml:space="preserve"> PAGEREF _Toc82624320 \h </w:instrText>
      </w:r>
      <w:r>
        <w:rPr>
          <w:sz w:val="24"/>
        </w:rPr>
        <w:fldChar w:fldCharType="separate"/>
      </w:r>
      <w:r>
        <w:rPr>
          <w:sz w:val="24"/>
        </w:rPr>
        <w:t>- 16 -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"_Toc82624321" </w:instrText>
      </w:r>
      <w:r>
        <w:fldChar w:fldCharType="separate"/>
      </w:r>
      <w:r>
        <w:rPr>
          <w:rStyle w:val="25"/>
          <w:rFonts w:hint="eastAsia"/>
          <w:sz w:val="24"/>
        </w:rPr>
        <w:t>第一节</w:t>
      </w:r>
      <w:r>
        <w:rPr>
          <w:rStyle w:val="25"/>
          <w:sz w:val="24"/>
        </w:rPr>
        <w:t xml:space="preserve"> </w:t>
      </w:r>
      <w:r>
        <w:rPr>
          <w:rStyle w:val="25"/>
          <w:rFonts w:hint="eastAsia"/>
          <w:sz w:val="24"/>
        </w:rPr>
        <w:t>提高社会文明程度</w:t>
      </w:r>
      <w:r>
        <w:rPr>
          <w:sz w:val="24"/>
        </w:rPr>
        <w:tab/>
      </w:r>
      <w:r>
        <w:rPr>
          <w:sz w:val="24"/>
        </w:rPr>
        <w:fldChar w:fldCharType="begin"/>
      </w:r>
      <w:r>
        <w:rPr>
          <w:sz w:val="24"/>
        </w:rPr>
        <w:instrText xml:space="preserve"> PAGEREF _Toc82624321 \h </w:instrText>
      </w:r>
      <w:r>
        <w:rPr>
          <w:sz w:val="24"/>
        </w:rPr>
        <w:fldChar w:fldCharType="separate"/>
      </w:r>
      <w:r>
        <w:rPr>
          <w:sz w:val="24"/>
        </w:rPr>
        <w:t>- 16 -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"_Toc82624322" </w:instrText>
      </w:r>
      <w:r>
        <w:fldChar w:fldCharType="separate"/>
      </w:r>
      <w:r>
        <w:rPr>
          <w:rStyle w:val="25"/>
          <w:rFonts w:hint="eastAsia"/>
          <w:sz w:val="24"/>
        </w:rPr>
        <w:t>第二节</w:t>
      </w:r>
      <w:r>
        <w:rPr>
          <w:rStyle w:val="25"/>
          <w:sz w:val="24"/>
        </w:rPr>
        <w:t xml:space="preserve"> </w:t>
      </w:r>
      <w:r>
        <w:rPr>
          <w:rStyle w:val="25"/>
          <w:rFonts w:hint="eastAsia"/>
          <w:sz w:val="24"/>
        </w:rPr>
        <w:t>完善公共文化服务设施</w:t>
      </w:r>
      <w:r>
        <w:rPr>
          <w:sz w:val="24"/>
        </w:rPr>
        <w:tab/>
      </w:r>
      <w:r>
        <w:rPr>
          <w:sz w:val="24"/>
        </w:rPr>
        <w:fldChar w:fldCharType="begin"/>
      </w:r>
      <w:r>
        <w:rPr>
          <w:sz w:val="24"/>
        </w:rPr>
        <w:instrText xml:space="preserve"> PAGEREF _Toc82624322 \h </w:instrText>
      </w:r>
      <w:r>
        <w:rPr>
          <w:sz w:val="24"/>
        </w:rPr>
        <w:fldChar w:fldCharType="separate"/>
      </w:r>
      <w:r>
        <w:rPr>
          <w:sz w:val="24"/>
        </w:rPr>
        <w:t>- 17 -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"_Toc82624323" </w:instrText>
      </w:r>
      <w:r>
        <w:fldChar w:fldCharType="separate"/>
      </w:r>
      <w:r>
        <w:rPr>
          <w:rStyle w:val="25"/>
          <w:rFonts w:hint="eastAsia"/>
          <w:sz w:val="24"/>
        </w:rPr>
        <w:t>第三节</w:t>
      </w:r>
      <w:r>
        <w:rPr>
          <w:rStyle w:val="25"/>
          <w:sz w:val="24"/>
        </w:rPr>
        <w:t xml:space="preserve"> </w:t>
      </w:r>
      <w:r>
        <w:rPr>
          <w:rStyle w:val="25"/>
          <w:rFonts w:hint="eastAsia"/>
          <w:sz w:val="24"/>
        </w:rPr>
        <w:t>丰富公共文化服务产品</w:t>
      </w:r>
      <w:r>
        <w:rPr>
          <w:sz w:val="24"/>
        </w:rPr>
        <w:tab/>
      </w:r>
      <w:r>
        <w:rPr>
          <w:sz w:val="24"/>
        </w:rPr>
        <w:fldChar w:fldCharType="begin"/>
      </w:r>
      <w:r>
        <w:rPr>
          <w:sz w:val="24"/>
        </w:rPr>
        <w:instrText xml:space="preserve"> PAGEREF _Toc82624323 \h </w:instrText>
      </w:r>
      <w:r>
        <w:rPr>
          <w:sz w:val="24"/>
        </w:rPr>
        <w:fldChar w:fldCharType="separate"/>
      </w:r>
      <w:r>
        <w:rPr>
          <w:sz w:val="24"/>
        </w:rPr>
        <w:t>- 18 -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"_Toc82624324" </w:instrText>
      </w:r>
      <w:r>
        <w:fldChar w:fldCharType="separate"/>
      </w:r>
      <w:r>
        <w:rPr>
          <w:rStyle w:val="25"/>
          <w:rFonts w:hint="eastAsia"/>
          <w:sz w:val="24"/>
        </w:rPr>
        <w:t>第四节</w:t>
      </w:r>
      <w:r>
        <w:rPr>
          <w:rStyle w:val="25"/>
          <w:sz w:val="24"/>
        </w:rPr>
        <w:t xml:space="preserve"> </w:t>
      </w:r>
      <w:r>
        <w:rPr>
          <w:rStyle w:val="25"/>
          <w:rFonts w:hint="eastAsia"/>
          <w:sz w:val="24"/>
        </w:rPr>
        <w:t>提升公共文化服务智慧化水平</w:t>
      </w:r>
      <w:r>
        <w:rPr>
          <w:sz w:val="24"/>
        </w:rPr>
        <w:tab/>
      </w:r>
      <w:r>
        <w:rPr>
          <w:sz w:val="24"/>
        </w:rPr>
        <w:fldChar w:fldCharType="begin"/>
      </w:r>
      <w:r>
        <w:rPr>
          <w:sz w:val="24"/>
        </w:rPr>
        <w:instrText xml:space="preserve"> PAGEREF _Toc82624324 \h </w:instrText>
      </w:r>
      <w:r>
        <w:rPr>
          <w:sz w:val="24"/>
        </w:rPr>
        <w:fldChar w:fldCharType="separate"/>
      </w:r>
      <w:r>
        <w:rPr>
          <w:sz w:val="24"/>
        </w:rPr>
        <w:t>- 19 -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"_Toc82624325" </w:instrText>
      </w:r>
      <w:r>
        <w:fldChar w:fldCharType="separate"/>
      </w:r>
      <w:r>
        <w:rPr>
          <w:rStyle w:val="25"/>
          <w:rFonts w:hint="eastAsia"/>
          <w:sz w:val="24"/>
        </w:rPr>
        <w:t>第四章</w:t>
      </w:r>
      <w:r>
        <w:rPr>
          <w:rStyle w:val="25"/>
          <w:sz w:val="24"/>
        </w:rPr>
        <w:t xml:space="preserve"> </w:t>
      </w:r>
      <w:r>
        <w:rPr>
          <w:rStyle w:val="25"/>
          <w:rFonts w:hint="eastAsia"/>
          <w:sz w:val="24"/>
        </w:rPr>
        <w:t>推进文化保护和传承</w:t>
      </w:r>
      <w:r>
        <w:rPr>
          <w:sz w:val="24"/>
        </w:rPr>
        <w:tab/>
      </w:r>
      <w:r>
        <w:rPr>
          <w:sz w:val="24"/>
        </w:rPr>
        <w:fldChar w:fldCharType="begin"/>
      </w:r>
      <w:r>
        <w:rPr>
          <w:sz w:val="24"/>
        </w:rPr>
        <w:instrText xml:space="preserve"> PAGEREF _Toc82624325 \h </w:instrText>
      </w:r>
      <w:r>
        <w:rPr>
          <w:sz w:val="24"/>
        </w:rPr>
        <w:fldChar w:fldCharType="separate"/>
      </w:r>
      <w:r>
        <w:rPr>
          <w:sz w:val="24"/>
        </w:rPr>
        <w:t>- 19 -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"_Toc82624326" </w:instrText>
      </w:r>
      <w:r>
        <w:fldChar w:fldCharType="separate"/>
      </w:r>
      <w:r>
        <w:rPr>
          <w:rStyle w:val="25"/>
          <w:rFonts w:hint="eastAsia"/>
          <w:sz w:val="24"/>
        </w:rPr>
        <w:t>第一节</w:t>
      </w:r>
      <w:r>
        <w:rPr>
          <w:rStyle w:val="25"/>
          <w:sz w:val="24"/>
        </w:rPr>
        <w:t xml:space="preserve"> </w:t>
      </w:r>
      <w:r>
        <w:rPr>
          <w:rStyle w:val="25"/>
          <w:rFonts w:hint="eastAsia"/>
          <w:sz w:val="24"/>
        </w:rPr>
        <w:t>推进文物保护工作</w:t>
      </w:r>
      <w:r>
        <w:rPr>
          <w:sz w:val="24"/>
        </w:rPr>
        <w:tab/>
      </w:r>
      <w:r>
        <w:rPr>
          <w:sz w:val="24"/>
        </w:rPr>
        <w:fldChar w:fldCharType="begin"/>
      </w:r>
      <w:r>
        <w:rPr>
          <w:sz w:val="24"/>
        </w:rPr>
        <w:instrText xml:space="preserve"> PAGEREF _Toc82624326 \h </w:instrText>
      </w:r>
      <w:r>
        <w:rPr>
          <w:sz w:val="24"/>
        </w:rPr>
        <w:fldChar w:fldCharType="separate"/>
      </w:r>
      <w:r>
        <w:rPr>
          <w:sz w:val="24"/>
        </w:rPr>
        <w:t>- 20 -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"_Toc82624327" </w:instrText>
      </w:r>
      <w:r>
        <w:fldChar w:fldCharType="separate"/>
      </w:r>
      <w:r>
        <w:rPr>
          <w:rStyle w:val="25"/>
          <w:rFonts w:hint="eastAsia"/>
          <w:sz w:val="24"/>
        </w:rPr>
        <w:t>第二节</w:t>
      </w:r>
      <w:r>
        <w:rPr>
          <w:rStyle w:val="25"/>
          <w:sz w:val="24"/>
        </w:rPr>
        <w:t xml:space="preserve"> </w:t>
      </w:r>
      <w:r>
        <w:rPr>
          <w:rStyle w:val="25"/>
          <w:rFonts w:hint="eastAsia"/>
          <w:sz w:val="24"/>
        </w:rPr>
        <w:t>传承非物质文化遗产</w:t>
      </w:r>
      <w:r>
        <w:rPr>
          <w:sz w:val="24"/>
        </w:rPr>
        <w:tab/>
      </w:r>
      <w:r>
        <w:rPr>
          <w:sz w:val="24"/>
        </w:rPr>
        <w:fldChar w:fldCharType="begin"/>
      </w:r>
      <w:r>
        <w:rPr>
          <w:sz w:val="24"/>
        </w:rPr>
        <w:instrText xml:space="preserve"> PAGEREF _Toc82624327 \h </w:instrText>
      </w:r>
      <w:r>
        <w:rPr>
          <w:sz w:val="24"/>
        </w:rPr>
        <w:fldChar w:fldCharType="separate"/>
      </w:r>
      <w:r>
        <w:rPr>
          <w:sz w:val="24"/>
        </w:rPr>
        <w:t>- 20 -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"_Toc82624328" </w:instrText>
      </w:r>
      <w:r>
        <w:fldChar w:fldCharType="separate"/>
      </w:r>
      <w:r>
        <w:rPr>
          <w:rStyle w:val="25"/>
          <w:rFonts w:hint="eastAsia"/>
          <w:sz w:val="24"/>
        </w:rPr>
        <w:t>第三节</w:t>
      </w:r>
      <w:r>
        <w:rPr>
          <w:rStyle w:val="25"/>
          <w:sz w:val="24"/>
        </w:rPr>
        <w:t xml:space="preserve"> </w:t>
      </w:r>
      <w:r>
        <w:rPr>
          <w:rStyle w:val="25"/>
          <w:rFonts w:hint="eastAsia"/>
          <w:sz w:val="24"/>
        </w:rPr>
        <w:t>推进文化遗产活态利用</w:t>
      </w:r>
      <w:r>
        <w:rPr>
          <w:sz w:val="24"/>
        </w:rPr>
        <w:tab/>
      </w:r>
      <w:r>
        <w:rPr>
          <w:sz w:val="24"/>
        </w:rPr>
        <w:fldChar w:fldCharType="begin"/>
      </w:r>
      <w:r>
        <w:rPr>
          <w:sz w:val="24"/>
        </w:rPr>
        <w:instrText xml:space="preserve"> PAGEREF _Toc82624328 \h </w:instrText>
      </w:r>
      <w:r>
        <w:rPr>
          <w:sz w:val="24"/>
        </w:rPr>
        <w:fldChar w:fldCharType="separate"/>
      </w:r>
      <w:r>
        <w:rPr>
          <w:sz w:val="24"/>
        </w:rPr>
        <w:t>- 21 -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"_Toc82624329" </w:instrText>
      </w:r>
      <w:r>
        <w:fldChar w:fldCharType="separate"/>
      </w:r>
      <w:r>
        <w:rPr>
          <w:rStyle w:val="25"/>
          <w:rFonts w:hint="eastAsia"/>
          <w:sz w:val="24"/>
        </w:rPr>
        <w:t>第四节</w:t>
      </w:r>
      <w:r>
        <w:rPr>
          <w:rStyle w:val="25"/>
          <w:sz w:val="24"/>
        </w:rPr>
        <w:t xml:space="preserve"> </w:t>
      </w:r>
      <w:r>
        <w:rPr>
          <w:rStyle w:val="25"/>
          <w:rFonts w:hint="eastAsia"/>
          <w:sz w:val="24"/>
        </w:rPr>
        <w:t>争创世界文化品牌</w:t>
      </w:r>
      <w:r>
        <w:rPr>
          <w:sz w:val="24"/>
        </w:rPr>
        <w:tab/>
      </w:r>
      <w:r>
        <w:rPr>
          <w:sz w:val="24"/>
        </w:rPr>
        <w:fldChar w:fldCharType="begin"/>
      </w:r>
      <w:r>
        <w:rPr>
          <w:sz w:val="24"/>
        </w:rPr>
        <w:instrText xml:space="preserve"> PAGEREF _Toc82624329 \h </w:instrText>
      </w:r>
      <w:r>
        <w:rPr>
          <w:sz w:val="24"/>
        </w:rPr>
        <w:fldChar w:fldCharType="separate"/>
      </w:r>
      <w:r>
        <w:rPr>
          <w:sz w:val="24"/>
        </w:rPr>
        <w:t>- 22 -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"_Toc82624330" </w:instrText>
      </w:r>
      <w:r>
        <w:fldChar w:fldCharType="separate"/>
      </w:r>
      <w:r>
        <w:rPr>
          <w:rStyle w:val="25"/>
          <w:rFonts w:hint="eastAsia"/>
          <w:sz w:val="24"/>
        </w:rPr>
        <w:t>第五章</w:t>
      </w:r>
      <w:r>
        <w:rPr>
          <w:rStyle w:val="25"/>
          <w:sz w:val="24"/>
        </w:rPr>
        <w:t xml:space="preserve"> </w:t>
      </w:r>
      <w:r>
        <w:rPr>
          <w:rStyle w:val="25"/>
          <w:rFonts w:hint="eastAsia"/>
          <w:sz w:val="24"/>
        </w:rPr>
        <w:t>推动文艺繁荣发展</w:t>
      </w:r>
      <w:r>
        <w:rPr>
          <w:sz w:val="24"/>
        </w:rPr>
        <w:tab/>
      </w:r>
      <w:r>
        <w:rPr>
          <w:sz w:val="24"/>
        </w:rPr>
        <w:fldChar w:fldCharType="begin"/>
      </w:r>
      <w:r>
        <w:rPr>
          <w:sz w:val="24"/>
        </w:rPr>
        <w:instrText xml:space="preserve"> PAGEREF _Toc82624330 \h </w:instrText>
      </w:r>
      <w:r>
        <w:rPr>
          <w:sz w:val="24"/>
        </w:rPr>
        <w:fldChar w:fldCharType="separate"/>
      </w:r>
      <w:r>
        <w:rPr>
          <w:sz w:val="24"/>
        </w:rPr>
        <w:t>- 23 -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"_Toc82624331" </w:instrText>
      </w:r>
      <w:r>
        <w:fldChar w:fldCharType="separate"/>
      </w:r>
      <w:r>
        <w:rPr>
          <w:rStyle w:val="25"/>
          <w:rFonts w:hint="eastAsia"/>
          <w:sz w:val="24"/>
        </w:rPr>
        <w:t>第一节</w:t>
      </w:r>
      <w:r>
        <w:rPr>
          <w:rStyle w:val="25"/>
          <w:sz w:val="24"/>
        </w:rPr>
        <w:t xml:space="preserve"> </w:t>
      </w:r>
      <w:r>
        <w:rPr>
          <w:rStyle w:val="25"/>
          <w:rFonts w:hint="eastAsia"/>
          <w:sz w:val="24"/>
        </w:rPr>
        <w:t>实施重点文艺创作工程</w:t>
      </w:r>
      <w:r>
        <w:rPr>
          <w:sz w:val="24"/>
        </w:rPr>
        <w:tab/>
      </w:r>
      <w:r>
        <w:rPr>
          <w:sz w:val="24"/>
        </w:rPr>
        <w:fldChar w:fldCharType="begin"/>
      </w:r>
      <w:r>
        <w:rPr>
          <w:sz w:val="24"/>
        </w:rPr>
        <w:instrText xml:space="preserve"> PAGEREF _Toc82624331 \h </w:instrText>
      </w:r>
      <w:r>
        <w:rPr>
          <w:sz w:val="24"/>
        </w:rPr>
        <w:fldChar w:fldCharType="separate"/>
      </w:r>
      <w:r>
        <w:rPr>
          <w:sz w:val="24"/>
        </w:rPr>
        <w:t>- 23 -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"_Toc82624332" </w:instrText>
      </w:r>
      <w:r>
        <w:fldChar w:fldCharType="separate"/>
      </w:r>
      <w:r>
        <w:rPr>
          <w:rStyle w:val="25"/>
          <w:rFonts w:hint="eastAsia"/>
          <w:sz w:val="24"/>
        </w:rPr>
        <w:t>第二节</w:t>
      </w:r>
      <w:r>
        <w:rPr>
          <w:rStyle w:val="25"/>
          <w:sz w:val="24"/>
        </w:rPr>
        <w:t xml:space="preserve"> </w:t>
      </w:r>
      <w:r>
        <w:rPr>
          <w:rStyle w:val="25"/>
          <w:rFonts w:hint="eastAsia"/>
          <w:sz w:val="24"/>
        </w:rPr>
        <w:t>完善群众文艺组织网络</w:t>
      </w:r>
      <w:r>
        <w:rPr>
          <w:sz w:val="24"/>
        </w:rPr>
        <w:tab/>
      </w:r>
      <w:r>
        <w:rPr>
          <w:sz w:val="24"/>
        </w:rPr>
        <w:fldChar w:fldCharType="begin"/>
      </w:r>
      <w:r>
        <w:rPr>
          <w:sz w:val="24"/>
        </w:rPr>
        <w:instrText xml:space="preserve"> PAGEREF _Toc82624332 \h </w:instrText>
      </w:r>
      <w:r>
        <w:rPr>
          <w:sz w:val="24"/>
        </w:rPr>
        <w:fldChar w:fldCharType="separate"/>
      </w:r>
      <w:r>
        <w:rPr>
          <w:sz w:val="24"/>
        </w:rPr>
        <w:t>- 24 -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"_Toc82624333" </w:instrText>
      </w:r>
      <w:r>
        <w:fldChar w:fldCharType="separate"/>
      </w:r>
      <w:r>
        <w:rPr>
          <w:rStyle w:val="25"/>
          <w:rFonts w:hint="eastAsia"/>
          <w:sz w:val="24"/>
        </w:rPr>
        <w:t>第三节</w:t>
      </w:r>
      <w:r>
        <w:rPr>
          <w:rStyle w:val="25"/>
          <w:sz w:val="24"/>
        </w:rPr>
        <w:t xml:space="preserve"> </w:t>
      </w:r>
      <w:r>
        <w:rPr>
          <w:rStyle w:val="25"/>
          <w:rFonts w:hint="eastAsia"/>
          <w:sz w:val="24"/>
        </w:rPr>
        <w:t>推动文艺人才培养</w:t>
      </w:r>
      <w:r>
        <w:rPr>
          <w:sz w:val="24"/>
        </w:rPr>
        <w:tab/>
      </w:r>
      <w:r>
        <w:rPr>
          <w:sz w:val="24"/>
        </w:rPr>
        <w:fldChar w:fldCharType="begin"/>
      </w:r>
      <w:r>
        <w:rPr>
          <w:sz w:val="24"/>
        </w:rPr>
        <w:instrText xml:space="preserve"> PAGEREF _Toc82624333 \h </w:instrText>
      </w:r>
      <w:r>
        <w:rPr>
          <w:sz w:val="24"/>
        </w:rPr>
        <w:fldChar w:fldCharType="separate"/>
      </w:r>
      <w:r>
        <w:rPr>
          <w:sz w:val="24"/>
        </w:rPr>
        <w:t>- 25 -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"_Toc82624334" </w:instrText>
      </w:r>
      <w:r>
        <w:fldChar w:fldCharType="separate"/>
      </w:r>
      <w:r>
        <w:rPr>
          <w:rStyle w:val="25"/>
          <w:rFonts w:hint="eastAsia"/>
          <w:sz w:val="24"/>
        </w:rPr>
        <w:t>第四节</w:t>
      </w:r>
      <w:r>
        <w:rPr>
          <w:rStyle w:val="25"/>
          <w:sz w:val="24"/>
        </w:rPr>
        <w:t xml:space="preserve"> </w:t>
      </w:r>
      <w:r>
        <w:rPr>
          <w:rStyle w:val="25"/>
          <w:rFonts w:hint="eastAsia"/>
          <w:sz w:val="24"/>
        </w:rPr>
        <w:t>优化文艺创作环境</w:t>
      </w:r>
      <w:r>
        <w:rPr>
          <w:sz w:val="24"/>
        </w:rPr>
        <w:tab/>
      </w:r>
      <w:r>
        <w:rPr>
          <w:sz w:val="24"/>
        </w:rPr>
        <w:fldChar w:fldCharType="begin"/>
      </w:r>
      <w:r>
        <w:rPr>
          <w:sz w:val="24"/>
        </w:rPr>
        <w:instrText xml:space="preserve"> PAGEREF _Toc82624334 \h </w:instrText>
      </w:r>
      <w:r>
        <w:rPr>
          <w:sz w:val="24"/>
        </w:rPr>
        <w:fldChar w:fldCharType="separate"/>
      </w:r>
      <w:r>
        <w:rPr>
          <w:sz w:val="24"/>
        </w:rPr>
        <w:t>- 25 -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"_Toc82624335" </w:instrText>
      </w:r>
      <w:r>
        <w:fldChar w:fldCharType="separate"/>
      </w:r>
      <w:r>
        <w:rPr>
          <w:rStyle w:val="25"/>
          <w:rFonts w:hint="eastAsia"/>
          <w:sz w:val="24"/>
        </w:rPr>
        <w:t>第六章</w:t>
      </w:r>
      <w:r>
        <w:rPr>
          <w:rStyle w:val="25"/>
          <w:sz w:val="24"/>
        </w:rPr>
        <w:t xml:space="preserve"> </w:t>
      </w:r>
      <w:r>
        <w:rPr>
          <w:rStyle w:val="25"/>
          <w:rFonts w:hint="eastAsia"/>
          <w:sz w:val="24"/>
        </w:rPr>
        <w:t>推动文化产业发展</w:t>
      </w:r>
      <w:r>
        <w:rPr>
          <w:sz w:val="24"/>
        </w:rPr>
        <w:tab/>
      </w:r>
      <w:r>
        <w:rPr>
          <w:sz w:val="24"/>
        </w:rPr>
        <w:fldChar w:fldCharType="begin"/>
      </w:r>
      <w:r>
        <w:rPr>
          <w:sz w:val="24"/>
        </w:rPr>
        <w:instrText xml:space="preserve"> PAGEREF _Toc82624335 \h </w:instrText>
      </w:r>
      <w:r>
        <w:rPr>
          <w:sz w:val="24"/>
        </w:rPr>
        <w:fldChar w:fldCharType="separate"/>
      </w:r>
      <w:r>
        <w:rPr>
          <w:sz w:val="24"/>
        </w:rPr>
        <w:t>- 26 -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"_Toc82624336" </w:instrText>
      </w:r>
      <w:r>
        <w:fldChar w:fldCharType="separate"/>
      </w:r>
      <w:r>
        <w:rPr>
          <w:rStyle w:val="25"/>
          <w:rFonts w:hint="eastAsia" w:ascii="方正黑体_GBK" w:hAnsi="方正黑体_GBK" w:cs="方正黑体_GBK"/>
          <w:sz w:val="24"/>
        </w:rPr>
        <w:t>第一节</w:t>
      </w:r>
      <w:r>
        <w:rPr>
          <w:rStyle w:val="25"/>
          <w:rFonts w:ascii="方正黑体_GBK" w:hAnsi="方正黑体_GBK" w:cs="方正黑体_GBK"/>
          <w:sz w:val="24"/>
        </w:rPr>
        <w:t xml:space="preserve"> </w:t>
      </w:r>
      <w:r>
        <w:rPr>
          <w:rStyle w:val="25"/>
          <w:rFonts w:hint="eastAsia"/>
          <w:sz w:val="24"/>
        </w:rPr>
        <w:t>创新驱动文创产业发展</w:t>
      </w:r>
      <w:r>
        <w:rPr>
          <w:sz w:val="24"/>
        </w:rPr>
        <w:tab/>
      </w:r>
      <w:r>
        <w:rPr>
          <w:sz w:val="24"/>
        </w:rPr>
        <w:fldChar w:fldCharType="begin"/>
      </w:r>
      <w:r>
        <w:rPr>
          <w:sz w:val="24"/>
        </w:rPr>
        <w:instrText xml:space="preserve"> PAGEREF _Toc82624336 \h </w:instrText>
      </w:r>
      <w:r>
        <w:rPr>
          <w:sz w:val="24"/>
        </w:rPr>
        <w:fldChar w:fldCharType="separate"/>
      </w:r>
      <w:r>
        <w:rPr>
          <w:sz w:val="24"/>
        </w:rPr>
        <w:t>- 26 -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"_Toc82624337" </w:instrText>
      </w:r>
      <w:r>
        <w:fldChar w:fldCharType="separate"/>
      </w:r>
      <w:r>
        <w:rPr>
          <w:rStyle w:val="25"/>
          <w:rFonts w:hint="eastAsia"/>
          <w:sz w:val="24"/>
        </w:rPr>
        <w:t>第二节</w:t>
      </w:r>
      <w:r>
        <w:rPr>
          <w:rStyle w:val="25"/>
          <w:sz w:val="24"/>
        </w:rPr>
        <w:t xml:space="preserve"> </w:t>
      </w:r>
      <w:r>
        <w:rPr>
          <w:rStyle w:val="25"/>
          <w:rFonts w:hint="eastAsia"/>
          <w:sz w:val="24"/>
        </w:rPr>
        <w:t>推动文化产业集聚发展</w:t>
      </w:r>
      <w:r>
        <w:rPr>
          <w:sz w:val="24"/>
        </w:rPr>
        <w:tab/>
      </w:r>
      <w:r>
        <w:rPr>
          <w:sz w:val="24"/>
        </w:rPr>
        <w:fldChar w:fldCharType="begin"/>
      </w:r>
      <w:r>
        <w:rPr>
          <w:sz w:val="24"/>
        </w:rPr>
        <w:instrText xml:space="preserve"> PAGEREF _Toc82624337 \h </w:instrText>
      </w:r>
      <w:r>
        <w:rPr>
          <w:sz w:val="24"/>
        </w:rPr>
        <w:fldChar w:fldCharType="separate"/>
      </w:r>
      <w:r>
        <w:rPr>
          <w:sz w:val="24"/>
        </w:rPr>
        <w:t>- 27 -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"_Toc82624338" </w:instrText>
      </w:r>
      <w:r>
        <w:fldChar w:fldCharType="separate"/>
      </w:r>
      <w:r>
        <w:rPr>
          <w:rStyle w:val="25"/>
          <w:rFonts w:hint="eastAsia"/>
          <w:sz w:val="24"/>
        </w:rPr>
        <w:t>第三节</w:t>
      </w:r>
      <w:r>
        <w:rPr>
          <w:rStyle w:val="25"/>
          <w:sz w:val="24"/>
        </w:rPr>
        <w:t xml:space="preserve"> </w:t>
      </w:r>
      <w:r>
        <w:rPr>
          <w:rStyle w:val="25"/>
          <w:rFonts w:hint="eastAsia"/>
          <w:sz w:val="24"/>
        </w:rPr>
        <w:t>培育和促进文化消费</w:t>
      </w:r>
      <w:r>
        <w:rPr>
          <w:sz w:val="24"/>
        </w:rPr>
        <w:tab/>
      </w:r>
      <w:r>
        <w:rPr>
          <w:sz w:val="24"/>
        </w:rPr>
        <w:fldChar w:fldCharType="begin"/>
      </w:r>
      <w:r>
        <w:rPr>
          <w:sz w:val="24"/>
        </w:rPr>
        <w:instrText xml:space="preserve"> PAGEREF _Toc82624338 \h </w:instrText>
      </w:r>
      <w:r>
        <w:rPr>
          <w:sz w:val="24"/>
        </w:rPr>
        <w:fldChar w:fldCharType="separate"/>
      </w:r>
      <w:r>
        <w:rPr>
          <w:sz w:val="24"/>
        </w:rPr>
        <w:t>- 27 -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"_Toc82624339" </w:instrText>
      </w:r>
      <w:r>
        <w:fldChar w:fldCharType="separate"/>
      </w:r>
      <w:r>
        <w:rPr>
          <w:rStyle w:val="25"/>
          <w:rFonts w:hint="eastAsia"/>
          <w:sz w:val="24"/>
        </w:rPr>
        <w:t>第四节</w:t>
      </w:r>
      <w:r>
        <w:rPr>
          <w:rStyle w:val="25"/>
          <w:sz w:val="24"/>
        </w:rPr>
        <w:t xml:space="preserve"> </w:t>
      </w:r>
      <w:r>
        <w:rPr>
          <w:rStyle w:val="25"/>
          <w:rFonts w:hint="eastAsia"/>
          <w:sz w:val="24"/>
        </w:rPr>
        <w:t>健全文化产业市场体系</w:t>
      </w:r>
      <w:r>
        <w:rPr>
          <w:sz w:val="24"/>
        </w:rPr>
        <w:tab/>
      </w:r>
      <w:r>
        <w:rPr>
          <w:sz w:val="24"/>
        </w:rPr>
        <w:fldChar w:fldCharType="begin"/>
      </w:r>
      <w:r>
        <w:rPr>
          <w:sz w:val="24"/>
        </w:rPr>
        <w:instrText xml:space="preserve"> PAGEREF _Toc82624339 \h </w:instrText>
      </w:r>
      <w:r>
        <w:rPr>
          <w:sz w:val="24"/>
        </w:rPr>
        <w:fldChar w:fldCharType="separate"/>
      </w:r>
      <w:r>
        <w:rPr>
          <w:sz w:val="24"/>
        </w:rPr>
        <w:t>- 28 -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"_Toc82624340" </w:instrText>
      </w:r>
      <w:r>
        <w:fldChar w:fldCharType="separate"/>
      </w:r>
      <w:r>
        <w:rPr>
          <w:rStyle w:val="25"/>
          <w:rFonts w:hint="eastAsia"/>
          <w:sz w:val="24"/>
        </w:rPr>
        <w:t>第七章</w:t>
      </w:r>
      <w:r>
        <w:rPr>
          <w:rStyle w:val="25"/>
          <w:sz w:val="24"/>
        </w:rPr>
        <w:t xml:space="preserve"> </w:t>
      </w:r>
      <w:r>
        <w:rPr>
          <w:rStyle w:val="25"/>
          <w:rFonts w:hint="eastAsia"/>
          <w:sz w:val="24"/>
        </w:rPr>
        <w:t>升级现代文化传播体系</w:t>
      </w:r>
      <w:r>
        <w:rPr>
          <w:sz w:val="24"/>
        </w:rPr>
        <w:tab/>
      </w:r>
      <w:r>
        <w:rPr>
          <w:sz w:val="24"/>
        </w:rPr>
        <w:fldChar w:fldCharType="begin"/>
      </w:r>
      <w:r>
        <w:rPr>
          <w:sz w:val="24"/>
        </w:rPr>
        <w:instrText xml:space="preserve"> PAGEREF _Toc82624340 \h </w:instrText>
      </w:r>
      <w:r>
        <w:rPr>
          <w:sz w:val="24"/>
        </w:rPr>
        <w:fldChar w:fldCharType="separate"/>
      </w:r>
      <w:r>
        <w:rPr>
          <w:sz w:val="24"/>
        </w:rPr>
        <w:t>- 29 -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"_Toc82624341" </w:instrText>
      </w:r>
      <w:r>
        <w:fldChar w:fldCharType="separate"/>
      </w:r>
      <w:r>
        <w:rPr>
          <w:rStyle w:val="25"/>
          <w:rFonts w:hint="eastAsia"/>
          <w:sz w:val="24"/>
        </w:rPr>
        <w:t>第一节</w:t>
      </w:r>
      <w:r>
        <w:rPr>
          <w:rStyle w:val="25"/>
          <w:sz w:val="24"/>
        </w:rPr>
        <w:t xml:space="preserve"> </w:t>
      </w:r>
      <w:r>
        <w:rPr>
          <w:rStyle w:val="25"/>
          <w:rFonts w:hint="eastAsia"/>
          <w:sz w:val="24"/>
        </w:rPr>
        <w:t>拓展现代文化传播阵地</w:t>
      </w:r>
      <w:r>
        <w:rPr>
          <w:sz w:val="24"/>
        </w:rPr>
        <w:tab/>
      </w:r>
      <w:r>
        <w:rPr>
          <w:sz w:val="24"/>
        </w:rPr>
        <w:fldChar w:fldCharType="begin"/>
      </w:r>
      <w:r>
        <w:rPr>
          <w:sz w:val="24"/>
        </w:rPr>
        <w:instrText xml:space="preserve"> PAGEREF _Toc82624341 \h </w:instrText>
      </w:r>
      <w:r>
        <w:rPr>
          <w:sz w:val="24"/>
        </w:rPr>
        <w:fldChar w:fldCharType="separate"/>
      </w:r>
      <w:r>
        <w:rPr>
          <w:sz w:val="24"/>
        </w:rPr>
        <w:t>- 29 -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"_Toc82624342" </w:instrText>
      </w:r>
      <w:r>
        <w:fldChar w:fldCharType="separate"/>
      </w:r>
      <w:r>
        <w:rPr>
          <w:rStyle w:val="25"/>
          <w:rFonts w:hint="eastAsia"/>
          <w:sz w:val="24"/>
        </w:rPr>
        <w:t>第二节</w:t>
      </w:r>
      <w:r>
        <w:rPr>
          <w:rStyle w:val="25"/>
          <w:sz w:val="24"/>
        </w:rPr>
        <w:t xml:space="preserve"> </w:t>
      </w:r>
      <w:r>
        <w:rPr>
          <w:rStyle w:val="25"/>
          <w:rFonts w:hint="eastAsia"/>
          <w:sz w:val="24"/>
        </w:rPr>
        <w:t>推进内容创作提质升级</w:t>
      </w:r>
      <w:r>
        <w:rPr>
          <w:sz w:val="24"/>
        </w:rPr>
        <w:tab/>
      </w:r>
      <w:r>
        <w:rPr>
          <w:sz w:val="24"/>
        </w:rPr>
        <w:fldChar w:fldCharType="begin"/>
      </w:r>
      <w:r>
        <w:rPr>
          <w:sz w:val="24"/>
        </w:rPr>
        <w:instrText xml:space="preserve"> PAGEREF _Toc82624342 \h </w:instrText>
      </w:r>
      <w:r>
        <w:rPr>
          <w:sz w:val="24"/>
        </w:rPr>
        <w:fldChar w:fldCharType="separate"/>
      </w:r>
      <w:r>
        <w:rPr>
          <w:sz w:val="24"/>
        </w:rPr>
        <w:t>- 30 -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"_Toc82624343" </w:instrText>
      </w:r>
      <w:r>
        <w:fldChar w:fldCharType="separate"/>
      </w:r>
      <w:r>
        <w:rPr>
          <w:rStyle w:val="25"/>
          <w:rFonts w:hint="eastAsia"/>
          <w:sz w:val="24"/>
        </w:rPr>
        <w:t>第三节</w:t>
      </w:r>
      <w:r>
        <w:rPr>
          <w:rStyle w:val="25"/>
          <w:sz w:val="24"/>
        </w:rPr>
        <w:t xml:space="preserve"> </w:t>
      </w:r>
      <w:r>
        <w:rPr>
          <w:rStyle w:val="25"/>
          <w:rFonts w:hint="eastAsia"/>
          <w:sz w:val="24"/>
        </w:rPr>
        <w:t>推动广电产业转型升级</w:t>
      </w:r>
      <w:r>
        <w:rPr>
          <w:sz w:val="24"/>
        </w:rPr>
        <w:tab/>
      </w:r>
      <w:r>
        <w:rPr>
          <w:sz w:val="24"/>
        </w:rPr>
        <w:fldChar w:fldCharType="begin"/>
      </w:r>
      <w:r>
        <w:rPr>
          <w:sz w:val="24"/>
        </w:rPr>
        <w:instrText xml:space="preserve"> PAGEREF _Toc82624343 \h </w:instrText>
      </w:r>
      <w:r>
        <w:rPr>
          <w:sz w:val="24"/>
        </w:rPr>
        <w:fldChar w:fldCharType="separate"/>
      </w:r>
      <w:r>
        <w:rPr>
          <w:sz w:val="24"/>
        </w:rPr>
        <w:t>- 30 -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"_Toc82624344" </w:instrText>
      </w:r>
      <w:r>
        <w:fldChar w:fldCharType="separate"/>
      </w:r>
      <w:r>
        <w:rPr>
          <w:rStyle w:val="25"/>
          <w:rFonts w:hint="eastAsia"/>
          <w:sz w:val="24"/>
        </w:rPr>
        <w:t>第四节</w:t>
      </w:r>
      <w:r>
        <w:rPr>
          <w:rStyle w:val="25"/>
          <w:sz w:val="24"/>
        </w:rPr>
        <w:t xml:space="preserve"> </w:t>
      </w:r>
      <w:r>
        <w:rPr>
          <w:rStyle w:val="25"/>
          <w:rFonts w:hint="eastAsia"/>
          <w:sz w:val="24"/>
        </w:rPr>
        <w:t>推进广电文旅融合发展</w:t>
      </w:r>
      <w:r>
        <w:rPr>
          <w:sz w:val="24"/>
        </w:rPr>
        <w:tab/>
      </w:r>
      <w:r>
        <w:rPr>
          <w:sz w:val="24"/>
        </w:rPr>
        <w:fldChar w:fldCharType="begin"/>
      </w:r>
      <w:r>
        <w:rPr>
          <w:sz w:val="24"/>
        </w:rPr>
        <w:instrText xml:space="preserve"> PAGEREF _Toc82624344 \h </w:instrText>
      </w:r>
      <w:r>
        <w:rPr>
          <w:sz w:val="24"/>
        </w:rPr>
        <w:fldChar w:fldCharType="separate"/>
      </w:r>
      <w:r>
        <w:rPr>
          <w:sz w:val="24"/>
        </w:rPr>
        <w:t>- 31 -</w:t>
      </w:r>
      <w:r>
        <w:rPr>
          <w:sz w:val="24"/>
        </w:rPr>
        <w:fldChar w:fldCharType="end"/>
      </w:r>
      <w:r>
        <w:rPr>
          <w:sz w:val="24"/>
        </w:rPr>
        <w:fldChar w:fldCharType="end"/>
      </w:r>
    </w:p>
    <w:p>
      <w:pPr>
        <w:pStyle w:val="15"/>
        <w:ind w:firstLine="562"/>
        <w:rPr>
          <w:rFonts w:asciiTheme="minorHAnsi" w:hAnsiTheme="minorHAnsi" w:eastAsiaTheme="minorEastAsia" w:cstheme="minorBidi"/>
          <w:b w:val="0"/>
          <w:sz w:val="22"/>
          <w:szCs w:val="22"/>
        </w:rPr>
      </w:pPr>
      <w:r>
        <w:fldChar w:fldCharType="begin"/>
      </w:r>
      <w:r>
        <w:instrText xml:space="preserve"> HYPERLINK \l "_Toc82624345" </w:instrText>
      </w:r>
      <w:r>
        <w:fldChar w:fldCharType="separate"/>
      </w:r>
      <w:r>
        <w:rPr>
          <w:rStyle w:val="25"/>
          <w:rFonts w:hint="eastAsia"/>
          <w:sz w:val="28"/>
        </w:rPr>
        <w:t>第三篇</w:t>
      </w:r>
      <w:r>
        <w:rPr>
          <w:rStyle w:val="25"/>
          <w:sz w:val="28"/>
        </w:rPr>
        <w:t xml:space="preserve"> </w:t>
      </w:r>
      <w:r>
        <w:rPr>
          <w:rStyle w:val="25"/>
          <w:rFonts w:hint="eastAsia"/>
          <w:sz w:val="28"/>
        </w:rPr>
        <w:t>加快国内外知名旅游目的地建设</w:t>
      </w:r>
      <w:r>
        <w:rPr>
          <w:sz w:val="28"/>
        </w:rPr>
        <w:tab/>
      </w:r>
      <w:r>
        <w:rPr>
          <w:sz w:val="28"/>
        </w:rPr>
        <w:fldChar w:fldCharType="begin"/>
      </w:r>
      <w:r>
        <w:rPr>
          <w:sz w:val="28"/>
        </w:rPr>
        <w:instrText xml:space="preserve"> PAGEREF _Toc82624345 \h </w:instrText>
      </w:r>
      <w:r>
        <w:rPr>
          <w:sz w:val="28"/>
        </w:rPr>
        <w:fldChar w:fldCharType="separate"/>
      </w:r>
      <w:r>
        <w:rPr>
          <w:sz w:val="28"/>
        </w:rPr>
        <w:t>- 32 -</w:t>
      </w:r>
      <w:r>
        <w:rPr>
          <w:sz w:val="28"/>
        </w:rPr>
        <w:fldChar w:fldCharType="end"/>
      </w:r>
      <w:r>
        <w:rPr>
          <w:sz w:val="28"/>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"_Toc82624346" </w:instrText>
      </w:r>
      <w:r>
        <w:fldChar w:fldCharType="separate"/>
      </w:r>
      <w:r>
        <w:rPr>
          <w:rStyle w:val="25"/>
          <w:rFonts w:hint="eastAsia"/>
          <w:sz w:val="24"/>
        </w:rPr>
        <w:t>第八章</w:t>
      </w:r>
      <w:r>
        <w:rPr>
          <w:rStyle w:val="25"/>
          <w:sz w:val="24"/>
        </w:rPr>
        <w:t xml:space="preserve"> </w:t>
      </w:r>
      <w:r>
        <w:rPr>
          <w:rStyle w:val="25"/>
          <w:rFonts w:hint="eastAsia"/>
          <w:sz w:val="24"/>
        </w:rPr>
        <w:t>拓展全域旅游体验产品</w:t>
      </w:r>
      <w:r>
        <w:rPr>
          <w:sz w:val="24"/>
        </w:rPr>
        <w:tab/>
      </w:r>
      <w:r>
        <w:rPr>
          <w:sz w:val="24"/>
        </w:rPr>
        <w:fldChar w:fldCharType="begin"/>
      </w:r>
      <w:r>
        <w:rPr>
          <w:sz w:val="24"/>
        </w:rPr>
        <w:instrText xml:space="preserve"> PAGEREF _Toc82624346 \h </w:instrText>
      </w:r>
      <w:r>
        <w:rPr>
          <w:sz w:val="24"/>
        </w:rPr>
        <w:fldChar w:fldCharType="separate"/>
      </w:r>
      <w:r>
        <w:rPr>
          <w:sz w:val="24"/>
        </w:rPr>
        <w:t>- 32 -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"_Toc82624347" </w:instrText>
      </w:r>
      <w:r>
        <w:fldChar w:fldCharType="separate"/>
      </w:r>
      <w:r>
        <w:rPr>
          <w:rStyle w:val="25"/>
          <w:rFonts w:hint="eastAsia"/>
          <w:sz w:val="24"/>
        </w:rPr>
        <w:t>第一节</w:t>
      </w:r>
      <w:r>
        <w:rPr>
          <w:rStyle w:val="25"/>
          <w:sz w:val="24"/>
        </w:rPr>
        <w:t xml:space="preserve"> </w:t>
      </w:r>
      <w:r>
        <w:rPr>
          <w:rStyle w:val="25"/>
          <w:rFonts w:hint="eastAsia"/>
          <w:sz w:val="24"/>
        </w:rPr>
        <w:t>打造三峡人文旅游之城</w:t>
      </w:r>
      <w:r>
        <w:rPr>
          <w:sz w:val="24"/>
        </w:rPr>
        <w:tab/>
      </w:r>
      <w:r>
        <w:rPr>
          <w:sz w:val="24"/>
        </w:rPr>
        <w:fldChar w:fldCharType="begin"/>
      </w:r>
      <w:r>
        <w:rPr>
          <w:sz w:val="24"/>
        </w:rPr>
        <w:instrText xml:space="preserve"> PAGEREF _Toc82624347 \h </w:instrText>
      </w:r>
      <w:r>
        <w:rPr>
          <w:sz w:val="24"/>
        </w:rPr>
        <w:fldChar w:fldCharType="separate"/>
      </w:r>
      <w:r>
        <w:rPr>
          <w:sz w:val="24"/>
        </w:rPr>
        <w:t>- 32 -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"_Toc82624348" </w:instrText>
      </w:r>
      <w:r>
        <w:fldChar w:fldCharType="separate"/>
      </w:r>
      <w:r>
        <w:rPr>
          <w:rStyle w:val="25"/>
          <w:rFonts w:hint="eastAsia"/>
          <w:sz w:val="24"/>
        </w:rPr>
        <w:t>第二节</w:t>
      </w:r>
      <w:r>
        <w:rPr>
          <w:rStyle w:val="25"/>
          <w:sz w:val="24"/>
        </w:rPr>
        <w:t xml:space="preserve"> </w:t>
      </w:r>
      <w:r>
        <w:rPr>
          <w:rStyle w:val="25"/>
          <w:rFonts w:hint="eastAsia"/>
          <w:sz w:val="24"/>
        </w:rPr>
        <w:t>打造世界恐龙之都</w:t>
      </w:r>
      <w:r>
        <w:rPr>
          <w:sz w:val="24"/>
        </w:rPr>
        <w:tab/>
      </w:r>
      <w:r>
        <w:rPr>
          <w:sz w:val="24"/>
        </w:rPr>
        <w:fldChar w:fldCharType="begin"/>
      </w:r>
      <w:r>
        <w:rPr>
          <w:sz w:val="24"/>
        </w:rPr>
        <w:instrText xml:space="preserve"> PAGEREF _Toc82624348 \h </w:instrText>
      </w:r>
      <w:r>
        <w:rPr>
          <w:sz w:val="24"/>
        </w:rPr>
        <w:fldChar w:fldCharType="separate"/>
      </w:r>
      <w:r>
        <w:rPr>
          <w:sz w:val="24"/>
        </w:rPr>
        <w:t>- 34 -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"_Toc82624349" </w:instrText>
      </w:r>
      <w:r>
        <w:fldChar w:fldCharType="separate"/>
      </w:r>
      <w:r>
        <w:rPr>
          <w:rStyle w:val="25"/>
          <w:rFonts w:hint="eastAsia"/>
          <w:sz w:val="24"/>
        </w:rPr>
        <w:t>第三节</w:t>
      </w:r>
      <w:r>
        <w:rPr>
          <w:rStyle w:val="25"/>
          <w:sz w:val="24"/>
        </w:rPr>
        <w:t xml:space="preserve"> </w:t>
      </w:r>
      <w:r>
        <w:rPr>
          <w:rStyle w:val="25"/>
          <w:rFonts w:hint="eastAsia"/>
          <w:sz w:val="24"/>
        </w:rPr>
        <w:t>打造地质旅居目的地</w:t>
      </w:r>
      <w:r>
        <w:rPr>
          <w:sz w:val="24"/>
        </w:rPr>
        <w:tab/>
      </w:r>
      <w:r>
        <w:rPr>
          <w:sz w:val="24"/>
        </w:rPr>
        <w:fldChar w:fldCharType="begin"/>
      </w:r>
      <w:r>
        <w:rPr>
          <w:sz w:val="24"/>
        </w:rPr>
        <w:instrText xml:space="preserve"> PAGEREF _Toc82624349 \h </w:instrText>
      </w:r>
      <w:r>
        <w:rPr>
          <w:sz w:val="24"/>
        </w:rPr>
        <w:fldChar w:fldCharType="separate"/>
      </w:r>
      <w:r>
        <w:rPr>
          <w:sz w:val="24"/>
        </w:rPr>
        <w:t>- 35 -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"_Toc82624350" </w:instrText>
      </w:r>
      <w:r>
        <w:fldChar w:fldCharType="separate"/>
      </w:r>
      <w:r>
        <w:rPr>
          <w:rStyle w:val="25"/>
          <w:rFonts w:hint="eastAsia"/>
          <w:sz w:val="24"/>
        </w:rPr>
        <w:t>第四节</w:t>
      </w:r>
      <w:r>
        <w:rPr>
          <w:rStyle w:val="25"/>
          <w:sz w:val="24"/>
        </w:rPr>
        <w:t xml:space="preserve"> </w:t>
      </w:r>
      <w:r>
        <w:rPr>
          <w:rStyle w:val="25"/>
          <w:rFonts w:hint="eastAsia"/>
          <w:sz w:val="24"/>
        </w:rPr>
        <w:t>打造生态康体目的地</w:t>
      </w:r>
      <w:r>
        <w:rPr>
          <w:sz w:val="24"/>
        </w:rPr>
        <w:tab/>
      </w:r>
      <w:r>
        <w:rPr>
          <w:sz w:val="24"/>
        </w:rPr>
        <w:fldChar w:fldCharType="begin"/>
      </w:r>
      <w:r>
        <w:rPr>
          <w:sz w:val="24"/>
        </w:rPr>
        <w:instrText xml:space="preserve"> PAGEREF _Toc82624350 \h </w:instrText>
      </w:r>
      <w:r>
        <w:rPr>
          <w:sz w:val="24"/>
        </w:rPr>
        <w:fldChar w:fldCharType="separate"/>
      </w:r>
      <w:r>
        <w:rPr>
          <w:sz w:val="24"/>
        </w:rPr>
        <w:t>- 36 -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"_Toc82624351" </w:instrText>
      </w:r>
      <w:r>
        <w:fldChar w:fldCharType="separate"/>
      </w:r>
      <w:r>
        <w:rPr>
          <w:rStyle w:val="25"/>
          <w:rFonts w:hint="eastAsia"/>
          <w:sz w:val="24"/>
        </w:rPr>
        <w:t>第五节</w:t>
      </w:r>
      <w:r>
        <w:rPr>
          <w:rStyle w:val="25"/>
          <w:sz w:val="24"/>
        </w:rPr>
        <w:t xml:space="preserve"> </w:t>
      </w:r>
      <w:r>
        <w:rPr>
          <w:rStyle w:val="25"/>
          <w:rFonts w:hint="eastAsia"/>
          <w:sz w:val="24"/>
        </w:rPr>
        <w:t>打造农创体验目的地</w:t>
      </w:r>
      <w:r>
        <w:rPr>
          <w:sz w:val="24"/>
        </w:rPr>
        <w:tab/>
      </w:r>
      <w:r>
        <w:rPr>
          <w:sz w:val="24"/>
        </w:rPr>
        <w:fldChar w:fldCharType="begin"/>
      </w:r>
      <w:r>
        <w:rPr>
          <w:sz w:val="24"/>
        </w:rPr>
        <w:instrText xml:space="preserve"> PAGEREF _Toc82624351 \h </w:instrText>
      </w:r>
      <w:r>
        <w:rPr>
          <w:sz w:val="24"/>
        </w:rPr>
        <w:fldChar w:fldCharType="separate"/>
      </w:r>
      <w:r>
        <w:rPr>
          <w:sz w:val="24"/>
        </w:rPr>
        <w:t>- 37 -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"_Toc82624352" </w:instrText>
      </w:r>
      <w:r>
        <w:fldChar w:fldCharType="separate"/>
      </w:r>
      <w:r>
        <w:rPr>
          <w:rStyle w:val="25"/>
          <w:rFonts w:hint="eastAsia"/>
          <w:sz w:val="24"/>
        </w:rPr>
        <w:t>第六节</w:t>
      </w:r>
      <w:r>
        <w:rPr>
          <w:rStyle w:val="25"/>
          <w:sz w:val="24"/>
        </w:rPr>
        <w:t xml:space="preserve"> </w:t>
      </w:r>
      <w:r>
        <w:rPr>
          <w:rStyle w:val="25"/>
          <w:rFonts w:hint="eastAsia"/>
          <w:sz w:val="24"/>
        </w:rPr>
        <w:t>拓展</w:t>
      </w:r>
      <w:r>
        <w:rPr>
          <w:rStyle w:val="25"/>
          <w:sz w:val="24"/>
        </w:rPr>
        <w:t>全域</w:t>
      </w:r>
      <w:r>
        <w:rPr>
          <w:rStyle w:val="25"/>
          <w:rFonts w:hint="eastAsia"/>
          <w:sz w:val="24"/>
        </w:rPr>
        <w:t>体验</w:t>
      </w:r>
      <w:r>
        <w:rPr>
          <w:rStyle w:val="25"/>
          <w:sz w:val="24"/>
        </w:rPr>
        <w:t>产品</w:t>
      </w:r>
      <w:r>
        <w:rPr>
          <w:sz w:val="24"/>
        </w:rPr>
        <w:tab/>
      </w:r>
      <w:r>
        <w:rPr>
          <w:sz w:val="24"/>
        </w:rPr>
        <w:fldChar w:fldCharType="begin"/>
      </w:r>
      <w:r>
        <w:rPr>
          <w:sz w:val="24"/>
        </w:rPr>
        <w:instrText xml:space="preserve"> PAGEREF _Toc82624352 \h </w:instrText>
      </w:r>
      <w:r>
        <w:rPr>
          <w:sz w:val="24"/>
        </w:rPr>
        <w:fldChar w:fldCharType="separate"/>
      </w:r>
      <w:r>
        <w:rPr>
          <w:sz w:val="24"/>
        </w:rPr>
        <w:t>- 38 -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"_Toc82624353" </w:instrText>
      </w:r>
      <w:r>
        <w:fldChar w:fldCharType="separate"/>
      </w:r>
      <w:r>
        <w:rPr>
          <w:rStyle w:val="25"/>
          <w:rFonts w:hint="eastAsia"/>
          <w:sz w:val="24"/>
        </w:rPr>
        <w:t>第九章</w:t>
      </w:r>
      <w:r>
        <w:rPr>
          <w:rStyle w:val="25"/>
          <w:sz w:val="24"/>
        </w:rPr>
        <w:t xml:space="preserve"> </w:t>
      </w:r>
      <w:r>
        <w:rPr>
          <w:rStyle w:val="25"/>
          <w:rFonts w:hint="eastAsia"/>
          <w:sz w:val="24"/>
        </w:rPr>
        <w:t>提升文旅接待品质</w:t>
      </w:r>
      <w:r>
        <w:rPr>
          <w:sz w:val="24"/>
        </w:rPr>
        <w:tab/>
      </w:r>
      <w:r>
        <w:rPr>
          <w:sz w:val="24"/>
        </w:rPr>
        <w:fldChar w:fldCharType="begin"/>
      </w:r>
      <w:r>
        <w:rPr>
          <w:sz w:val="24"/>
        </w:rPr>
        <w:instrText xml:space="preserve"> PAGEREF _Toc82624353 \h </w:instrText>
      </w:r>
      <w:r>
        <w:rPr>
          <w:sz w:val="24"/>
        </w:rPr>
        <w:fldChar w:fldCharType="separate"/>
      </w:r>
      <w:r>
        <w:rPr>
          <w:sz w:val="24"/>
        </w:rPr>
        <w:t>- 40 -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"_Toc82624354" </w:instrText>
      </w:r>
      <w:r>
        <w:fldChar w:fldCharType="separate"/>
      </w:r>
      <w:r>
        <w:rPr>
          <w:rStyle w:val="25"/>
          <w:rFonts w:hint="eastAsia"/>
          <w:sz w:val="24"/>
        </w:rPr>
        <w:t>第一节</w:t>
      </w:r>
      <w:r>
        <w:rPr>
          <w:rStyle w:val="25"/>
          <w:sz w:val="24"/>
        </w:rPr>
        <w:t xml:space="preserve"> </w:t>
      </w:r>
      <w:r>
        <w:rPr>
          <w:rStyle w:val="25"/>
          <w:rFonts w:hint="eastAsia"/>
          <w:sz w:val="24"/>
        </w:rPr>
        <w:t>打造高品质旅游接待服务</w:t>
      </w:r>
      <w:r>
        <w:rPr>
          <w:sz w:val="24"/>
        </w:rPr>
        <w:tab/>
      </w:r>
      <w:r>
        <w:rPr>
          <w:sz w:val="24"/>
        </w:rPr>
        <w:fldChar w:fldCharType="begin"/>
      </w:r>
      <w:r>
        <w:rPr>
          <w:sz w:val="24"/>
        </w:rPr>
        <w:instrText xml:space="preserve"> PAGEREF _Toc82624354 \h </w:instrText>
      </w:r>
      <w:r>
        <w:rPr>
          <w:sz w:val="24"/>
        </w:rPr>
        <w:fldChar w:fldCharType="separate"/>
      </w:r>
      <w:r>
        <w:rPr>
          <w:sz w:val="24"/>
        </w:rPr>
        <w:t>- 41 -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"_Toc82624355" </w:instrText>
      </w:r>
      <w:r>
        <w:fldChar w:fldCharType="separate"/>
      </w:r>
      <w:r>
        <w:rPr>
          <w:rStyle w:val="25"/>
          <w:rFonts w:hint="eastAsia"/>
          <w:sz w:val="24"/>
        </w:rPr>
        <w:t>第二节</w:t>
      </w:r>
      <w:r>
        <w:rPr>
          <w:rStyle w:val="25"/>
          <w:sz w:val="24"/>
        </w:rPr>
        <w:t xml:space="preserve"> </w:t>
      </w:r>
      <w:r>
        <w:rPr>
          <w:rStyle w:val="25"/>
          <w:rFonts w:hint="eastAsia"/>
          <w:sz w:val="24"/>
        </w:rPr>
        <w:t>争创文旅消费试点城市</w:t>
      </w:r>
      <w:r>
        <w:rPr>
          <w:sz w:val="24"/>
        </w:rPr>
        <w:tab/>
      </w:r>
      <w:r>
        <w:rPr>
          <w:sz w:val="24"/>
        </w:rPr>
        <w:fldChar w:fldCharType="begin"/>
      </w:r>
      <w:r>
        <w:rPr>
          <w:sz w:val="24"/>
        </w:rPr>
        <w:instrText xml:space="preserve"> PAGEREF _Toc82624355 \h </w:instrText>
      </w:r>
      <w:r>
        <w:rPr>
          <w:sz w:val="24"/>
        </w:rPr>
        <w:fldChar w:fldCharType="separate"/>
      </w:r>
      <w:r>
        <w:rPr>
          <w:sz w:val="24"/>
        </w:rPr>
        <w:t>- 42 -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"_Toc82624356" </w:instrText>
      </w:r>
      <w:r>
        <w:fldChar w:fldCharType="separate"/>
      </w:r>
      <w:r>
        <w:rPr>
          <w:rStyle w:val="25"/>
          <w:rFonts w:hint="eastAsia"/>
          <w:sz w:val="24"/>
        </w:rPr>
        <w:t>第三节</w:t>
      </w:r>
      <w:r>
        <w:rPr>
          <w:rStyle w:val="25"/>
          <w:sz w:val="24"/>
        </w:rPr>
        <w:t xml:space="preserve"> </w:t>
      </w:r>
      <w:r>
        <w:rPr>
          <w:rStyle w:val="25"/>
          <w:rFonts w:hint="eastAsia"/>
          <w:sz w:val="24"/>
        </w:rPr>
        <w:t>助推建设现代产业体系</w:t>
      </w:r>
      <w:r>
        <w:rPr>
          <w:sz w:val="24"/>
        </w:rPr>
        <w:tab/>
      </w:r>
      <w:r>
        <w:rPr>
          <w:sz w:val="24"/>
        </w:rPr>
        <w:fldChar w:fldCharType="begin"/>
      </w:r>
      <w:r>
        <w:rPr>
          <w:sz w:val="24"/>
        </w:rPr>
        <w:instrText xml:space="preserve"> PAGEREF _Toc82624356 \h </w:instrText>
      </w:r>
      <w:r>
        <w:rPr>
          <w:sz w:val="24"/>
        </w:rPr>
        <w:fldChar w:fldCharType="separate"/>
      </w:r>
      <w:r>
        <w:rPr>
          <w:sz w:val="24"/>
        </w:rPr>
        <w:t>- 43 -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"_Toc82624357" </w:instrText>
      </w:r>
      <w:r>
        <w:fldChar w:fldCharType="separate"/>
      </w:r>
      <w:r>
        <w:rPr>
          <w:rStyle w:val="25"/>
          <w:rFonts w:hint="eastAsia"/>
          <w:sz w:val="24"/>
        </w:rPr>
        <w:t>第十章</w:t>
      </w:r>
      <w:r>
        <w:rPr>
          <w:rStyle w:val="25"/>
          <w:sz w:val="24"/>
        </w:rPr>
        <w:t xml:space="preserve"> </w:t>
      </w:r>
      <w:r>
        <w:rPr>
          <w:rStyle w:val="25"/>
          <w:rFonts w:hint="eastAsia"/>
          <w:sz w:val="24"/>
        </w:rPr>
        <w:t>升级旅游配套设施</w:t>
      </w:r>
      <w:r>
        <w:rPr>
          <w:sz w:val="24"/>
        </w:rPr>
        <w:tab/>
      </w:r>
      <w:r>
        <w:rPr>
          <w:sz w:val="24"/>
        </w:rPr>
        <w:fldChar w:fldCharType="begin"/>
      </w:r>
      <w:r>
        <w:rPr>
          <w:sz w:val="24"/>
        </w:rPr>
        <w:instrText xml:space="preserve"> PAGEREF _Toc82624357 \h </w:instrText>
      </w:r>
      <w:r>
        <w:rPr>
          <w:sz w:val="24"/>
        </w:rPr>
        <w:fldChar w:fldCharType="separate"/>
      </w:r>
      <w:r>
        <w:rPr>
          <w:sz w:val="24"/>
        </w:rPr>
        <w:t>- 44 -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"_Toc82624358" </w:instrText>
      </w:r>
      <w:r>
        <w:fldChar w:fldCharType="separate"/>
      </w:r>
      <w:r>
        <w:rPr>
          <w:rStyle w:val="25"/>
          <w:rFonts w:hint="eastAsia"/>
          <w:sz w:val="24"/>
        </w:rPr>
        <w:t>第一节</w:t>
      </w:r>
      <w:r>
        <w:rPr>
          <w:rStyle w:val="25"/>
          <w:sz w:val="24"/>
        </w:rPr>
        <w:t xml:space="preserve"> </w:t>
      </w:r>
      <w:r>
        <w:rPr>
          <w:rStyle w:val="25"/>
          <w:rFonts w:hint="eastAsia"/>
          <w:sz w:val="24"/>
        </w:rPr>
        <w:t>推进云上智慧旅游系统建设</w:t>
      </w:r>
      <w:r>
        <w:rPr>
          <w:sz w:val="24"/>
        </w:rPr>
        <w:tab/>
      </w:r>
      <w:r>
        <w:rPr>
          <w:sz w:val="24"/>
        </w:rPr>
        <w:fldChar w:fldCharType="begin"/>
      </w:r>
      <w:r>
        <w:rPr>
          <w:sz w:val="24"/>
        </w:rPr>
        <w:instrText xml:space="preserve"> PAGEREF _Toc82624358 \h </w:instrText>
      </w:r>
      <w:r>
        <w:rPr>
          <w:sz w:val="24"/>
        </w:rPr>
        <w:fldChar w:fldCharType="separate"/>
      </w:r>
      <w:r>
        <w:rPr>
          <w:sz w:val="24"/>
        </w:rPr>
        <w:t>- 44 -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"_Toc82624359" </w:instrText>
      </w:r>
      <w:r>
        <w:fldChar w:fldCharType="separate"/>
      </w:r>
      <w:r>
        <w:rPr>
          <w:rStyle w:val="25"/>
          <w:rFonts w:hint="eastAsia" w:ascii="方正黑体_GBK" w:hAnsi="方正黑体_GBK" w:cs="方正黑体_GBK"/>
          <w:sz w:val="24"/>
        </w:rPr>
        <w:t>第二节</w:t>
      </w:r>
      <w:r>
        <w:rPr>
          <w:rStyle w:val="25"/>
          <w:rFonts w:ascii="方正黑体_GBK" w:hAnsi="方正黑体_GBK" w:cs="方正黑体_GBK"/>
          <w:sz w:val="24"/>
        </w:rPr>
        <w:t xml:space="preserve"> </w:t>
      </w:r>
      <w:r>
        <w:rPr>
          <w:rStyle w:val="25"/>
          <w:rFonts w:hint="eastAsia"/>
          <w:sz w:val="24"/>
        </w:rPr>
        <w:t>升级全域智慧集散系统</w:t>
      </w:r>
      <w:r>
        <w:rPr>
          <w:sz w:val="24"/>
        </w:rPr>
        <w:tab/>
      </w:r>
      <w:r>
        <w:rPr>
          <w:sz w:val="24"/>
        </w:rPr>
        <w:fldChar w:fldCharType="begin"/>
      </w:r>
      <w:r>
        <w:rPr>
          <w:sz w:val="24"/>
        </w:rPr>
        <w:instrText xml:space="preserve"> PAGEREF _Toc82624359 \h </w:instrText>
      </w:r>
      <w:r>
        <w:rPr>
          <w:sz w:val="24"/>
        </w:rPr>
        <w:fldChar w:fldCharType="separate"/>
      </w:r>
      <w:r>
        <w:rPr>
          <w:sz w:val="24"/>
        </w:rPr>
        <w:t>- 45 -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"_Toc82624360" </w:instrText>
      </w:r>
      <w:r>
        <w:fldChar w:fldCharType="separate"/>
      </w:r>
      <w:r>
        <w:rPr>
          <w:rStyle w:val="25"/>
          <w:rFonts w:hint="eastAsia" w:ascii="方正黑体_GBK" w:hAnsi="方正黑体_GBK" w:cs="方正黑体_GBK"/>
          <w:sz w:val="24"/>
        </w:rPr>
        <w:t>第三节</w:t>
      </w:r>
      <w:r>
        <w:rPr>
          <w:rStyle w:val="25"/>
          <w:rFonts w:ascii="方正黑体_GBK" w:hAnsi="方正黑体_GBK" w:cs="方正黑体_GBK"/>
          <w:sz w:val="24"/>
        </w:rPr>
        <w:t xml:space="preserve"> </w:t>
      </w:r>
      <w:r>
        <w:rPr>
          <w:rStyle w:val="25"/>
          <w:rFonts w:hint="eastAsia"/>
          <w:sz w:val="24"/>
        </w:rPr>
        <w:t>升级全域智慧导览系统</w:t>
      </w:r>
      <w:r>
        <w:rPr>
          <w:sz w:val="24"/>
        </w:rPr>
        <w:tab/>
      </w:r>
      <w:r>
        <w:rPr>
          <w:sz w:val="24"/>
        </w:rPr>
        <w:fldChar w:fldCharType="begin"/>
      </w:r>
      <w:r>
        <w:rPr>
          <w:sz w:val="24"/>
        </w:rPr>
        <w:instrText xml:space="preserve"> PAGEREF _Toc82624360 \h </w:instrText>
      </w:r>
      <w:r>
        <w:rPr>
          <w:sz w:val="24"/>
        </w:rPr>
        <w:fldChar w:fldCharType="separate"/>
      </w:r>
      <w:r>
        <w:rPr>
          <w:sz w:val="24"/>
        </w:rPr>
        <w:t>- 46 -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"_Toc82624361" </w:instrText>
      </w:r>
      <w:r>
        <w:fldChar w:fldCharType="separate"/>
      </w:r>
      <w:r>
        <w:rPr>
          <w:rStyle w:val="25"/>
          <w:rFonts w:hint="eastAsia"/>
          <w:sz w:val="24"/>
        </w:rPr>
        <w:t>第四节</w:t>
      </w:r>
      <w:r>
        <w:rPr>
          <w:rStyle w:val="25"/>
          <w:sz w:val="24"/>
        </w:rPr>
        <w:t xml:space="preserve"> </w:t>
      </w:r>
      <w:r>
        <w:rPr>
          <w:rStyle w:val="25"/>
          <w:rFonts w:hint="eastAsia"/>
          <w:sz w:val="24"/>
        </w:rPr>
        <w:t>推进旅游</w:t>
      </w:r>
      <w:r>
        <w:rPr>
          <w:rStyle w:val="25"/>
          <w:sz w:val="24"/>
        </w:rPr>
        <w:t>区服务设施升级</w:t>
      </w:r>
      <w:r>
        <w:rPr>
          <w:sz w:val="24"/>
        </w:rPr>
        <w:tab/>
      </w:r>
      <w:r>
        <w:rPr>
          <w:sz w:val="24"/>
        </w:rPr>
        <w:fldChar w:fldCharType="begin"/>
      </w:r>
      <w:r>
        <w:rPr>
          <w:sz w:val="24"/>
        </w:rPr>
        <w:instrText xml:space="preserve"> PAGEREF _Toc82624361 \h </w:instrText>
      </w:r>
      <w:r>
        <w:rPr>
          <w:sz w:val="24"/>
        </w:rPr>
        <w:fldChar w:fldCharType="separate"/>
      </w:r>
      <w:r>
        <w:rPr>
          <w:sz w:val="24"/>
        </w:rPr>
        <w:t>- 46 -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"_Toc82624362" </w:instrText>
      </w:r>
      <w:r>
        <w:fldChar w:fldCharType="separate"/>
      </w:r>
      <w:r>
        <w:rPr>
          <w:rStyle w:val="25"/>
          <w:rFonts w:hint="eastAsia"/>
          <w:sz w:val="24"/>
        </w:rPr>
        <w:t>第十一章</w:t>
      </w:r>
      <w:r>
        <w:rPr>
          <w:rStyle w:val="25"/>
          <w:sz w:val="24"/>
        </w:rPr>
        <w:t xml:space="preserve"> </w:t>
      </w:r>
      <w:r>
        <w:rPr>
          <w:rStyle w:val="25"/>
          <w:rFonts w:hint="eastAsia"/>
          <w:sz w:val="24"/>
        </w:rPr>
        <w:t>加强文旅品牌营销</w:t>
      </w:r>
      <w:r>
        <w:rPr>
          <w:sz w:val="24"/>
        </w:rPr>
        <w:tab/>
      </w:r>
      <w:r>
        <w:rPr>
          <w:sz w:val="24"/>
        </w:rPr>
        <w:fldChar w:fldCharType="begin"/>
      </w:r>
      <w:r>
        <w:rPr>
          <w:sz w:val="24"/>
        </w:rPr>
        <w:instrText xml:space="preserve"> PAGEREF _Toc82624362 \h </w:instrText>
      </w:r>
      <w:r>
        <w:rPr>
          <w:sz w:val="24"/>
        </w:rPr>
        <w:fldChar w:fldCharType="separate"/>
      </w:r>
      <w:r>
        <w:rPr>
          <w:sz w:val="24"/>
        </w:rPr>
        <w:t>- 47 -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"_Toc82624363" </w:instrText>
      </w:r>
      <w:r>
        <w:fldChar w:fldCharType="separate"/>
      </w:r>
      <w:r>
        <w:rPr>
          <w:rStyle w:val="25"/>
          <w:rFonts w:hint="eastAsia"/>
          <w:sz w:val="24"/>
        </w:rPr>
        <w:t>第一节</w:t>
      </w:r>
      <w:r>
        <w:rPr>
          <w:rStyle w:val="25"/>
          <w:sz w:val="24"/>
        </w:rPr>
        <w:t xml:space="preserve"> </w:t>
      </w:r>
      <w:r>
        <w:rPr>
          <w:rStyle w:val="25"/>
          <w:rFonts w:hint="eastAsia"/>
          <w:sz w:val="24"/>
        </w:rPr>
        <w:t>构建特色主题产品</w:t>
      </w:r>
      <w:r>
        <w:rPr>
          <w:sz w:val="24"/>
        </w:rPr>
        <w:tab/>
      </w:r>
      <w:r>
        <w:rPr>
          <w:sz w:val="24"/>
        </w:rPr>
        <w:fldChar w:fldCharType="begin"/>
      </w:r>
      <w:r>
        <w:rPr>
          <w:sz w:val="24"/>
        </w:rPr>
        <w:instrText xml:space="preserve"> PAGEREF _Toc82624363 \h </w:instrText>
      </w:r>
      <w:r>
        <w:rPr>
          <w:sz w:val="24"/>
        </w:rPr>
        <w:fldChar w:fldCharType="separate"/>
      </w:r>
      <w:r>
        <w:rPr>
          <w:sz w:val="24"/>
        </w:rPr>
        <w:t>- 47 -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"_Toc82624364" </w:instrText>
      </w:r>
      <w:r>
        <w:fldChar w:fldCharType="separate"/>
      </w:r>
      <w:r>
        <w:rPr>
          <w:rStyle w:val="25"/>
          <w:rFonts w:hint="eastAsia"/>
          <w:sz w:val="24"/>
        </w:rPr>
        <w:t>第二节</w:t>
      </w:r>
      <w:r>
        <w:rPr>
          <w:rStyle w:val="25"/>
          <w:sz w:val="24"/>
        </w:rPr>
        <w:t xml:space="preserve"> </w:t>
      </w:r>
      <w:r>
        <w:rPr>
          <w:rStyle w:val="25"/>
          <w:rFonts w:hint="eastAsia"/>
          <w:sz w:val="24"/>
        </w:rPr>
        <w:t>整合节事品牌营销</w:t>
      </w:r>
      <w:r>
        <w:rPr>
          <w:sz w:val="24"/>
        </w:rPr>
        <w:tab/>
      </w:r>
      <w:r>
        <w:rPr>
          <w:sz w:val="24"/>
        </w:rPr>
        <w:fldChar w:fldCharType="begin"/>
      </w:r>
      <w:r>
        <w:rPr>
          <w:sz w:val="24"/>
        </w:rPr>
        <w:instrText xml:space="preserve"> PAGEREF _Toc82624364 \h </w:instrText>
      </w:r>
      <w:r>
        <w:rPr>
          <w:sz w:val="24"/>
        </w:rPr>
        <w:fldChar w:fldCharType="separate"/>
      </w:r>
      <w:r>
        <w:rPr>
          <w:sz w:val="24"/>
        </w:rPr>
        <w:t>- 48 -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"_Toc82624365" </w:instrText>
      </w:r>
      <w:r>
        <w:fldChar w:fldCharType="separate"/>
      </w:r>
      <w:r>
        <w:rPr>
          <w:rStyle w:val="25"/>
          <w:rFonts w:hint="eastAsia"/>
          <w:sz w:val="24"/>
        </w:rPr>
        <w:t>第三节</w:t>
      </w:r>
      <w:r>
        <w:rPr>
          <w:rStyle w:val="25"/>
          <w:sz w:val="24"/>
        </w:rPr>
        <w:t xml:space="preserve"> </w:t>
      </w:r>
      <w:r>
        <w:rPr>
          <w:rStyle w:val="25"/>
          <w:rFonts w:hint="eastAsia"/>
          <w:sz w:val="24"/>
        </w:rPr>
        <w:t>构建旅游营销矩阵</w:t>
      </w:r>
      <w:r>
        <w:rPr>
          <w:sz w:val="24"/>
        </w:rPr>
        <w:tab/>
      </w:r>
      <w:r>
        <w:rPr>
          <w:sz w:val="24"/>
        </w:rPr>
        <w:fldChar w:fldCharType="begin"/>
      </w:r>
      <w:r>
        <w:rPr>
          <w:sz w:val="24"/>
        </w:rPr>
        <w:instrText xml:space="preserve"> PAGEREF _Toc82624365 \h </w:instrText>
      </w:r>
      <w:r>
        <w:rPr>
          <w:sz w:val="24"/>
        </w:rPr>
        <w:fldChar w:fldCharType="separate"/>
      </w:r>
      <w:r>
        <w:rPr>
          <w:sz w:val="24"/>
        </w:rPr>
        <w:t>- 49 -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"_Toc82624366" </w:instrText>
      </w:r>
      <w:r>
        <w:fldChar w:fldCharType="separate"/>
      </w:r>
      <w:r>
        <w:rPr>
          <w:rStyle w:val="25"/>
          <w:rFonts w:hint="eastAsia"/>
          <w:sz w:val="24"/>
        </w:rPr>
        <w:t>第十二章</w:t>
      </w:r>
      <w:r>
        <w:rPr>
          <w:rStyle w:val="25"/>
          <w:sz w:val="24"/>
        </w:rPr>
        <w:t xml:space="preserve"> </w:t>
      </w:r>
      <w:r>
        <w:rPr>
          <w:rStyle w:val="25"/>
          <w:rFonts w:hint="eastAsia"/>
          <w:sz w:val="24"/>
        </w:rPr>
        <w:t>推进文旅深度融合发展</w:t>
      </w:r>
      <w:r>
        <w:rPr>
          <w:sz w:val="24"/>
        </w:rPr>
        <w:tab/>
      </w:r>
      <w:r>
        <w:rPr>
          <w:sz w:val="24"/>
        </w:rPr>
        <w:fldChar w:fldCharType="begin"/>
      </w:r>
      <w:r>
        <w:rPr>
          <w:sz w:val="24"/>
        </w:rPr>
        <w:instrText xml:space="preserve"> PAGEREF _Toc82624366 \h </w:instrText>
      </w:r>
      <w:r>
        <w:rPr>
          <w:sz w:val="24"/>
        </w:rPr>
        <w:fldChar w:fldCharType="separate"/>
      </w:r>
      <w:r>
        <w:rPr>
          <w:sz w:val="24"/>
        </w:rPr>
        <w:t>- 50 -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"_Toc82624367" </w:instrText>
      </w:r>
      <w:r>
        <w:fldChar w:fldCharType="separate"/>
      </w:r>
      <w:r>
        <w:rPr>
          <w:rStyle w:val="25"/>
          <w:rFonts w:hint="eastAsia"/>
          <w:sz w:val="24"/>
        </w:rPr>
        <w:t>第一节</w:t>
      </w:r>
      <w:r>
        <w:rPr>
          <w:rStyle w:val="25"/>
          <w:sz w:val="24"/>
        </w:rPr>
        <w:t xml:space="preserve"> </w:t>
      </w:r>
      <w:r>
        <w:rPr>
          <w:rStyle w:val="25"/>
          <w:rFonts w:hint="eastAsia"/>
          <w:sz w:val="24"/>
        </w:rPr>
        <w:t>培塑旅游产品文化内涵</w:t>
      </w:r>
      <w:r>
        <w:rPr>
          <w:sz w:val="24"/>
        </w:rPr>
        <w:tab/>
      </w:r>
      <w:r>
        <w:rPr>
          <w:sz w:val="24"/>
        </w:rPr>
        <w:fldChar w:fldCharType="begin"/>
      </w:r>
      <w:r>
        <w:rPr>
          <w:sz w:val="24"/>
        </w:rPr>
        <w:instrText xml:space="preserve"> PAGEREF _Toc82624367 \h </w:instrText>
      </w:r>
      <w:r>
        <w:rPr>
          <w:sz w:val="24"/>
        </w:rPr>
        <w:fldChar w:fldCharType="separate"/>
      </w:r>
      <w:r>
        <w:rPr>
          <w:sz w:val="24"/>
        </w:rPr>
        <w:t>- 50 -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"_Toc82624368" </w:instrText>
      </w:r>
      <w:r>
        <w:fldChar w:fldCharType="separate"/>
      </w:r>
      <w:r>
        <w:rPr>
          <w:rStyle w:val="25"/>
          <w:rFonts w:hint="eastAsia"/>
          <w:sz w:val="24"/>
        </w:rPr>
        <w:t>第二节</w:t>
      </w:r>
      <w:r>
        <w:rPr>
          <w:rStyle w:val="25"/>
          <w:sz w:val="24"/>
        </w:rPr>
        <w:t xml:space="preserve"> </w:t>
      </w:r>
      <w:r>
        <w:rPr>
          <w:rStyle w:val="25"/>
          <w:rFonts w:hint="eastAsia"/>
          <w:sz w:val="24"/>
        </w:rPr>
        <w:t>推进文化设施旅游利用</w:t>
      </w:r>
      <w:r>
        <w:rPr>
          <w:sz w:val="24"/>
        </w:rPr>
        <w:tab/>
      </w:r>
      <w:r>
        <w:rPr>
          <w:sz w:val="24"/>
        </w:rPr>
        <w:fldChar w:fldCharType="begin"/>
      </w:r>
      <w:r>
        <w:rPr>
          <w:sz w:val="24"/>
        </w:rPr>
        <w:instrText xml:space="preserve"> PAGEREF _Toc82624368 \h </w:instrText>
      </w:r>
      <w:r>
        <w:rPr>
          <w:sz w:val="24"/>
        </w:rPr>
        <w:fldChar w:fldCharType="separate"/>
      </w:r>
      <w:r>
        <w:rPr>
          <w:sz w:val="24"/>
        </w:rPr>
        <w:t>- 51 -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"_Toc82624369" </w:instrText>
      </w:r>
      <w:r>
        <w:fldChar w:fldCharType="separate"/>
      </w:r>
      <w:r>
        <w:rPr>
          <w:rStyle w:val="25"/>
          <w:rFonts w:hint="eastAsia"/>
          <w:sz w:val="24"/>
        </w:rPr>
        <w:t>第三节</w:t>
      </w:r>
      <w:r>
        <w:rPr>
          <w:rStyle w:val="25"/>
          <w:sz w:val="24"/>
        </w:rPr>
        <w:t xml:space="preserve"> </w:t>
      </w:r>
      <w:r>
        <w:rPr>
          <w:rStyle w:val="25"/>
          <w:rFonts w:hint="eastAsia"/>
          <w:sz w:val="24"/>
        </w:rPr>
        <w:t>推动文旅融合体制机制创新</w:t>
      </w:r>
      <w:r>
        <w:rPr>
          <w:sz w:val="24"/>
        </w:rPr>
        <w:tab/>
      </w:r>
      <w:r>
        <w:rPr>
          <w:sz w:val="24"/>
        </w:rPr>
        <w:fldChar w:fldCharType="begin"/>
      </w:r>
      <w:r>
        <w:rPr>
          <w:sz w:val="24"/>
        </w:rPr>
        <w:instrText xml:space="preserve"> PAGEREF _Toc82624369 \h </w:instrText>
      </w:r>
      <w:r>
        <w:rPr>
          <w:sz w:val="24"/>
        </w:rPr>
        <w:fldChar w:fldCharType="separate"/>
      </w:r>
      <w:r>
        <w:rPr>
          <w:sz w:val="24"/>
        </w:rPr>
        <w:t>- 52 -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"_Toc82624370" </w:instrText>
      </w:r>
      <w:r>
        <w:fldChar w:fldCharType="separate"/>
      </w:r>
      <w:r>
        <w:rPr>
          <w:rStyle w:val="25"/>
          <w:rFonts w:hint="eastAsia"/>
          <w:sz w:val="24"/>
        </w:rPr>
        <w:t>第十三章</w:t>
      </w:r>
      <w:r>
        <w:rPr>
          <w:rStyle w:val="25"/>
          <w:sz w:val="24"/>
        </w:rPr>
        <w:t xml:space="preserve"> </w:t>
      </w:r>
      <w:r>
        <w:rPr>
          <w:rStyle w:val="25"/>
          <w:rFonts w:hint="eastAsia"/>
          <w:sz w:val="24"/>
        </w:rPr>
        <w:t>推动文旅区域联动发展</w:t>
      </w:r>
      <w:r>
        <w:rPr>
          <w:sz w:val="24"/>
        </w:rPr>
        <w:tab/>
      </w:r>
      <w:r>
        <w:rPr>
          <w:sz w:val="24"/>
        </w:rPr>
        <w:fldChar w:fldCharType="begin"/>
      </w:r>
      <w:r>
        <w:rPr>
          <w:sz w:val="24"/>
        </w:rPr>
        <w:instrText xml:space="preserve"> PAGEREF _Toc82624370 \h </w:instrText>
      </w:r>
      <w:r>
        <w:rPr>
          <w:sz w:val="24"/>
        </w:rPr>
        <w:fldChar w:fldCharType="separate"/>
      </w:r>
      <w:r>
        <w:rPr>
          <w:sz w:val="24"/>
        </w:rPr>
        <w:t>- 53 -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"_Toc82624371" </w:instrText>
      </w:r>
      <w:r>
        <w:fldChar w:fldCharType="separate"/>
      </w:r>
      <w:r>
        <w:rPr>
          <w:rStyle w:val="25"/>
          <w:rFonts w:hint="eastAsia"/>
          <w:sz w:val="24"/>
          <w:lang w:eastAsia="zh-Hans"/>
        </w:rPr>
        <w:t>第</w:t>
      </w:r>
      <w:r>
        <w:rPr>
          <w:rStyle w:val="25"/>
          <w:rFonts w:hint="eastAsia"/>
          <w:sz w:val="24"/>
        </w:rPr>
        <w:t>一</w:t>
      </w:r>
      <w:r>
        <w:rPr>
          <w:rStyle w:val="25"/>
          <w:rFonts w:hint="eastAsia"/>
          <w:sz w:val="24"/>
          <w:lang w:eastAsia="zh-Hans"/>
        </w:rPr>
        <w:t>节</w:t>
      </w:r>
      <w:r>
        <w:rPr>
          <w:rStyle w:val="25"/>
          <w:sz w:val="24"/>
          <w:lang w:eastAsia="zh-Hans"/>
        </w:rPr>
        <w:t xml:space="preserve"> </w:t>
      </w:r>
      <w:r>
        <w:rPr>
          <w:rStyle w:val="25"/>
          <w:rFonts w:hint="eastAsia"/>
          <w:sz w:val="24"/>
        </w:rPr>
        <w:t>构建区域文旅联动产品</w:t>
      </w:r>
      <w:r>
        <w:rPr>
          <w:sz w:val="24"/>
        </w:rPr>
        <w:tab/>
      </w:r>
      <w:r>
        <w:rPr>
          <w:sz w:val="24"/>
        </w:rPr>
        <w:fldChar w:fldCharType="begin"/>
      </w:r>
      <w:r>
        <w:rPr>
          <w:sz w:val="24"/>
        </w:rPr>
        <w:instrText xml:space="preserve"> PAGEREF _Toc82624371 \h </w:instrText>
      </w:r>
      <w:r>
        <w:rPr>
          <w:sz w:val="24"/>
        </w:rPr>
        <w:fldChar w:fldCharType="separate"/>
      </w:r>
      <w:r>
        <w:rPr>
          <w:sz w:val="24"/>
        </w:rPr>
        <w:t>- 53 -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"_Toc82624372" </w:instrText>
      </w:r>
      <w:r>
        <w:fldChar w:fldCharType="separate"/>
      </w:r>
      <w:r>
        <w:rPr>
          <w:rStyle w:val="25"/>
          <w:rFonts w:hint="eastAsia"/>
          <w:sz w:val="24"/>
          <w:lang w:eastAsia="zh-Hans"/>
        </w:rPr>
        <w:t>第</w:t>
      </w:r>
      <w:r>
        <w:rPr>
          <w:rStyle w:val="25"/>
          <w:rFonts w:hint="eastAsia"/>
          <w:sz w:val="24"/>
        </w:rPr>
        <w:t>二</w:t>
      </w:r>
      <w:r>
        <w:rPr>
          <w:rStyle w:val="25"/>
          <w:rFonts w:hint="eastAsia"/>
          <w:sz w:val="24"/>
          <w:lang w:eastAsia="zh-Hans"/>
        </w:rPr>
        <w:t>节</w:t>
      </w:r>
      <w:r>
        <w:rPr>
          <w:rStyle w:val="25"/>
          <w:sz w:val="24"/>
          <w:lang w:eastAsia="zh-Hans"/>
        </w:rPr>
        <w:t xml:space="preserve"> </w:t>
      </w:r>
      <w:r>
        <w:rPr>
          <w:rStyle w:val="25"/>
          <w:rFonts w:hint="eastAsia"/>
          <w:sz w:val="24"/>
          <w:lang w:eastAsia="zh-Hans"/>
        </w:rPr>
        <w:t>共推文旅基础设施互联互通</w:t>
      </w:r>
      <w:r>
        <w:rPr>
          <w:sz w:val="24"/>
        </w:rPr>
        <w:tab/>
      </w:r>
      <w:r>
        <w:rPr>
          <w:sz w:val="24"/>
        </w:rPr>
        <w:fldChar w:fldCharType="begin"/>
      </w:r>
      <w:r>
        <w:rPr>
          <w:sz w:val="24"/>
        </w:rPr>
        <w:instrText xml:space="preserve"> PAGEREF _Toc82624372 \h </w:instrText>
      </w:r>
      <w:r>
        <w:rPr>
          <w:sz w:val="24"/>
        </w:rPr>
        <w:fldChar w:fldCharType="separate"/>
      </w:r>
      <w:r>
        <w:rPr>
          <w:sz w:val="24"/>
        </w:rPr>
        <w:t>- 54 -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"_Toc82624373" </w:instrText>
      </w:r>
      <w:r>
        <w:fldChar w:fldCharType="separate"/>
      </w:r>
      <w:r>
        <w:rPr>
          <w:rStyle w:val="25"/>
          <w:rFonts w:hint="eastAsia"/>
          <w:sz w:val="24"/>
          <w:lang w:eastAsia="zh-Hans"/>
        </w:rPr>
        <w:t>第</w:t>
      </w:r>
      <w:r>
        <w:rPr>
          <w:rStyle w:val="25"/>
          <w:rFonts w:hint="eastAsia"/>
          <w:sz w:val="24"/>
        </w:rPr>
        <w:t>三</w:t>
      </w:r>
      <w:r>
        <w:rPr>
          <w:rStyle w:val="25"/>
          <w:rFonts w:hint="eastAsia"/>
          <w:sz w:val="24"/>
          <w:lang w:eastAsia="zh-Hans"/>
        </w:rPr>
        <w:t>节</w:t>
      </w:r>
      <w:r>
        <w:rPr>
          <w:rStyle w:val="25"/>
          <w:sz w:val="24"/>
          <w:lang w:eastAsia="zh-Hans"/>
        </w:rPr>
        <w:t xml:space="preserve"> </w:t>
      </w:r>
      <w:r>
        <w:rPr>
          <w:rStyle w:val="25"/>
          <w:rFonts w:hint="eastAsia"/>
          <w:sz w:val="24"/>
          <w:lang w:eastAsia="zh-Hans"/>
        </w:rPr>
        <w:t>共塑示范区文旅品牌形象</w:t>
      </w:r>
      <w:r>
        <w:rPr>
          <w:sz w:val="24"/>
        </w:rPr>
        <w:tab/>
      </w:r>
      <w:r>
        <w:rPr>
          <w:sz w:val="24"/>
        </w:rPr>
        <w:fldChar w:fldCharType="begin"/>
      </w:r>
      <w:r>
        <w:rPr>
          <w:sz w:val="24"/>
        </w:rPr>
        <w:instrText xml:space="preserve"> PAGEREF _Toc82624373 \h </w:instrText>
      </w:r>
      <w:r>
        <w:rPr>
          <w:sz w:val="24"/>
        </w:rPr>
        <w:fldChar w:fldCharType="separate"/>
      </w:r>
      <w:r>
        <w:rPr>
          <w:sz w:val="24"/>
        </w:rPr>
        <w:t>- 55 -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"_Toc82624374" </w:instrText>
      </w:r>
      <w:r>
        <w:fldChar w:fldCharType="separate"/>
      </w:r>
      <w:r>
        <w:rPr>
          <w:rStyle w:val="25"/>
          <w:rFonts w:hint="eastAsia"/>
          <w:sz w:val="24"/>
          <w:lang w:eastAsia="zh-Hans"/>
        </w:rPr>
        <w:t>第</w:t>
      </w:r>
      <w:r>
        <w:rPr>
          <w:rStyle w:val="25"/>
          <w:rFonts w:hint="eastAsia"/>
          <w:sz w:val="24"/>
        </w:rPr>
        <w:t>四</w:t>
      </w:r>
      <w:r>
        <w:rPr>
          <w:rStyle w:val="25"/>
          <w:rFonts w:hint="eastAsia"/>
          <w:sz w:val="24"/>
          <w:lang w:eastAsia="zh-Hans"/>
        </w:rPr>
        <w:t>节</w:t>
      </w:r>
      <w:r>
        <w:rPr>
          <w:rStyle w:val="25"/>
          <w:sz w:val="24"/>
          <w:lang w:eastAsia="zh-Hans"/>
        </w:rPr>
        <w:t xml:space="preserve"> </w:t>
      </w:r>
      <w:r>
        <w:rPr>
          <w:rStyle w:val="25"/>
          <w:rFonts w:hint="eastAsia"/>
          <w:sz w:val="24"/>
          <w:lang w:eastAsia="zh-Hans"/>
        </w:rPr>
        <w:t>建立区域文旅融合发展体制和保障机制</w:t>
      </w:r>
      <w:r>
        <w:rPr>
          <w:sz w:val="24"/>
        </w:rPr>
        <w:tab/>
      </w:r>
      <w:r>
        <w:rPr>
          <w:sz w:val="24"/>
        </w:rPr>
        <w:fldChar w:fldCharType="begin"/>
      </w:r>
      <w:r>
        <w:rPr>
          <w:sz w:val="24"/>
        </w:rPr>
        <w:instrText xml:space="preserve"> PAGEREF _Toc82624374 \h </w:instrText>
      </w:r>
      <w:r>
        <w:rPr>
          <w:sz w:val="24"/>
        </w:rPr>
        <w:fldChar w:fldCharType="separate"/>
      </w:r>
      <w:r>
        <w:rPr>
          <w:sz w:val="24"/>
        </w:rPr>
        <w:t>- 56 -</w:t>
      </w:r>
      <w:r>
        <w:rPr>
          <w:sz w:val="24"/>
        </w:rPr>
        <w:fldChar w:fldCharType="end"/>
      </w:r>
      <w:r>
        <w:rPr>
          <w:sz w:val="24"/>
        </w:rPr>
        <w:fldChar w:fldCharType="end"/>
      </w:r>
    </w:p>
    <w:p>
      <w:pPr>
        <w:pStyle w:val="15"/>
        <w:ind w:firstLine="562"/>
        <w:rPr>
          <w:rFonts w:asciiTheme="minorHAnsi" w:hAnsiTheme="minorHAnsi" w:eastAsiaTheme="minorEastAsia" w:cstheme="minorBidi"/>
          <w:b w:val="0"/>
          <w:sz w:val="22"/>
          <w:szCs w:val="22"/>
        </w:rPr>
      </w:pPr>
      <w:r>
        <w:fldChar w:fldCharType="begin"/>
      </w:r>
      <w:r>
        <w:instrText xml:space="preserve"> HYPERLINK \l "_Toc82624375" </w:instrText>
      </w:r>
      <w:r>
        <w:fldChar w:fldCharType="separate"/>
      </w:r>
      <w:r>
        <w:rPr>
          <w:rStyle w:val="25"/>
          <w:rFonts w:hint="eastAsia"/>
          <w:sz w:val="28"/>
        </w:rPr>
        <w:t>第四篇</w:t>
      </w:r>
      <w:r>
        <w:rPr>
          <w:rStyle w:val="25"/>
          <w:sz w:val="28"/>
        </w:rPr>
        <w:t xml:space="preserve"> </w:t>
      </w:r>
      <w:r>
        <w:rPr>
          <w:rStyle w:val="25"/>
          <w:rFonts w:hint="eastAsia"/>
          <w:sz w:val="28"/>
        </w:rPr>
        <w:t>加快全国全民运动健身模范县建设</w:t>
      </w:r>
      <w:r>
        <w:rPr>
          <w:sz w:val="28"/>
        </w:rPr>
        <w:tab/>
      </w:r>
      <w:r>
        <w:rPr>
          <w:sz w:val="28"/>
        </w:rPr>
        <w:fldChar w:fldCharType="begin"/>
      </w:r>
      <w:r>
        <w:rPr>
          <w:sz w:val="28"/>
        </w:rPr>
        <w:instrText xml:space="preserve"> PAGEREF _Toc82624375 \h </w:instrText>
      </w:r>
      <w:r>
        <w:rPr>
          <w:sz w:val="28"/>
        </w:rPr>
        <w:fldChar w:fldCharType="separate"/>
      </w:r>
      <w:r>
        <w:rPr>
          <w:sz w:val="28"/>
        </w:rPr>
        <w:t>- 57 -</w:t>
      </w:r>
      <w:r>
        <w:rPr>
          <w:sz w:val="28"/>
        </w:rPr>
        <w:fldChar w:fldCharType="end"/>
      </w:r>
      <w:r>
        <w:rPr>
          <w:sz w:val="28"/>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"_Toc82624376" </w:instrText>
      </w:r>
      <w:r>
        <w:fldChar w:fldCharType="separate"/>
      </w:r>
      <w:r>
        <w:rPr>
          <w:rStyle w:val="25"/>
          <w:rFonts w:hint="eastAsia"/>
          <w:sz w:val="24"/>
        </w:rPr>
        <w:t>第十四章</w:t>
      </w:r>
      <w:r>
        <w:rPr>
          <w:rStyle w:val="25"/>
          <w:sz w:val="24"/>
        </w:rPr>
        <w:t xml:space="preserve"> </w:t>
      </w:r>
      <w:r>
        <w:rPr>
          <w:rStyle w:val="25"/>
          <w:rFonts w:hint="eastAsia"/>
          <w:sz w:val="24"/>
        </w:rPr>
        <w:t>全面落实全民健身战略</w:t>
      </w:r>
      <w:r>
        <w:rPr>
          <w:sz w:val="24"/>
        </w:rPr>
        <w:tab/>
      </w:r>
      <w:r>
        <w:rPr>
          <w:sz w:val="24"/>
        </w:rPr>
        <w:fldChar w:fldCharType="begin"/>
      </w:r>
      <w:r>
        <w:rPr>
          <w:sz w:val="24"/>
        </w:rPr>
        <w:instrText xml:space="preserve"> PAGEREF _Toc82624376 \h </w:instrText>
      </w:r>
      <w:r>
        <w:rPr>
          <w:sz w:val="24"/>
        </w:rPr>
        <w:fldChar w:fldCharType="separate"/>
      </w:r>
      <w:r>
        <w:rPr>
          <w:sz w:val="24"/>
        </w:rPr>
        <w:t>- 57 -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"_Toc82624377" </w:instrText>
      </w:r>
      <w:r>
        <w:fldChar w:fldCharType="separate"/>
      </w:r>
      <w:r>
        <w:rPr>
          <w:rStyle w:val="25"/>
          <w:rFonts w:hint="eastAsia"/>
          <w:sz w:val="24"/>
        </w:rPr>
        <w:t>第一节</w:t>
      </w:r>
      <w:r>
        <w:rPr>
          <w:rStyle w:val="25"/>
          <w:sz w:val="24"/>
        </w:rPr>
        <w:t xml:space="preserve"> </w:t>
      </w:r>
      <w:r>
        <w:rPr>
          <w:rStyle w:val="25"/>
          <w:rFonts w:hint="eastAsia"/>
          <w:sz w:val="24"/>
        </w:rPr>
        <w:t>完善全民健身设施网络</w:t>
      </w:r>
      <w:r>
        <w:rPr>
          <w:sz w:val="24"/>
        </w:rPr>
        <w:tab/>
      </w:r>
      <w:r>
        <w:rPr>
          <w:sz w:val="24"/>
        </w:rPr>
        <w:fldChar w:fldCharType="begin"/>
      </w:r>
      <w:r>
        <w:rPr>
          <w:sz w:val="24"/>
        </w:rPr>
        <w:instrText xml:space="preserve"> PAGEREF _Toc82624377 \h </w:instrText>
      </w:r>
      <w:r>
        <w:rPr>
          <w:sz w:val="24"/>
        </w:rPr>
        <w:fldChar w:fldCharType="separate"/>
      </w:r>
      <w:r>
        <w:rPr>
          <w:sz w:val="24"/>
        </w:rPr>
        <w:t>- 57 -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"_Toc82624378" </w:instrText>
      </w:r>
      <w:r>
        <w:fldChar w:fldCharType="separate"/>
      </w:r>
      <w:r>
        <w:rPr>
          <w:rStyle w:val="25"/>
          <w:rFonts w:hint="eastAsia"/>
          <w:sz w:val="24"/>
        </w:rPr>
        <w:t>第二节</w:t>
      </w:r>
      <w:r>
        <w:rPr>
          <w:rStyle w:val="25"/>
          <w:sz w:val="24"/>
        </w:rPr>
        <w:t xml:space="preserve"> </w:t>
      </w:r>
      <w:r>
        <w:rPr>
          <w:rStyle w:val="25"/>
          <w:rFonts w:hint="eastAsia"/>
          <w:sz w:val="24"/>
        </w:rPr>
        <w:t>健全全民健身组织网络</w:t>
      </w:r>
      <w:r>
        <w:rPr>
          <w:sz w:val="24"/>
        </w:rPr>
        <w:tab/>
      </w:r>
      <w:r>
        <w:rPr>
          <w:sz w:val="24"/>
        </w:rPr>
        <w:fldChar w:fldCharType="begin"/>
      </w:r>
      <w:r>
        <w:rPr>
          <w:sz w:val="24"/>
        </w:rPr>
        <w:instrText xml:space="preserve"> PAGEREF _Toc82624378 \h </w:instrText>
      </w:r>
      <w:r>
        <w:rPr>
          <w:sz w:val="24"/>
        </w:rPr>
        <w:fldChar w:fldCharType="separate"/>
      </w:r>
      <w:r>
        <w:rPr>
          <w:sz w:val="24"/>
        </w:rPr>
        <w:t>- 58 -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"_Toc82624379" </w:instrText>
      </w:r>
      <w:r>
        <w:fldChar w:fldCharType="separate"/>
      </w:r>
      <w:r>
        <w:rPr>
          <w:rStyle w:val="25"/>
          <w:rFonts w:hint="eastAsia"/>
          <w:sz w:val="24"/>
        </w:rPr>
        <w:t>第三节</w:t>
      </w:r>
      <w:r>
        <w:rPr>
          <w:rStyle w:val="25"/>
          <w:sz w:val="24"/>
        </w:rPr>
        <w:t xml:space="preserve"> </w:t>
      </w:r>
      <w:r>
        <w:rPr>
          <w:rStyle w:val="25"/>
          <w:rFonts w:hint="eastAsia"/>
          <w:sz w:val="24"/>
        </w:rPr>
        <w:t>广泛开展全民健身活动</w:t>
      </w:r>
      <w:r>
        <w:rPr>
          <w:sz w:val="24"/>
        </w:rPr>
        <w:tab/>
      </w:r>
      <w:r>
        <w:rPr>
          <w:sz w:val="24"/>
        </w:rPr>
        <w:fldChar w:fldCharType="begin"/>
      </w:r>
      <w:r>
        <w:rPr>
          <w:sz w:val="24"/>
        </w:rPr>
        <w:instrText xml:space="preserve"> PAGEREF _Toc82624379 \h </w:instrText>
      </w:r>
      <w:r>
        <w:rPr>
          <w:sz w:val="24"/>
        </w:rPr>
        <w:fldChar w:fldCharType="separate"/>
      </w:r>
      <w:r>
        <w:rPr>
          <w:sz w:val="24"/>
        </w:rPr>
        <w:t>- 59 -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"_Toc82624380" </w:instrText>
      </w:r>
      <w:r>
        <w:fldChar w:fldCharType="separate"/>
      </w:r>
      <w:r>
        <w:rPr>
          <w:rStyle w:val="25"/>
          <w:rFonts w:hint="eastAsia"/>
          <w:sz w:val="24"/>
        </w:rPr>
        <w:t>第四节</w:t>
      </w:r>
      <w:r>
        <w:rPr>
          <w:rStyle w:val="25"/>
          <w:sz w:val="24"/>
        </w:rPr>
        <w:t xml:space="preserve"> </w:t>
      </w:r>
      <w:r>
        <w:rPr>
          <w:rStyle w:val="25"/>
          <w:rFonts w:hint="eastAsia"/>
          <w:sz w:val="24"/>
        </w:rPr>
        <w:t>培塑全民运动健身文化</w:t>
      </w:r>
      <w:r>
        <w:rPr>
          <w:sz w:val="24"/>
        </w:rPr>
        <w:tab/>
      </w:r>
      <w:r>
        <w:rPr>
          <w:sz w:val="24"/>
        </w:rPr>
        <w:fldChar w:fldCharType="begin"/>
      </w:r>
      <w:r>
        <w:rPr>
          <w:sz w:val="24"/>
        </w:rPr>
        <w:instrText xml:space="preserve"> PAGEREF _Toc82624380 \h </w:instrText>
      </w:r>
      <w:r>
        <w:rPr>
          <w:sz w:val="24"/>
        </w:rPr>
        <w:fldChar w:fldCharType="separate"/>
      </w:r>
      <w:r>
        <w:rPr>
          <w:sz w:val="24"/>
        </w:rPr>
        <w:t>- 59 -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"_Toc82624381" </w:instrText>
      </w:r>
      <w:r>
        <w:fldChar w:fldCharType="separate"/>
      </w:r>
      <w:r>
        <w:rPr>
          <w:rStyle w:val="25"/>
          <w:rFonts w:hint="eastAsia"/>
          <w:sz w:val="24"/>
        </w:rPr>
        <w:t>第十五章</w:t>
      </w:r>
      <w:r>
        <w:rPr>
          <w:rStyle w:val="25"/>
          <w:sz w:val="24"/>
        </w:rPr>
        <w:t xml:space="preserve"> </w:t>
      </w:r>
      <w:r>
        <w:rPr>
          <w:rStyle w:val="25"/>
          <w:rFonts w:hint="eastAsia"/>
          <w:sz w:val="24"/>
        </w:rPr>
        <w:t>夯实体育基础设施建设</w:t>
      </w:r>
      <w:r>
        <w:rPr>
          <w:sz w:val="24"/>
        </w:rPr>
        <w:tab/>
      </w:r>
      <w:r>
        <w:rPr>
          <w:sz w:val="24"/>
        </w:rPr>
        <w:fldChar w:fldCharType="begin"/>
      </w:r>
      <w:r>
        <w:rPr>
          <w:sz w:val="24"/>
        </w:rPr>
        <w:instrText xml:space="preserve"> PAGEREF _Toc82624381 \h </w:instrText>
      </w:r>
      <w:r>
        <w:rPr>
          <w:sz w:val="24"/>
        </w:rPr>
        <w:fldChar w:fldCharType="separate"/>
      </w:r>
      <w:r>
        <w:rPr>
          <w:sz w:val="24"/>
        </w:rPr>
        <w:t>- 61 -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"_Toc82624382" </w:instrText>
      </w:r>
      <w:r>
        <w:fldChar w:fldCharType="separate"/>
      </w:r>
      <w:r>
        <w:rPr>
          <w:rStyle w:val="25"/>
          <w:rFonts w:hint="eastAsia"/>
          <w:sz w:val="24"/>
        </w:rPr>
        <w:t>第一节</w:t>
      </w:r>
      <w:r>
        <w:rPr>
          <w:rStyle w:val="25"/>
          <w:sz w:val="24"/>
        </w:rPr>
        <w:t xml:space="preserve"> </w:t>
      </w:r>
      <w:r>
        <w:rPr>
          <w:rStyle w:val="25"/>
          <w:rFonts w:hint="eastAsia"/>
          <w:sz w:val="24"/>
        </w:rPr>
        <w:t>加快建设大型体育设施</w:t>
      </w:r>
      <w:r>
        <w:rPr>
          <w:sz w:val="24"/>
        </w:rPr>
        <w:tab/>
      </w:r>
      <w:r>
        <w:rPr>
          <w:sz w:val="24"/>
        </w:rPr>
        <w:fldChar w:fldCharType="begin"/>
      </w:r>
      <w:r>
        <w:rPr>
          <w:sz w:val="24"/>
        </w:rPr>
        <w:instrText xml:space="preserve"> PAGEREF _Toc82624382 \h </w:instrText>
      </w:r>
      <w:r>
        <w:rPr>
          <w:sz w:val="24"/>
        </w:rPr>
        <w:fldChar w:fldCharType="separate"/>
      </w:r>
      <w:r>
        <w:rPr>
          <w:sz w:val="24"/>
        </w:rPr>
        <w:t>- 61 -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"_Toc82624383" </w:instrText>
      </w:r>
      <w:r>
        <w:fldChar w:fldCharType="separate"/>
      </w:r>
      <w:r>
        <w:rPr>
          <w:rStyle w:val="25"/>
          <w:rFonts w:hint="eastAsia"/>
          <w:sz w:val="24"/>
        </w:rPr>
        <w:t>第二节</w:t>
      </w:r>
      <w:r>
        <w:rPr>
          <w:rStyle w:val="25"/>
          <w:sz w:val="24"/>
        </w:rPr>
        <w:t xml:space="preserve"> </w:t>
      </w:r>
      <w:r>
        <w:rPr>
          <w:rStyle w:val="25"/>
          <w:rFonts w:hint="eastAsia"/>
          <w:sz w:val="24"/>
        </w:rPr>
        <w:t>智慧化提升体育设施服务</w:t>
      </w:r>
      <w:r>
        <w:rPr>
          <w:sz w:val="24"/>
        </w:rPr>
        <w:tab/>
      </w:r>
      <w:r>
        <w:rPr>
          <w:sz w:val="24"/>
        </w:rPr>
        <w:fldChar w:fldCharType="begin"/>
      </w:r>
      <w:r>
        <w:rPr>
          <w:sz w:val="24"/>
        </w:rPr>
        <w:instrText xml:space="preserve"> PAGEREF _Toc82624383 \h </w:instrText>
      </w:r>
      <w:r>
        <w:rPr>
          <w:sz w:val="24"/>
        </w:rPr>
        <w:fldChar w:fldCharType="separate"/>
      </w:r>
      <w:r>
        <w:rPr>
          <w:sz w:val="24"/>
        </w:rPr>
        <w:t>- 61 -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"_Toc82624384" </w:instrText>
      </w:r>
      <w:r>
        <w:fldChar w:fldCharType="separate"/>
      </w:r>
      <w:r>
        <w:rPr>
          <w:rStyle w:val="25"/>
          <w:rFonts w:hint="eastAsia"/>
          <w:sz w:val="24"/>
        </w:rPr>
        <w:t>第十六章</w:t>
      </w:r>
      <w:r>
        <w:rPr>
          <w:rStyle w:val="25"/>
          <w:sz w:val="24"/>
        </w:rPr>
        <w:t xml:space="preserve"> </w:t>
      </w:r>
      <w:r>
        <w:rPr>
          <w:rStyle w:val="25"/>
          <w:rFonts w:hint="eastAsia"/>
          <w:sz w:val="24"/>
        </w:rPr>
        <w:t>促进青少年体育发展</w:t>
      </w:r>
      <w:r>
        <w:rPr>
          <w:sz w:val="24"/>
        </w:rPr>
        <w:tab/>
      </w:r>
      <w:r>
        <w:rPr>
          <w:sz w:val="24"/>
        </w:rPr>
        <w:fldChar w:fldCharType="begin"/>
      </w:r>
      <w:r>
        <w:rPr>
          <w:sz w:val="24"/>
        </w:rPr>
        <w:instrText xml:space="preserve"> PAGEREF _Toc82624384 \h </w:instrText>
      </w:r>
      <w:r>
        <w:rPr>
          <w:sz w:val="24"/>
        </w:rPr>
        <w:fldChar w:fldCharType="separate"/>
      </w:r>
      <w:r>
        <w:rPr>
          <w:sz w:val="24"/>
        </w:rPr>
        <w:t>- 62 -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"_Toc82624385" </w:instrText>
      </w:r>
      <w:r>
        <w:fldChar w:fldCharType="separate"/>
      </w:r>
      <w:r>
        <w:rPr>
          <w:rStyle w:val="25"/>
          <w:rFonts w:hint="eastAsia"/>
          <w:sz w:val="24"/>
        </w:rPr>
        <w:t>第一节</w:t>
      </w:r>
      <w:r>
        <w:rPr>
          <w:rStyle w:val="25"/>
          <w:sz w:val="24"/>
        </w:rPr>
        <w:t xml:space="preserve"> </w:t>
      </w:r>
      <w:r>
        <w:rPr>
          <w:rStyle w:val="25"/>
          <w:rFonts w:hint="eastAsia"/>
          <w:sz w:val="24"/>
        </w:rPr>
        <w:t>完善青少年体育设施和服务供给</w:t>
      </w:r>
      <w:r>
        <w:rPr>
          <w:sz w:val="24"/>
        </w:rPr>
        <w:tab/>
      </w:r>
      <w:r>
        <w:rPr>
          <w:sz w:val="24"/>
        </w:rPr>
        <w:fldChar w:fldCharType="begin"/>
      </w:r>
      <w:r>
        <w:rPr>
          <w:sz w:val="24"/>
        </w:rPr>
        <w:instrText xml:space="preserve"> PAGEREF _Toc82624385 \h </w:instrText>
      </w:r>
      <w:r>
        <w:rPr>
          <w:sz w:val="24"/>
        </w:rPr>
        <w:fldChar w:fldCharType="separate"/>
      </w:r>
      <w:r>
        <w:rPr>
          <w:sz w:val="24"/>
        </w:rPr>
        <w:t>- 63 -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"_Toc82624386" </w:instrText>
      </w:r>
      <w:r>
        <w:fldChar w:fldCharType="separate"/>
      </w:r>
      <w:r>
        <w:rPr>
          <w:rStyle w:val="25"/>
          <w:rFonts w:hint="eastAsia"/>
          <w:sz w:val="24"/>
        </w:rPr>
        <w:t>第二节</w:t>
      </w:r>
      <w:r>
        <w:rPr>
          <w:rStyle w:val="25"/>
          <w:sz w:val="24"/>
        </w:rPr>
        <w:t xml:space="preserve"> </w:t>
      </w:r>
      <w:r>
        <w:rPr>
          <w:rStyle w:val="25"/>
          <w:rFonts w:hint="eastAsia"/>
          <w:sz w:val="24"/>
        </w:rPr>
        <w:t>提升青少年体育素养</w:t>
      </w:r>
      <w:r>
        <w:rPr>
          <w:sz w:val="24"/>
        </w:rPr>
        <w:tab/>
      </w:r>
      <w:r>
        <w:rPr>
          <w:sz w:val="24"/>
        </w:rPr>
        <w:fldChar w:fldCharType="begin"/>
      </w:r>
      <w:r>
        <w:rPr>
          <w:sz w:val="24"/>
        </w:rPr>
        <w:instrText xml:space="preserve"> PAGEREF _Toc82624386 \h </w:instrText>
      </w:r>
      <w:r>
        <w:rPr>
          <w:sz w:val="24"/>
        </w:rPr>
        <w:fldChar w:fldCharType="separate"/>
      </w:r>
      <w:r>
        <w:rPr>
          <w:sz w:val="24"/>
        </w:rPr>
        <w:t>- 63 -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"_Toc82624387" </w:instrText>
      </w:r>
      <w:r>
        <w:fldChar w:fldCharType="separate"/>
      </w:r>
      <w:r>
        <w:rPr>
          <w:rStyle w:val="25"/>
          <w:rFonts w:hint="eastAsia" w:ascii="方正黑体_GBK" w:hAnsi="方正黑体_GBK" w:cs="方正黑体_GBK"/>
          <w:sz w:val="24"/>
        </w:rPr>
        <w:t>第三节</w:t>
      </w:r>
      <w:r>
        <w:rPr>
          <w:rStyle w:val="25"/>
          <w:rFonts w:ascii="方正黑体_GBK" w:hAnsi="方正黑体_GBK" w:cs="方正黑体_GBK"/>
          <w:sz w:val="24"/>
        </w:rPr>
        <w:t xml:space="preserve"> </w:t>
      </w:r>
      <w:r>
        <w:rPr>
          <w:rStyle w:val="25"/>
          <w:rFonts w:hint="eastAsia" w:ascii="方正黑体_GBK" w:hAnsi="方正黑体_GBK" w:cs="方正黑体_GBK"/>
          <w:sz w:val="24"/>
        </w:rPr>
        <w:t>培育储备竞技体育人才</w:t>
      </w:r>
      <w:r>
        <w:rPr>
          <w:sz w:val="24"/>
        </w:rPr>
        <w:tab/>
      </w:r>
      <w:r>
        <w:rPr>
          <w:sz w:val="24"/>
        </w:rPr>
        <w:fldChar w:fldCharType="begin"/>
      </w:r>
      <w:r>
        <w:rPr>
          <w:sz w:val="24"/>
        </w:rPr>
        <w:instrText xml:space="preserve"> PAGEREF _Toc82624387 \h </w:instrText>
      </w:r>
      <w:r>
        <w:rPr>
          <w:sz w:val="24"/>
        </w:rPr>
        <w:fldChar w:fldCharType="separate"/>
      </w:r>
      <w:r>
        <w:rPr>
          <w:sz w:val="24"/>
        </w:rPr>
        <w:t>- 64 -</w:t>
      </w:r>
      <w:r>
        <w:rPr>
          <w:sz w:val="24"/>
        </w:rPr>
        <w:fldChar w:fldCharType="end"/>
      </w:r>
      <w:r>
        <w:rPr>
          <w:sz w:val="24"/>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"_Toc82624388" </w:instrText>
      </w:r>
      <w:r>
        <w:fldChar w:fldCharType="separate"/>
      </w:r>
      <w:r>
        <w:rPr>
          <w:rStyle w:val="25"/>
          <w:rFonts w:hint="eastAsia"/>
          <w:sz w:val="24"/>
        </w:rPr>
        <w:t>第十七章</w:t>
      </w:r>
      <w:r>
        <w:rPr>
          <w:rStyle w:val="25"/>
          <w:sz w:val="24"/>
        </w:rPr>
        <w:t xml:space="preserve"> </w:t>
      </w:r>
      <w:r>
        <w:rPr>
          <w:rStyle w:val="25"/>
          <w:rFonts w:hint="eastAsia"/>
          <w:sz w:val="24"/>
        </w:rPr>
        <w:t>加快发展现代体育产业</w:t>
      </w:r>
      <w:r>
        <w:rPr>
          <w:sz w:val="24"/>
        </w:rPr>
        <w:tab/>
      </w:r>
      <w:r>
        <w:rPr>
          <w:sz w:val="24"/>
        </w:rPr>
        <w:fldChar w:fldCharType="begin"/>
      </w:r>
      <w:r>
        <w:rPr>
          <w:sz w:val="24"/>
        </w:rPr>
        <w:instrText xml:space="preserve"> PAGEREF _Toc82624388 \h </w:instrText>
      </w:r>
      <w:r>
        <w:rPr>
          <w:sz w:val="24"/>
        </w:rPr>
        <w:fldChar w:fldCharType="separate"/>
      </w:r>
      <w:r>
        <w:rPr>
          <w:sz w:val="24"/>
        </w:rPr>
        <w:t>- 65 -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"_Toc82624389" </w:instrText>
      </w:r>
      <w:r>
        <w:fldChar w:fldCharType="separate"/>
      </w:r>
      <w:r>
        <w:rPr>
          <w:rStyle w:val="25"/>
          <w:rFonts w:hint="eastAsia"/>
          <w:sz w:val="24"/>
        </w:rPr>
        <w:t>第一节</w:t>
      </w:r>
      <w:r>
        <w:rPr>
          <w:rStyle w:val="25"/>
          <w:sz w:val="24"/>
        </w:rPr>
        <w:t xml:space="preserve"> </w:t>
      </w:r>
      <w:r>
        <w:rPr>
          <w:rStyle w:val="25"/>
          <w:rFonts w:hint="eastAsia"/>
          <w:sz w:val="24"/>
        </w:rPr>
        <w:t>规范传统体育产业</w:t>
      </w:r>
      <w:r>
        <w:rPr>
          <w:sz w:val="24"/>
        </w:rPr>
        <w:tab/>
      </w:r>
      <w:r>
        <w:rPr>
          <w:sz w:val="24"/>
        </w:rPr>
        <w:fldChar w:fldCharType="begin"/>
      </w:r>
      <w:r>
        <w:rPr>
          <w:sz w:val="24"/>
        </w:rPr>
        <w:instrText xml:space="preserve"> PAGEREF _Toc82624389 \h </w:instrText>
      </w:r>
      <w:r>
        <w:rPr>
          <w:sz w:val="24"/>
        </w:rPr>
        <w:fldChar w:fldCharType="separate"/>
      </w:r>
      <w:r>
        <w:rPr>
          <w:sz w:val="24"/>
        </w:rPr>
        <w:t>- 65 -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"_Toc82624390" </w:instrText>
      </w:r>
      <w:r>
        <w:fldChar w:fldCharType="separate"/>
      </w:r>
      <w:r>
        <w:rPr>
          <w:rStyle w:val="25"/>
          <w:rFonts w:hint="eastAsia" w:ascii="方正黑体_GBK"/>
          <w:bCs/>
          <w:sz w:val="24"/>
        </w:rPr>
        <w:t>第二节</w:t>
      </w:r>
      <w:r>
        <w:rPr>
          <w:rStyle w:val="25"/>
          <w:rFonts w:ascii="方正黑体_GBK"/>
          <w:bCs/>
          <w:sz w:val="24"/>
        </w:rPr>
        <w:t xml:space="preserve"> </w:t>
      </w:r>
      <w:r>
        <w:rPr>
          <w:rStyle w:val="25"/>
          <w:rFonts w:hint="eastAsia"/>
          <w:sz w:val="24"/>
        </w:rPr>
        <w:t>发展新型体育产业</w:t>
      </w:r>
      <w:r>
        <w:rPr>
          <w:sz w:val="24"/>
        </w:rPr>
        <w:tab/>
      </w:r>
      <w:r>
        <w:rPr>
          <w:sz w:val="24"/>
        </w:rPr>
        <w:fldChar w:fldCharType="begin"/>
      </w:r>
      <w:r>
        <w:rPr>
          <w:sz w:val="24"/>
        </w:rPr>
        <w:instrText xml:space="preserve"> PAGEREF _Toc82624390 \h </w:instrText>
      </w:r>
      <w:r>
        <w:rPr>
          <w:sz w:val="24"/>
        </w:rPr>
        <w:fldChar w:fldCharType="separate"/>
      </w:r>
      <w:r>
        <w:rPr>
          <w:sz w:val="24"/>
        </w:rPr>
        <w:t>- 65 -</w:t>
      </w:r>
      <w:r>
        <w:rPr>
          <w:sz w:val="24"/>
        </w:rPr>
        <w:fldChar w:fldCharType="end"/>
      </w:r>
      <w:r>
        <w:rPr>
          <w:sz w:val="24"/>
        </w:rPr>
        <w:fldChar w:fldCharType="end"/>
      </w:r>
    </w:p>
    <w:p>
      <w:pPr>
        <w:pStyle w:val="9"/>
        <w:tabs>
          <w:tab w:val="right" w:leader="dot" w:pos="8296"/>
        </w:tabs>
        <w:ind w:left="1200" w:firstLine="600"/>
        <w:rPr>
          <w:rFonts w:asciiTheme="minorHAnsi" w:hAnsiTheme="minorHAnsi" w:eastAsiaTheme="minorEastAsia" w:cstheme="minorBidi"/>
          <w:sz w:val="18"/>
          <w:szCs w:val="22"/>
        </w:rPr>
      </w:pPr>
      <w:r>
        <w:fldChar w:fldCharType="begin"/>
      </w:r>
      <w:r>
        <w:instrText xml:space="preserve"> HYPERLINK \l "_Toc82624391" </w:instrText>
      </w:r>
      <w:r>
        <w:fldChar w:fldCharType="separate"/>
      </w:r>
      <w:r>
        <w:rPr>
          <w:rStyle w:val="25"/>
          <w:rFonts w:hint="eastAsia"/>
          <w:sz w:val="24"/>
        </w:rPr>
        <w:t>第三节</w:t>
      </w:r>
      <w:r>
        <w:rPr>
          <w:rStyle w:val="25"/>
          <w:sz w:val="24"/>
        </w:rPr>
        <w:t xml:space="preserve"> </w:t>
      </w:r>
      <w:r>
        <w:rPr>
          <w:rStyle w:val="25"/>
          <w:rFonts w:hint="eastAsia"/>
          <w:sz w:val="24"/>
        </w:rPr>
        <w:t>完善体育产业市场体系</w:t>
      </w:r>
      <w:r>
        <w:rPr>
          <w:sz w:val="24"/>
        </w:rPr>
        <w:tab/>
      </w:r>
      <w:r>
        <w:rPr>
          <w:sz w:val="24"/>
        </w:rPr>
        <w:fldChar w:fldCharType="begin"/>
      </w:r>
      <w:r>
        <w:rPr>
          <w:sz w:val="24"/>
        </w:rPr>
        <w:instrText xml:space="preserve"> PAGEREF _Toc82624391 \h </w:instrText>
      </w:r>
      <w:r>
        <w:rPr>
          <w:sz w:val="24"/>
        </w:rPr>
        <w:fldChar w:fldCharType="separate"/>
      </w:r>
      <w:r>
        <w:rPr>
          <w:sz w:val="24"/>
        </w:rPr>
        <w:t>- 66 -</w:t>
      </w:r>
      <w:r>
        <w:rPr>
          <w:sz w:val="24"/>
        </w:rPr>
        <w:fldChar w:fldCharType="end"/>
      </w:r>
      <w:r>
        <w:rPr>
          <w:sz w:val="24"/>
        </w:rPr>
        <w:fldChar w:fldCharType="end"/>
      </w:r>
    </w:p>
    <w:p>
      <w:pPr>
        <w:pStyle w:val="15"/>
        <w:ind w:firstLine="562"/>
        <w:rPr>
          <w:rFonts w:asciiTheme="minorHAnsi" w:hAnsiTheme="minorHAnsi" w:eastAsiaTheme="minorEastAsia" w:cstheme="minorBidi"/>
          <w:b w:val="0"/>
          <w:sz w:val="22"/>
          <w:szCs w:val="22"/>
        </w:rPr>
      </w:pPr>
      <w:r>
        <w:fldChar w:fldCharType="begin"/>
      </w:r>
      <w:r>
        <w:instrText xml:space="preserve"> HYPERLINK \l "_Toc82624392" </w:instrText>
      </w:r>
      <w:r>
        <w:fldChar w:fldCharType="separate"/>
      </w:r>
      <w:r>
        <w:rPr>
          <w:rStyle w:val="25"/>
          <w:rFonts w:hint="eastAsia"/>
          <w:sz w:val="28"/>
        </w:rPr>
        <w:t>第五篇</w:t>
      </w:r>
      <w:r>
        <w:rPr>
          <w:rStyle w:val="25"/>
          <w:rFonts w:cs="黑体"/>
          <w:sz w:val="28"/>
        </w:rPr>
        <w:t xml:space="preserve"> </w:t>
      </w:r>
      <w:r>
        <w:rPr>
          <w:rStyle w:val="25"/>
          <w:rFonts w:hint="eastAsia" w:cs="黑体"/>
          <w:sz w:val="28"/>
        </w:rPr>
        <w:t>规划实施</w:t>
      </w:r>
      <w:r>
        <w:rPr>
          <w:sz w:val="28"/>
        </w:rPr>
        <w:tab/>
      </w:r>
      <w:r>
        <w:rPr>
          <w:sz w:val="28"/>
        </w:rPr>
        <w:fldChar w:fldCharType="begin"/>
      </w:r>
      <w:r>
        <w:rPr>
          <w:sz w:val="28"/>
        </w:rPr>
        <w:instrText xml:space="preserve"> PAGEREF _Toc82624392 \h </w:instrText>
      </w:r>
      <w:r>
        <w:rPr>
          <w:sz w:val="28"/>
        </w:rPr>
        <w:fldChar w:fldCharType="separate"/>
      </w:r>
      <w:r>
        <w:rPr>
          <w:sz w:val="28"/>
        </w:rPr>
        <w:t>- 68 -</w:t>
      </w:r>
      <w:r>
        <w:rPr>
          <w:sz w:val="28"/>
        </w:rPr>
        <w:fldChar w:fldCharType="end"/>
      </w:r>
      <w:r>
        <w:rPr>
          <w:sz w:val="28"/>
        </w:rPr>
        <w:fldChar w:fldCharType="end"/>
      </w:r>
    </w:p>
    <w:p>
      <w:pPr>
        <w:pStyle w:val="18"/>
        <w:tabs>
          <w:tab w:val="right" w:leader="dot" w:pos="8296"/>
        </w:tabs>
        <w:ind w:left="600" w:firstLine="600"/>
        <w:rPr>
          <w:rFonts w:asciiTheme="minorHAnsi" w:hAnsiTheme="minorHAnsi" w:eastAsiaTheme="minorEastAsia" w:cstheme="minorBidi"/>
          <w:sz w:val="18"/>
          <w:szCs w:val="22"/>
        </w:rPr>
      </w:pPr>
      <w:r>
        <w:fldChar w:fldCharType="begin"/>
      </w:r>
      <w:r>
        <w:instrText xml:space="preserve"> HYPERLINK \l "_Toc82624393" </w:instrText>
      </w:r>
      <w:r>
        <w:fldChar w:fldCharType="separate"/>
      </w:r>
      <w:r>
        <w:rPr>
          <w:rStyle w:val="25"/>
          <w:rFonts w:hint="eastAsia"/>
          <w:sz w:val="24"/>
          <w:shd w:val="clear" w:color="auto" w:fill="FFFFFF"/>
        </w:rPr>
        <w:t>第十八章</w:t>
      </w:r>
      <w:r>
        <w:rPr>
          <w:rStyle w:val="25"/>
          <w:sz w:val="24"/>
          <w:shd w:val="clear" w:color="auto" w:fill="FFFFFF"/>
        </w:rPr>
        <w:t xml:space="preserve"> </w:t>
      </w:r>
      <w:r>
        <w:rPr>
          <w:rStyle w:val="25"/>
          <w:rFonts w:hint="eastAsia"/>
          <w:sz w:val="24"/>
          <w:shd w:val="clear" w:color="auto" w:fill="FFFFFF"/>
        </w:rPr>
        <w:t>强化规划实施保障</w:t>
      </w:r>
      <w:r>
        <w:rPr>
          <w:sz w:val="24"/>
        </w:rPr>
        <w:tab/>
      </w:r>
      <w:r>
        <w:rPr>
          <w:sz w:val="24"/>
        </w:rPr>
        <w:fldChar w:fldCharType="begin"/>
      </w:r>
      <w:r>
        <w:rPr>
          <w:sz w:val="24"/>
        </w:rPr>
        <w:instrText xml:space="preserve"> PAGEREF _Toc82624393 \h </w:instrText>
      </w:r>
      <w:r>
        <w:rPr>
          <w:sz w:val="24"/>
        </w:rPr>
        <w:fldChar w:fldCharType="separate"/>
      </w:r>
      <w:r>
        <w:rPr>
          <w:sz w:val="24"/>
        </w:rPr>
        <w:t>- 68 -</w:t>
      </w:r>
      <w:r>
        <w:rPr>
          <w:sz w:val="24"/>
        </w:rPr>
        <w:fldChar w:fldCharType="end"/>
      </w:r>
      <w:r>
        <w:rPr>
          <w:sz w:val="24"/>
        </w:rPr>
        <w:fldChar w:fldCharType="end"/>
      </w:r>
    </w:p>
    <w:p>
      <w:pPr>
        <w:pStyle w:val="9"/>
        <w:tabs>
          <w:tab w:val="right" w:leader="dot" w:pos="8296"/>
        </w:tabs>
        <w:ind w:left="1200" w:firstLine="600"/>
        <w:rPr>
          <w:rStyle w:val="25"/>
          <w:sz w:val="24"/>
        </w:rPr>
      </w:pPr>
      <w:r>
        <w:fldChar w:fldCharType="begin"/>
      </w:r>
      <w:r>
        <w:instrText xml:space="preserve"> HYPERLINK \l "_Toc82624394" </w:instrText>
      </w:r>
      <w:r>
        <w:fldChar w:fldCharType="separate"/>
      </w:r>
      <w:r>
        <w:rPr>
          <w:rStyle w:val="25"/>
          <w:rFonts w:hint="eastAsia"/>
          <w:sz w:val="24"/>
        </w:rPr>
        <w:t>第一节</w:t>
      </w:r>
      <w:r>
        <w:rPr>
          <w:rStyle w:val="25"/>
          <w:sz w:val="24"/>
        </w:rPr>
        <w:t xml:space="preserve"> </w:t>
      </w:r>
      <w:r>
        <w:rPr>
          <w:rStyle w:val="25"/>
          <w:rFonts w:hint="eastAsia"/>
          <w:sz w:val="24"/>
        </w:rPr>
        <w:t>提升治理能力</w:t>
      </w:r>
      <w:r>
        <w:rPr>
          <w:rStyle w:val="25"/>
        </w:rPr>
        <w:tab/>
      </w:r>
      <w:r>
        <w:rPr>
          <w:rStyle w:val="25"/>
          <w:sz w:val="24"/>
        </w:rPr>
        <w:fldChar w:fldCharType="begin"/>
      </w:r>
      <w:r>
        <w:rPr>
          <w:rStyle w:val="25"/>
          <w:sz w:val="24"/>
        </w:rPr>
        <w:instrText xml:space="preserve"> PAGEREF _Toc82624394 \h </w:instrText>
      </w:r>
      <w:r>
        <w:rPr>
          <w:rStyle w:val="25"/>
          <w:sz w:val="24"/>
        </w:rPr>
        <w:fldChar w:fldCharType="separate"/>
      </w:r>
      <w:r>
        <w:rPr>
          <w:rStyle w:val="25"/>
          <w:sz w:val="24"/>
        </w:rPr>
        <w:t>- 68 -</w:t>
      </w:r>
      <w:r>
        <w:rPr>
          <w:rStyle w:val="25"/>
          <w:sz w:val="24"/>
        </w:rPr>
        <w:fldChar w:fldCharType="end"/>
      </w:r>
      <w:r>
        <w:rPr>
          <w:rStyle w:val="25"/>
          <w:sz w:val="24"/>
        </w:rPr>
        <w:fldChar w:fldCharType="end"/>
      </w:r>
    </w:p>
    <w:p>
      <w:pPr>
        <w:pStyle w:val="9"/>
        <w:tabs>
          <w:tab w:val="right" w:leader="dot" w:pos="8296"/>
        </w:tabs>
        <w:ind w:left="1200" w:firstLine="600"/>
        <w:rPr>
          <w:rStyle w:val="25"/>
          <w:sz w:val="24"/>
        </w:rPr>
      </w:pPr>
      <w:r>
        <w:fldChar w:fldCharType="begin"/>
      </w:r>
      <w:r>
        <w:instrText xml:space="preserve"> HYPERLINK \l "_Toc82624395" </w:instrText>
      </w:r>
      <w:r>
        <w:fldChar w:fldCharType="separate"/>
      </w:r>
      <w:r>
        <w:rPr>
          <w:rStyle w:val="25"/>
          <w:rFonts w:hint="eastAsia"/>
          <w:sz w:val="24"/>
        </w:rPr>
        <w:t>第二节</w:t>
      </w:r>
      <w:r>
        <w:rPr>
          <w:rStyle w:val="25"/>
          <w:sz w:val="24"/>
        </w:rPr>
        <w:t xml:space="preserve"> </w:t>
      </w:r>
      <w:r>
        <w:rPr>
          <w:rStyle w:val="25"/>
          <w:rFonts w:hint="eastAsia"/>
          <w:sz w:val="24"/>
        </w:rPr>
        <w:t>强化实施保障</w:t>
      </w:r>
      <w:r>
        <w:rPr>
          <w:rStyle w:val="25"/>
        </w:rPr>
        <w:tab/>
      </w:r>
      <w:r>
        <w:rPr>
          <w:rStyle w:val="25"/>
          <w:sz w:val="24"/>
        </w:rPr>
        <w:fldChar w:fldCharType="begin"/>
      </w:r>
      <w:r>
        <w:rPr>
          <w:rStyle w:val="25"/>
          <w:sz w:val="24"/>
        </w:rPr>
        <w:instrText xml:space="preserve"> PAGEREF _Toc82624395 \h </w:instrText>
      </w:r>
      <w:r>
        <w:rPr>
          <w:rStyle w:val="25"/>
          <w:sz w:val="24"/>
        </w:rPr>
        <w:fldChar w:fldCharType="separate"/>
      </w:r>
      <w:r>
        <w:rPr>
          <w:rStyle w:val="25"/>
          <w:sz w:val="24"/>
        </w:rPr>
        <w:t>- 69 -</w:t>
      </w:r>
      <w:r>
        <w:rPr>
          <w:rStyle w:val="25"/>
          <w:sz w:val="24"/>
        </w:rPr>
        <w:fldChar w:fldCharType="end"/>
      </w:r>
      <w:r>
        <w:rPr>
          <w:rStyle w:val="25"/>
          <w:sz w:val="24"/>
        </w:rPr>
        <w:fldChar w:fldCharType="end"/>
      </w:r>
    </w:p>
    <w:p>
      <w:pPr>
        <w:pStyle w:val="9"/>
        <w:tabs>
          <w:tab w:val="right" w:leader="dot" w:pos="8296"/>
        </w:tabs>
        <w:ind w:left="1200" w:firstLine="600"/>
        <w:rPr>
          <w:rStyle w:val="25"/>
          <w:sz w:val="24"/>
        </w:rPr>
      </w:pPr>
      <w:r>
        <w:fldChar w:fldCharType="begin"/>
      </w:r>
      <w:r>
        <w:instrText xml:space="preserve"> HYPERLINK \l "_Toc82624396" </w:instrText>
      </w:r>
      <w:r>
        <w:fldChar w:fldCharType="separate"/>
      </w:r>
      <w:r>
        <w:rPr>
          <w:rStyle w:val="25"/>
          <w:rFonts w:hint="eastAsia"/>
          <w:sz w:val="24"/>
        </w:rPr>
        <w:t>第三节</w:t>
      </w:r>
      <w:r>
        <w:rPr>
          <w:rStyle w:val="25"/>
          <w:sz w:val="24"/>
        </w:rPr>
        <w:t xml:space="preserve"> </w:t>
      </w:r>
      <w:r>
        <w:rPr>
          <w:rStyle w:val="25"/>
          <w:rFonts w:hint="eastAsia"/>
          <w:sz w:val="24"/>
        </w:rPr>
        <w:t>制定行动计划</w:t>
      </w:r>
      <w:r>
        <w:rPr>
          <w:rStyle w:val="25"/>
        </w:rPr>
        <w:tab/>
      </w:r>
      <w:r>
        <w:rPr>
          <w:rStyle w:val="25"/>
          <w:sz w:val="24"/>
        </w:rPr>
        <w:fldChar w:fldCharType="begin"/>
      </w:r>
      <w:r>
        <w:rPr>
          <w:rStyle w:val="25"/>
          <w:sz w:val="24"/>
        </w:rPr>
        <w:instrText xml:space="preserve"> PAGEREF _Toc82624396 \h </w:instrText>
      </w:r>
      <w:r>
        <w:rPr>
          <w:rStyle w:val="25"/>
          <w:sz w:val="24"/>
        </w:rPr>
        <w:fldChar w:fldCharType="separate"/>
      </w:r>
      <w:r>
        <w:rPr>
          <w:rStyle w:val="25"/>
          <w:sz w:val="24"/>
        </w:rPr>
        <w:t>- 71 -</w:t>
      </w:r>
      <w:r>
        <w:rPr>
          <w:rStyle w:val="25"/>
          <w:sz w:val="24"/>
        </w:rPr>
        <w:fldChar w:fldCharType="end"/>
      </w:r>
      <w:r>
        <w:rPr>
          <w:rStyle w:val="25"/>
          <w:sz w:val="24"/>
        </w:rPr>
        <w:fldChar w:fldCharType="end"/>
      </w:r>
    </w:p>
    <w:p>
      <w:pPr>
        <w:pStyle w:val="15"/>
        <w:ind w:firstLine="562"/>
        <w:rPr>
          <w:rFonts w:asciiTheme="minorHAnsi" w:hAnsiTheme="minorHAnsi" w:eastAsiaTheme="minorEastAsia" w:cstheme="minorBidi"/>
          <w:b w:val="0"/>
          <w:sz w:val="22"/>
          <w:szCs w:val="22"/>
        </w:rPr>
      </w:pPr>
      <w:r>
        <w:fldChar w:fldCharType="begin"/>
      </w:r>
      <w:r>
        <w:instrText xml:space="preserve"> HYPERLINK \l "_Toc82624397" </w:instrText>
      </w:r>
      <w:r>
        <w:fldChar w:fldCharType="separate"/>
      </w:r>
      <w:r>
        <w:rPr>
          <w:rStyle w:val="25"/>
          <w:rFonts w:hint="eastAsia"/>
          <w:sz w:val="28"/>
        </w:rPr>
        <w:t>附图目录</w:t>
      </w:r>
      <w:r>
        <w:rPr>
          <w:sz w:val="28"/>
        </w:rPr>
        <w:tab/>
      </w:r>
      <w:r>
        <w:rPr>
          <w:sz w:val="28"/>
        </w:rPr>
        <w:fldChar w:fldCharType="begin"/>
      </w:r>
      <w:r>
        <w:rPr>
          <w:sz w:val="28"/>
        </w:rPr>
        <w:instrText xml:space="preserve"> PAGEREF _Toc82624397 \h </w:instrText>
      </w:r>
      <w:r>
        <w:rPr>
          <w:sz w:val="28"/>
        </w:rPr>
        <w:fldChar w:fldCharType="separate"/>
      </w:r>
      <w:r>
        <w:rPr>
          <w:sz w:val="28"/>
        </w:rPr>
        <w:t>- 72 -</w:t>
      </w:r>
      <w:r>
        <w:rPr>
          <w:sz w:val="28"/>
        </w:rPr>
        <w:fldChar w:fldCharType="end"/>
      </w:r>
      <w:r>
        <w:rPr>
          <w:sz w:val="28"/>
        </w:rPr>
        <w:fldChar w:fldCharType="end"/>
      </w:r>
    </w:p>
    <w:p>
      <w:pPr>
        <w:spacing w:line="360" w:lineRule="auto"/>
        <w:rPr>
          <w:rFonts w:ascii="楷体" w:hAnsi="楷体" w:eastAsia="楷体"/>
          <w:bCs/>
          <w:color w:val="000000" w:themeColor="text1"/>
          <w:sz w:val="15"/>
          <w:szCs w:val="20"/>
          <w14:textFill>
            <w14:solidFill>
              <w14:schemeClr w14:val="tx1"/>
            </w14:solidFill>
          </w14:textFill>
        </w:rPr>
      </w:pPr>
      <w:r>
        <w:rPr>
          <w:rFonts w:ascii="楷体" w:hAnsi="楷体" w:eastAsia="楷体"/>
          <w:bCs/>
          <w:color w:val="000000" w:themeColor="text1"/>
          <w:sz w:val="10"/>
          <w:szCs w:val="20"/>
          <w:lang w:val="zh-CN"/>
          <w14:textFill>
            <w14:solidFill>
              <w14:schemeClr w14:val="tx1"/>
            </w14:solidFill>
          </w14:textFill>
        </w:rPr>
        <w:fldChar w:fldCharType="end"/>
      </w:r>
      <w:bookmarkStart w:id="1" w:name="_Toc60783752"/>
      <w:r>
        <w:rPr>
          <w:rFonts w:hint="eastAsia" w:ascii="楷体" w:hAnsi="楷体" w:eastAsia="楷体"/>
          <w:bCs/>
          <w:color w:val="000000" w:themeColor="text1"/>
          <w:sz w:val="15"/>
          <w:szCs w:val="20"/>
          <w14:textFill>
            <w14:solidFill>
              <w14:schemeClr w14:val="tx1"/>
            </w14:solidFill>
          </w14:textFill>
        </w:rPr>
        <w:t xml:space="preserve"> </w:t>
      </w:r>
    </w:p>
    <w:p>
      <w:pPr>
        <w:widowControl/>
        <w:ind w:firstLine="420"/>
        <w:jc w:val="left"/>
        <w:rPr>
          <w:rFonts w:ascii="楷体" w:hAnsi="楷体" w:eastAsia="楷体"/>
          <w:bCs/>
          <w:color w:val="000000" w:themeColor="text1"/>
          <w:sz w:val="21"/>
          <w:szCs w:val="20"/>
          <w14:textFill>
            <w14:solidFill>
              <w14:schemeClr w14:val="tx1"/>
            </w14:solidFill>
          </w14:textFill>
        </w:rPr>
      </w:pPr>
      <w:r>
        <w:rPr>
          <w:rFonts w:ascii="楷体" w:hAnsi="楷体" w:eastAsia="楷体"/>
          <w:bCs/>
          <w:color w:val="000000" w:themeColor="text1"/>
          <w:sz w:val="21"/>
          <w:szCs w:val="20"/>
          <w14:textFill>
            <w14:solidFill>
              <w14:schemeClr w14:val="tx1"/>
            </w14:solidFill>
          </w14:textFill>
        </w:rPr>
        <w:br w:type="page"/>
      </w:r>
    </w:p>
    <w:p>
      <w:pPr>
        <w:ind w:firstLine="3213"/>
        <w:jc w:val="center"/>
        <w:rPr>
          <w:b/>
          <w:color w:val="000000" w:themeColor="text1"/>
          <w:sz w:val="160"/>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0"/>
          <w:cols w:space="720" w:num="1"/>
          <w:titlePg/>
          <w:docGrid w:type="lines" w:linePitch="381" w:charSpace="0"/>
        </w:sectPr>
      </w:pPr>
    </w:p>
    <w:p>
      <w:pPr>
        <w:pStyle w:val="2"/>
        <w:ind w:firstLine="880"/>
      </w:pPr>
      <w:bookmarkStart w:id="2" w:name="_Toc82624309"/>
      <w:r>
        <w:rPr>
          <w:rFonts w:hint="eastAsia"/>
        </w:rPr>
        <w:t>第一篇 乘势而上开启</w:t>
      </w:r>
      <w:r>
        <w:t>新征程</w:t>
      </w:r>
      <w:bookmarkEnd w:id="1"/>
      <w:bookmarkEnd w:id="2"/>
    </w:p>
    <w:p>
      <w:pPr>
        <w:ind w:firstLine="600"/>
      </w:pPr>
      <w:bookmarkStart w:id="3" w:name="_Toc63420750"/>
      <w:r>
        <w:rPr>
          <w:rFonts w:hint="eastAsia"/>
        </w:rPr>
        <w:t>“十四五”时期是我国全面建成小康社会、实现第一个百年奋斗目标后，乘势而上开启全面建设社会主义现代化强国新征程、迈向第二个百年奋斗目标的第一个五年，文化、旅游和</w:t>
      </w:r>
      <w:r>
        <w:t>体育</w:t>
      </w:r>
      <w:r>
        <w:rPr>
          <w:rFonts w:hint="eastAsia"/>
        </w:rPr>
        <w:t>发展要着眼长远，把握大势，奋力谱写高质量发展新篇章。</w:t>
      </w:r>
    </w:p>
    <w:p>
      <w:pPr>
        <w:pStyle w:val="3"/>
        <w:ind w:firstLine="720"/>
      </w:pPr>
      <w:bookmarkStart w:id="4" w:name="_Toc82624310"/>
      <w:r>
        <w:rPr>
          <w:rFonts w:hint="eastAsia"/>
        </w:rPr>
        <w:t>第一章</w:t>
      </w:r>
      <w:r>
        <w:t xml:space="preserve"> </w:t>
      </w:r>
      <w:r>
        <w:rPr>
          <w:rFonts w:hint="eastAsia"/>
        </w:rPr>
        <w:t>发展基础和环境</w:t>
      </w:r>
      <w:bookmarkEnd w:id="4"/>
    </w:p>
    <w:p>
      <w:pPr>
        <w:ind w:firstLine="600"/>
      </w:pPr>
      <w:r>
        <w:rPr>
          <w:rFonts w:hint="eastAsia"/>
        </w:rPr>
        <w:t xml:space="preserve"> “十三五”时期是我国决胜脱贫攻坚、全面建成小康社会的收官五年。云阳文化、</w:t>
      </w:r>
      <w:r>
        <w:t>旅游和体育</w:t>
      </w:r>
      <w:r>
        <w:rPr>
          <w:rFonts w:hint="eastAsia"/>
        </w:rPr>
        <w:t>发展为决胜脱贫攻坚、提升城乡品质和融入成渝地区双城经济圈战略等做出了突出贡献，推动了</w:t>
      </w:r>
      <w:r>
        <w:t>云阳</w:t>
      </w:r>
      <w:r>
        <w:rPr>
          <w:rFonts w:hint="eastAsia"/>
        </w:rPr>
        <w:t>社会</w:t>
      </w:r>
      <w:r>
        <w:t>经济全面发展</w:t>
      </w:r>
      <w:r>
        <w:rPr>
          <w:rFonts w:hint="eastAsia"/>
        </w:rPr>
        <w:t>。</w:t>
      </w:r>
    </w:p>
    <w:p>
      <w:pPr>
        <w:pStyle w:val="4"/>
        <w:ind w:firstLine="640"/>
      </w:pPr>
      <w:bookmarkStart w:id="5" w:name="_Toc63420751"/>
      <w:bookmarkStart w:id="6" w:name="_Toc82624311"/>
      <w:r>
        <w:rPr>
          <w:rFonts w:hint="eastAsia"/>
        </w:rPr>
        <w:t xml:space="preserve">第一节 </w:t>
      </w:r>
      <w:bookmarkEnd w:id="5"/>
      <w:r>
        <w:rPr>
          <w:rFonts w:hint="eastAsia"/>
        </w:rPr>
        <w:t>发展基础</w:t>
      </w:r>
      <w:bookmarkEnd w:id="6"/>
    </w:p>
    <w:p>
      <w:pPr>
        <w:ind w:firstLine="602"/>
        <w:outlineLvl w:val="3"/>
        <w:rPr>
          <w:rFonts w:ascii="方正仿宋_GBK"/>
          <w:b/>
          <w:color w:val="000000" w:themeColor="text1"/>
          <w:szCs w:val="28"/>
          <w14:textFill>
            <w14:solidFill>
              <w14:schemeClr w14:val="tx1"/>
            </w14:solidFill>
          </w14:textFill>
        </w:rPr>
      </w:pPr>
      <w:r>
        <w:rPr>
          <w:rFonts w:hint="eastAsia" w:ascii="方正仿宋_GBK"/>
          <w:b/>
          <w:color w:val="000000" w:themeColor="text1"/>
          <w:szCs w:val="28"/>
          <w14:textFill>
            <w14:solidFill>
              <w14:schemeClr w14:val="tx1"/>
            </w14:solidFill>
          </w14:textFill>
        </w:rPr>
        <w:t>一</w:t>
      </w:r>
      <w:r>
        <w:rPr>
          <w:rFonts w:ascii="方正仿宋_GBK"/>
          <w:b/>
          <w:color w:val="000000" w:themeColor="text1"/>
          <w:szCs w:val="28"/>
          <w14:textFill>
            <w14:solidFill>
              <w14:schemeClr w14:val="tx1"/>
            </w14:solidFill>
          </w14:textFill>
        </w:rPr>
        <w:t>、</w:t>
      </w:r>
      <w:r>
        <w:rPr>
          <w:rFonts w:hint="eastAsia" w:ascii="方正仿宋_GBK"/>
          <w:b/>
          <w:color w:val="000000" w:themeColor="text1"/>
          <w:szCs w:val="28"/>
          <w14:textFill>
            <w14:solidFill>
              <w14:schemeClr w14:val="tx1"/>
            </w14:solidFill>
          </w14:textFill>
        </w:rPr>
        <w:t>全民文化生活品质稳步提升</w:t>
      </w:r>
    </w:p>
    <w:p>
      <w:pPr>
        <w:ind w:firstLine="600"/>
      </w:pPr>
      <w:r>
        <w:rPr>
          <w:rFonts w:hint="eastAsia"/>
        </w:rPr>
        <w:t>“十三五”期间</w:t>
      </w:r>
      <w:r>
        <w:t>，</w:t>
      </w:r>
      <w:r>
        <w:rPr>
          <w:rFonts w:hint="eastAsia"/>
        </w:rPr>
        <w:t>云阳全面推进公共文化服务、文化保护和传承、群众</w:t>
      </w:r>
      <w:r>
        <w:t>文艺</w:t>
      </w:r>
      <w:r>
        <w:rPr>
          <w:rFonts w:hint="eastAsia"/>
        </w:rPr>
        <w:t>、文化产业、文化传播等工作</w:t>
      </w:r>
      <w:r>
        <w:t>，</w:t>
      </w:r>
      <w:r>
        <w:rPr>
          <w:rFonts w:hint="eastAsia"/>
        </w:rPr>
        <w:t>文化产业</w:t>
      </w:r>
      <w:r>
        <w:t>和</w:t>
      </w:r>
      <w:r>
        <w:rPr>
          <w:rFonts w:hint="eastAsia"/>
        </w:rPr>
        <w:t>事业发展成效</w:t>
      </w:r>
      <w:r>
        <w:t>显著</w:t>
      </w:r>
      <w:r>
        <w:rPr>
          <w:rFonts w:hint="eastAsia"/>
        </w:rPr>
        <w:t>（见表1-1）。</w:t>
      </w:r>
    </w:p>
    <w:p>
      <w:pPr>
        <w:ind w:firstLine="600"/>
        <w:rPr>
          <w:rFonts w:ascii="仿宋" w:hAnsi="仿宋" w:eastAsia="仿宋" w:cs="仿宋"/>
        </w:rPr>
      </w:pPr>
      <w:r>
        <w:rPr>
          <w:rFonts w:hint="eastAsia"/>
        </w:rPr>
        <w:t>一是公共文化服务能力和品质全面升级。截至2020年末</w:t>
      </w:r>
      <w:r>
        <w:t>，</w:t>
      </w:r>
      <w:r>
        <w:rPr>
          <w:rFonts w:hint="eastAsia"/>
        </w:rPr>
        <w:t>人均拥文化设施</w:t>
      </w:r>
      <w:r>
        <w:t>面积达</w:t>
      </w:r>
      <w:r>
        <w:rPr>
          <w:rFonts w:hint="eastAsia"/>
        </w:rPr>
        <w:t>0.143平方米，县内</w:t>
      </w:r>
      <w:r>
        <w:t>市级博物</w:t>
      </w:r>
      <w:r>
        <w:rPr>
          <w:rFonts w:hint="eastAsia"/>
        </w:rPr>
        <w:t>馆达5个，数量居渝东北三峡库区城镇群之首，基层公共文化服务设施覆盖率100</w:t>
      </w:r>
      <w:r>
        <w:t>%</w:t>
      </w:r>
      <w:r>
        <w:rPr>
          <w:rFonts w:hint="eastAsia"/>
          <w:b/>
        </w:rPr>
        <w:t>；</w:t>
      </w:r>
      <w:r>
        <w:rPr>
          <w:rFonts w:hint="eastAsia" w:ascii="仿宋" w:hAnsi="仿宋" w:eastAsia="仿宋" w:cs="仿宋"/>
        </w:rPr>
        <w:t>年惠民电影达6000场、流动文化演出1000场、全民阅读活动百余场，</w:t>
      </w:r>
      <w:r>
        <w:rPr>
          <w:rFonts w:hint="eastAsia"/>
          <w:bCs/>
        </w:rPr>
        <w:t>公共文化服务形式和内容更加丰富</w:t>
      </w:r>
      <w:r>
        <w:rPr>
          <w:rFonts w:hint="eastAsia" w:ascii="仿宋" w:hAnsi="仿宋" w:eastAsia="仿宋" w:cs="仿宋"/>
        </w:rPr>
        <w:t>。</w:t>
      </w:r>
      <w:r>
        <w:rPr>
          <w:rFonts w:hint="eastAsia"/>
          <w:bCs/>
        </w:rPr>
        <w:t>二是文化保护和传承亮点突出。</w:t>
      </w:r>
      <w:r>
        <w:rPr>
          <w:rFonts w:hint="eastAsia" w:ascii="仿宋" w:hAnsi="仿宋" w:eastAsia="仿宋" w:cs="仿宋"/>
        </w:rPr>
        <w:t>新增三处市级文物保护单位，启动 “三个十”文物保护工程，完成375件珍贵文物修复工作。非物质文</w:t>
      </w:r>
      <w:r>
        <w:rPr>
          <w:rFonts w:hint="eastAsia"/>
        </w:rPr>
        <w:t>化遗产数量居渝东北三峡</w:t>
      </w:r>
      <w:r>
        <w:t>库区城镇群</w:t>
      </w:r>
      <w:r>
        <w:rPr>
          <w:rFonts w:hint="eastAsia"/>
        </w:rPr>
        <w:t>前列。三是文艺创作成绩斐然。出台《云阳县文艺创作扶持激励办法》，鼓励创作各类文艺作品6000余件，超10项文艺作品获得多项国家级大奖。四是文化产业有序发展。2020年全县文化企业总量1009家，规上文化企业达25家，文化产业增加值9.07亿元，占全县GDP比重达1.96%。</w:t>
      </w:r>
    </w:p>
    <w:p>
      <w:pPr>
        <w:ind w:firstLine="482"/>
        <w:jc w:val="center"/>
        <w:rPr>
          <w:rFonts w:ascii="楷体" w:hAnsi="楷体" w:eastAsia="楷体"/>
          <w:b/>
          <w:bCs/>
          <w:color w:val="000000" w:themeColor="text1"/>
          <w:sz w:val="24"/>
          <w14:textFill>
            <w14:solidFill>
              <w14:schemeClr w14:val="tx1"/>
            </w14:solidFill>
          </w14:textFill>
        </w:rPr>
      </w:pPr>
      <w:r>
        <w:rPr>
          <w:rFonts w:hint="eastAsia" w:ascii="楷体" w:hAnsi="楷体" w:eastAsia="楷体"/>
          <w:b/>
          <w:bCs/>
          <w:color w:val="000000" w:themeColor="text1"/>
          <w:sz w:val="24"/>
          <w14:textFill>
            <w14:solidFill>
              <w14:schemeClr w14:val="tx1"/>
            </w14:solidFill>
          </w14:textFill>
        </w:rPr>
        <w:t>表1-1：云阳县“十三五”文化产业事业发展概况</w:t>
      </w:r>
    </w:p>
    <w:tbl>
      <w:tblPr>
        <w:tblStyle w:val="21"/>
        <w:tblW w:w="8364"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7"/>
        <w:gridCol w:w="1120"/>
        <w:gridCol w:w="425"/>
        <w:gridCol w:w="3402"/>
        <w:gridCol w:w="709"/>
        <w:gridCol w:w="850"/>
        <w:gridCol w:w="851"/>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PrEx>
        <w:trPr>
          <w:trHeight w:val="270" w:hRule="atLeast"/>
        </w:trPr>
        <w:tc>
          <w:tcPr>
            <w:tcW w:w="1007" w:type="dxa"/>
            <w:tcBorders>
              <w:top w:val="single" w:color="000000" w:sz="4" w:space="0"/>
              <w:bottom w:val="single" w:color="000000" w:sz="4" w:space="0"/>
            </w:tcBorders>
            <w:noWrap/>
            <w:tcMar>
              <w:top w:w="15" w:type="dxa"/>
              <w:left w:w="15" w:type="dxa"/>
              <w:bottom w:w="0" w:type="dxa"/>
              <w:right w:w="15" w:type="dxa"/>
            </w:tcMar>
            <w:vAlign w:val="center"/>
          </w:tcPr>
          <w:p>
            <w:pPr>
              <w:pStyle w:val="42"/>
              <w:rPr>
                <w:b/>
              </w:rPr>
            </w:pPr>
            <w:r>
              <w:rPr>
                <w:rFonts w:hint="eastAsia"/>
                <w:b/>
              </w:rPr>
              <w:t>指标大类</w:t>
            </w:r>
          </w:p>
        </w:tc>
        <w:tc>
          <w:tcPr>
            <w:tcW w:w="1120" w:type="dxa"/>
            <w:tcBorders>
              <w:top w:val="single" w:color="000000" w:sz="4" w:space="0"/>
              <w:bottom w:val="single" w:color="000000" w:sz="4" w:space="0"/>
            </w:tcBorders>
            <w:tcMar>
              <w:top w:w="15" w:type="dxa"/>
              <w:left w:w="15" w:type="dxa"/>
              <w:bottom w:w="0" w:type="dxa"/>
              <w:right w:w="15" w:type="dxa"/>
            </w:tcMar>
            <w:vAlign w:val="center"/>
          </w:tcPr>
          <w:p>
            <w:pPr>
              <w:pStyle w:val="42"/>
              <w:rPr>
                <w:b/>
              </w:rPr>
            </w:pPr>
            <w:r>
              <w:rPr>
                <w:rFonts w:hint="eastAsia"/>
                <w:b/>
              </w:rPr>
              <w:t>指标分类</w:t>
            </w:r>
          </w:p>
        </w:tc>
        <w:tc>
          <w:tcPr>
            <w:tcW w:w="425" w:type="dxa"/>
            <w:tcBorders>
              <w:top w:val="single" w:color="000000" w:sz="4" w:space="0"/>
              <w:bottom w:val="single" w:color="000000" w:sz="4" w:space="0"/>
            </w:tcBorders>
            <w:tcMar>
              <w:top w:w="15" w:type="dxa"/>
              <w:left w:w="15" w:type="dxa"/>
              <w:bottom w:w="0" w:type="dxa"/>
              <w:right w:w="15" w:type="dxa"/>
            </w:tcMar>
            <w:vAlign w:val="center"/>
          </w:tcPr>
          <w:p>
            <w:pPr>
              <w:pStyle w:val="42"/>
              <w:rPr>
                <w:b/>
              </w:rPr>
            </w:pPr>
            <w:r>
              <w:rPr>
                <w:rFonts w:hint="eastAsia"/>
                <w:b/>
              </w:rPr>
              <w:t>序号</w:t>
            </w:r>
          </w:p>
        </w:tc>
        <w:tc>
          <w:tcPr>
            <w:tcW w:w="3402" w:type="dxa"/>
            <w:tcBorders>
              <w:top w:val="single" w:color="000000" w:sz="4" w:space="0"/>
              <w:bottom w:val="single" w:color="000000" w:sz="4" w:space="0"/>
            </w:tcBorders>
            <w:tcMar>
              <w:top w:w="15" w:type="dxa"/>
              <w:left w:w="15" w:type="dxa"/>
              <w:bottom w:w="0" w:type="dxa"/>
              <w:right w:w="15" w:type="dxa"/>
            </w:tcMar>
            <w:vAlign w:val="center"/>
          </w:tcPr>
          <w:p>
            <w:pPr>
              <w:pStyle w:val="42"/>
              <w:rPr>
                <w:b/>
              </w:rPr>
            </w:pPr>
            <w:r>
              <w:rPr>
                <w:rFonts w:hint="eastAsia"/>
                <w:b/>
              </w:rPr>
              <w:t>指标名称</w:t>
            </w:r>
          </w:p>
        </w:tc>
        <w:tc>
          <w:tcPr>
            <w:tcW w:w="709" w:type="dxa"/>
            <w:tcBorders>
              <w:top w:val="single" w:color="000000" w:sz="4" w:space="0"/>
              <w:bottom w:val="single" w:color="000000" w:sz="4" w:space="0"/>
            </w:tcBorders>
            <w:tcMar>
              <w:top w:w="15" w:type="dxa"/>
              <w:left w:w="15" w:type="dxa"/>
              <w:bottom w:w="0" w:type="dxa"/>
              <w:right w:w="15" w:type="dxa"/>
            </w:tcMar>
            <w:vAlign w:val="center"/>
          </w:tcPr>
          <w:p>
            <w:pPr>
              <w:pStyle w:val="42"/>
              <w:rPr>
                <w:b/>
              </w:rPr>
            </w:pPr>
            <w:r>
              <w:rPr>
                <w:rFonts w:hint="eastAsia"/>
                <w:b/>
              </w:rPr>
              <w:t>单位</w:t>
            </w:r>
          </w:p>
        </w:tc>
        <w:tc>
          <w:tcPr>
            <w:tcW w:w="850" w:type="dxa"/>
            <w:tcBorders>
              <w:top w:val="single" w:color="000000" w:sz="4" w:space="0"/>
              <w:bottom w:val="single" w:color="000000" w:sz="4" w:space="0"/>
            </w:tcBorders>
            <w:tcMar>
              <w:top w:w="15" w:type="dxa"/>
              <w:left w:w="15" w:type="dxa"/>
              <w:bottom w:w="0" w:type="dxa"/>
              <w:right w:w="15" w:type="dxa"/>
            </w:tcMar>
            <w:vAlign w:val="center"/>
          </w:tcPr>
          <w:p>
            <w:pPr>
              <w:pStyle w:val="42"/>
              <w:rPr>
                <w:b/>
              </w:rPr>
            </w:pPr>
            <w:r>
              <w:rPr>
                <w:rFonts w:hint="eastAsia"/>
                <w:b/>
              </w:rPr>
              <w:t>2016年</w:t>
            </w:r>
          </w:p>
        </w:tc>
        <w:tc>
          <w:tcPr>
            <w:tcW w:w="851" w:type="dxa"/>
            <w:tcBorders>
              <w:top w:val="single" w:color="000000" w:sz="4" w:space="0"/>
              <w:bottom w:val="single" w:color="000000" w:sz="4" w:space="0"/>
            </w:tcBorders>
            <w:tcMar>
              <w:top w:w="15" w:type="dxa"/>
              <w:left w:w="15" w:type="dxa"/>
              <w:bottom w:w="0" w:type="dxa"/>
              <w:right w:w="15" w:type="dxa"/>
            </w:tcMar>
            <w:vAlign w:val="center"/>
          </w:tcPr>
          <w:p>
            <w:pPr>
              <w:pStyle w:val="42"/>
              <w:rPr>
                <w:b/>
              </w:rPr>
            </w:pPr>
            <w:r>
              <w:rPr>
                <w:rFonts w:hint="eastAsia"/>
                <w:b/>
              </w:rPr>
              <w:t>2020年</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PrEx>
        <w:trPr>
          <w:trHeight w:val="335" w:hRule="atLeast"/>
        </w:trPr>
        <w:tc>
          <w:tcPr>
            <w:tcW w:w="1007" w:type="dxa"/>
            <w:vMerge w:val="restart"/>
            <w:noWrap/>
            <w:tcMar>
              <w:top w:w="15" w:type="dxa"/>
              <w:left w:w="15" w:type="dxa"/>
              <w:bottom w:w="0" w:type="dxa"/>
              <w:right w:w="15" w:type="dxa"/>
            </w:tcMar>
            <w:vAlign w:val="center"/>
          </w:tcPr>
          <w:p>
            <w:pPr>
              <w:pStyle w:val="42"/>
            </w:pPr>
            <w:r>
              <w:rPr>
                <w:rFonts w:hint="eastAsia"/>
              </w:rPr>
              <w:t>文化</w:t>
            </w:r>
            <w:r>
              <w:t>发展</w:t>
            </w:r>
          </w:p>
        </w:tc>
        <w:tc>
          <w:tcPr>
            <w:tcW w:w="1120" w:type="dxa"/>
            <w:vMerge w:val="restart"/>
            <w:tcBorders>
              <w:top w:val="single" w:color="000000" w:sz="4" w:space="0"/>
              <w:bottom w:val="nil"/>
            </w:tcBorders>
            <w:tcMar>
              <w:top w:w="15" w:type="dxa"/>
              <w:left w:w="15" w:type="dxa"/>
              <w:bottom w:w="0" w:type="dxa"/>
              <w:right w:w="15" w:type="dxa"/>
            </w:tcMar>
            <w:vAlign w:val="center"/>
          </w:tcPr>
          <w:p>
            <w:pPr>
              <w:pStyle w:val="42"/>
            </w:pPr>
            <w:r>
              <w:t>公共文化</w:t>
            </w:r>
          </w:p>
        </w:tc>
        <w:tc>
          <w:tcPr>
            <w:tcW w:w="425" w:type="dxa"/>
            <w:tcBorders>
              <w:top w:val="single" w:color="000000" w:sz="4" w:space="0"/>
              <w:bottom w:val="nil"/>
            </w:tcBorders>
            <w:noWrap/>
            <w:tcMar>
              <w:top w:w="15" w:type="dxa"/>
              <w:left w:w="15" w:type="dxa"/>
              <w:bottom w:w="0" w:type="dxa"/>
              <w:right w:w="15" w:type="dxa"/>
            </w:tcMar>
            <w:vAlign w:val="center"/>
          </w:tcPr>
          <w:p>
            <w:pPr>
              <w:pStyle w:val="42"/>
            </w:pPr>
            <w:r>
              <w:rPr>
                <w:rFonts w:hint="eastAsia"/>
              </w:rPr>
              <w:t>1</w:t>
            </w:r>
          </w:p>
        </w:tc>
        <w:tc>
          <w:tcPr>
            <w:tcW w:w="3402" w:type="dxa"/>
            <w:tcBorders>
              <w:top w:val="single" w:color="000000" w:sz="4" w:space="0"/>
              <w:bottom w:val="nil"/>
            </w:tcBorders>
            <w:tcMar>
              <w:top w:w="15" w:type="dxa"/>
              <w:left w:w="15" w:type="dxa"/>
              <w:bottom w:w="0" w:type="dxa"/>
              <w:right w:w="15" w:type="dxa"/>
            </w:tcMar>
            <w:vAlign w:val="center"/>
          </w:tcPr>
          <w:p>
            <w:pPr>
              <w:pStyle w:val="42"/>
            </w:pPr>
            <w:r>
              <w:rPr>
                <w:rFonts w:hint="eastAsia"/>
              </w:rPr>
              <w:t>万人拥有公共文化设施面积</w:t>
            </w:r>
          </w:p>
        </w:tc>
        <w:tc>
          <w:tcPr>
            <w:tcW w:w="709" w:type="dxa"/>
            <w:tcBorders>
              <w:top w:val="single" w:color="000000" w:sz="4" w:space="0"/>
              <w:bottom w:val="nil"/>
            </w:tcBorders>
            <w:tcMar>
              <w:top w:w="15" w:type="dxa"/>
              <w:left w:w="15" w:type="dxa"/>
              <w:bottom w:w="0" w:type="dxa"/>
              <w:right w:w="15" w:type="dxa"/>
            </w:tcMar>
            <w:vAlign w:val="center"/>
          </w:tcPr>
          <w:p>
            <w:pPr>
              <w:pStyle w:val="42"/>
            </w:pPr>
            <w:r>
              <w:rPr>
                <w:rFonts w:hint="eastAsia"/>
              </w:rPr>
              <w:t>M</w:t>
            </w:r>
            <w:r>
              <w:rPr>
                <w:rFonts w:hint="eastAsia"/>
                <w:vertAlign w:val="superscript"/>
              </w:rPr>
              <w:t>2</w:t>
            </w:r>
          </w:p>
        </w:tc>
        <w:tc>
          <w:tcPr>
            <w:tcW w:w="850" w:type="dxa"/>
            <w:tcBorders>
              <w:top w:val="single" w:color="000000" w:sz="4" w:space="0"/>
              <w:bottom w:val="nil"/>
            </w:tcBorders>
            <w:tcMar>
              <w:top w:w="15" w:type="dxa"/>
              <w:left w:w="15" w:type="dxa"/>
              <w:bottom w:w="0" w:type="dxa"/>
              <w:right w:w="15" w:type="dxa"/>
            </w:tcMar>
            <w:vAlign w:val="center"/>
          </w:tcPr>
          <w:p>
            <w:pPr>
              <w:pStyle w:val="42"/>
            </w:pPr>
            <w:r>
              <w:rPr>
                <w:rFonts w:hint="eastAsia"/>
              </w:rPr>
              <w:t>-</w:t>
            </w:r>
          </w:p>
        </w:tc>
        <w:tc>
          <w:tcPr>
            <w:tcW w:w="851" w:type="dxa"/>
            <w:tcBorders>
              <w:top w:val="single" w:color="000000" w:sz="4" w:space="0"/>
              <w:bottom w:val="nil"/>
            </w:tcBorders>
            <w:noWrap/>
            <w:tcMar>
              <w:top w:w="15" w:type="dxa"/>
              <w:left w:w="15" w:type="dxa"/>
              <w:bottom w:w="0" w:type="dxa"/>
              <w:right w:w="15" w:type="dxa"/>
            </w:tcMar>
            <w:vAlign w:val="center"/>
          </w:tcPr>
          <w:p>
            <w:pPr>
              <w:pStyle w:val="42"/>
            </w:pPr>
            <w:r>
              <w:rPr>
                <w:rFonts w:hint="eastAsia"/>
              </w:rPr>
              <w:t>523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1007" w:type="dxa"/>
            <w:vMerge w:val="continue"/>
            <w:vAlign w:val="center"/>
          </w:tcPr>
          <w:p>
            <w:pPr>
              <w:pStyle w:val="42"/>
            </w:pPr>
          </w:p>
        </w:tc>
        <w:tc>
          <w:tcPr>
            <w:tcW w:w="1120" w:type="dxa"/>
            <w:vMerge w:val="continue"/>
            <w:tcBorders>
              <w:top w:val="nil"/>
              <w:bottom w:val="nil"/>
            </w:tcBorders>
            <w:vAlign w:val="center"/>
          </w:tcPr>
          <w:p>
            <w:pPr>
              <w:pStyle w:val="42"/>
            </w:pPr>
          </w:p>
        </w:tc>
        <w:tc>
          <w:tcPr>
            <w:tcW w:w="425" w:type="dxa"/>
            <w:tcBorders>
              <w:top w:val="nil"/>
              <w:bottom w:val="nil"/>
            </w:tcBorders>
            <w:noWrap/>
            <w:tcMar>
              <w:top w:w="15" w:type="dxa"/>
              <w:left w:w="15" w:type="dxa"/>
              <w:bottom w:w="0" w:type="dxa"/>
              <w:right w:w="15" w:type="dxa"/>
            </w:tcMar>
            <w:vAlign w:val="center"/>
          </w:tcPr>
          <w:p>
            <w:pPr>
              <w:pStyle w:val="42"/>
            </w:pPr>
            <w:r>
              <w:rPr>
                <w:rFonts w:hint="eastAsia"/>
              </w:rPr>
              <w:t>2</w:t>
            </w:r>
          </w:p>
        </w:tc>
        <w:tc>
          <w:tcPr>
            <w:tcW w:w="3402" w:type="dxa"/>
            <w:tcBorders>
              <w:top w:val="nil"/>
              <w:bottom w:val="nil"/>
            </w:tcBorders>
            <w:tcMar>
              <w:top w:w="15" w:type="dxa"/>
              <w:left w:w="15" w:type="dxa"/>
              <w:bottom w:w="0" w:type="dxa"/>
              <w:right w:w="15" w:type="dxa"/>
            </w:tcMar>
            <w:vAlign w:val="center"/>
          </w:tcPr>
          <w:p>
            <w:pPr>
              <w:pStyle w:val="42"/>
            </w:pPr>
            <w:r>
              <w:rPr>
                <w:rFonts w:hint="eastAsia"/>
              </w:rPr>
              <w:t>三馆年举办讲座、培训等活动累计数</w:t>
            </w:r>
          </w:p>
        </w:tc>
        <w:tc>
          <w:tcPr>
            <w:tcW w:w="709" w:type="dxa"/>
            <w:tcBorders>
              <w:top w:val="nil"/>
              <w:bottom w:val="nil"/>
            </w:tcBorders>
            <w:tcMar>
              <w:top w:w="15" w:type="dxa"/>
              <w:left w:w="15" w:type="dxa"/>
              <w:bottom w:w="0" w:type="dxa"/>
              <w:right w:w="15" w:type="dxa"/>
            </w:tcMar>
            <w:vAlign w:val="center"/>
          </w:tcPr>
          <w:p>
            <w:pPr>
              <w:pStyle w:val="42"/>
            </w:pPr>
            <w:r>
              <w:rPr>
                <w:rFonts w:hint="eastAsia"/>
              </w:rPr>
              <w:t>次</w:t>
            </w:r>
          </w:p>
        </w:tc>
        <w:tc>
          <w:tcPr>
            <w:tcW w:w="850" w:type="dxa"/>
            <w:tcBorders>
              <w:top w:val="nil"/>
              <w:bottom w:val="nil"/>
            </w:tcBorders>
            <w:tcMar>
              <w:top w:w="15" w:type="dxa"/>
              <w:left w:w="15" w:type="dxa"/>
              <w:bottom w:w="0" w:type="dxa"/>
              <w:right w:w="15" w:type="dxa"/>
            </w:tcMar>
            <w:vAlign w:val="center"/>
          </w:tcPr>
          <w:p>
            <w:pPr>
              <w:pStyle w:val="42"/>
            </w:pPr>
            <w:r>
              <w:rPr>
                <w:rFonts w:hint="eastAsia"/>
              </w:rPr>
              <w:t>348</w:t>
            </w:r>
          </w:p>
        </w:tc>
        <w:tc>
          <w:tcPr>
            <w:tcW w:w="851" w:type="dxa"/>
            <w:tcBorders>
              <w:top w:val="nil"/>
              <w:bottom w:val="nil"/>
            </w:tcBorders>
            <w:noWrap/>
            <w:tcMar>
              <w:top w:w="15" w:type="dxa"/>
              <w:left w:w="15" w:type="dxa"/>
              <w:bottom w:w="0" w:type="dxa"/>
              <w:right w:w="15" w:type="dxa"/>
            </w:tcMar>
            <w:vAlign w:val="center"/>
          </w:tcPr>
          <w:p>
            <w:pPr>
              <w:pStyle w:val="42"/>
            </w:pPr>
            <w:r>
              <w:rPr>
                <w:rFonts w:hint="eastAsia"/>
              </w:rPr>
              <w:t>522</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007" w:type="dxa"/>
            <w:vMerge w:val="continue"/>
            <w:vAlign w:val="center"/>
          </w:tcPr>
          <w:p>
            <w:pPr>
              <w:pStyle w:val="42"/>
            </w:pPr>
          </w:p>
        </w:tc>
        <w:tc>
          <w:tcPr>
            <w:tcW w:w="1120" w:type="dxa"/>
            <w:vMerge w:val="continue"/>
            <w:tcBorders>
              <w:top w:val="nil"/>
              <w:bottom w:val="nil"/>
            </w:tcBorders>
            <w:vAlign w:val="center"/>
          </w:tcPr>
          <w:p>
            <w:pPr>
              <w:pStyle w:val="42"/>
            </w:pPr>
          </w:p>
        </w:tc>
        <w:tc>
          <w:tcPr>
            <w:tcW w:w="425" w:type="dxa"/>
            <w:tcBorders>
              <w:top w:val="nil"/>
              <w:bottom w:val="nil"/>
            </w:tcBorders>
            <w:noWrap/>
            <w:tcMar>
              <w:top w:w="15" w:type="dxa"/>
              <w:left w:w="15" w:type="dxa"/>
              <w:bottom w:w="0" w:type="dxa"/>
              <w:right w:w="15" w:type="dxa"/>
            </w:tcMar>
            <w:vAlign w:val="center"/>
          </w:tcPr>
          <w:p>
            <w:pPr>
              <w:pStyle w:val="42"/>
            </w:pPr>
            <w:r>
              <w:rPr>
                <w:rFonts w:hint="eastAsia"/>
              </w:rPr>
              <w:t>3</w:t>
            </w:r>
          </w:p>
        </w:tc>
        <w:tc>
          <w:tcPr>
            <w:tcW w:w="3402" w:type="dxa"/>
            <w:tcBorders>
              <w:top w:val="nil"/>
              <w:bottom w:val="nil"/>
            </w:tcBorders>
            <w:tcMar>
              <w:top w:w="15" w:type="dxa"/>
              <w:left w:w="15" w:type="dxa"/>
              <w:bottom w:w="0" w:type="dxa"/>
              <w:right w:w="15" w:type="dxa"/>
            </w:tcMar>
            <w:vAlign w:val="center"/>
          </w:tcPr>
          <w:p>
            <w:pPr>
              <w:pStyle w:val="42"/>
            </w:pPr>
            <w:r>
              <w:rPr>
                <w:rFonts w:hint="eastAsia"/>
              </w:rPr>
              <w:t>人均公共图书馆藏书量</w:t>
            </w:r>
          </w:p>
        </w:tc>
        <w:tc>
          <w:tcPr>
            <w:tcW w:w="709" w:type="dxa"/>
            <w:tcBorders>
              <w:top w:val="nil"/>
              <w:bottom w:val="nil"/>
            </w:tcBorders>
            <w:tcMar>
              <w:top w:w="15" w:type="dxa"/>
              <w:left w:w="15" w:type="dxa"/>
              <w:bottom w:w="0" w:type="dxa"/>
              <w:right w:w="15" w:type="dxa"/>
            </w:tcMar>
            <w:vAlign w:val="center"/>
          </w:tcPr>
          <w:p>
            <w:pPr>
              <w:pStyle w:val="42"/>
            </w:pPr>
            <w:r>
              <w:rPr>
                <w:rFonts w:hint="eastAsia"/>
              </w:rPr>
              <w:t>册</w:t>
            </w:r>
          </w:p>
        </w:tc>
        <w:tc>
          <w:tcPr>
            <w:tcW w:w="850" w:type="dxa"/>
            <w:tcBorders>
              <w:top w:val="nil"/>
              <w:bottom w:val="nil"/>
            </w:tcBorders>
            <w:tcMar>
              <w:top w:w="15" w:type="dxa"/>
              <w:left w:w="15" w:type="dxa"/>
              <w:bottom w:w="0" w:type="dxa"/>
              <w:right w:w="15" w:type="dxa"/>
            </w:tcMar>
            <w:vAlign w:val="center"/>
          </w:tcPr>
          <w:p>
            <w:pPr>
              <w:pStyle w:val="42"/>
            </w:pPr>
            <w:r>
              <w:t>1.5</w:t>
            </w:r>
          </w:p>
        </w:tc>
        <w:tc>
          <w:tcPr>
            <w:tcW w:w="851" w:type="dxa"/>
            <w:tcBorders>
              <w:top w:val="nil"/>
              <w:bottom w:val="nil"/>
            </w:tcBorders>
            <w:noWrap/>
            <w:tcMar>
              <w:top w:w="15" w:type="dxa"/>
              <w:left w:w="15" w:type="dxa"/>
              <w:bottom w:w="0" w:type="dxa"/>
              <w:right w:w="15" w:type="dxa"/>
            </w:tcMar>
            <w:vAlign w:val="center"/>
          </w:tcPr>
          <w:p>
            <w:pPr>
              <w:pStyle w:val="42"/>
            </w:pPr>
            <w:r>
              <w:rPr>
                <w:rFonts w:hint="eastAsia"/>
              </w:rPr>
              <w:t>1.62</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1007" w:type="dxa"/>
            <w:vMerge w:val="continue"/>
            <w:vAlign w:val="center"/>
          </w:tcPr>
          <w:p>
            <w:pPr>
              <w:pStyle w:val="42"/>
            </w:pPr>
          </w:p>
        </w:tc>
        <w:tc>
          <w:tcPr>
            <w:tcW w:w="1120" w:type="dxa"/>
            <w:vMerge w:val="continue"/>
            <w:tcBorders>
              <w:top w:val="nil"/>
              <w:bottom w:val="nil"/>
            </w:tcBorders>
            <w:vAlign w:val="center"/>
          </w:tcPr>
          <w:p>
            <w:pPr>
              <w:pStyle w:val="42"/>
            </w:pPr>
          </w:p>
        </w:tc>
        <w:tc>
          <w:tcPr>
            <w:tcW w:w="425" w:type="dxa"/>
            <w:tcBorders>
              <w:top w:val="nil"/>
              <w:bottom w:val="single" w:color="000000" w:sz="4" w:space="0"/>
            </w:tcBorders>
            <w:noWrap/>
            <w:tcMar>
              <w:top w:w="15" w:type="dxa"/>
              <w:left w:w="15" w:type="dxa"/>
              <w:bottom w:w="0" w:type="dxa"/>
              <w:right w:w="15" w:type="dxa"/>
            </w:tcMar>
            <w:vAlign w:val="center"/>
          </w:tcPr>
          <w:p>
            <w:pPr>
              <w:pStyle w:val="42"/>
            </w:pPr>
            <w:r>
              <w:rPr>
                <w:rFonts w:hint="eastAsia"/>
              </w:rPr>
              <w:t>4</w:t>
            </w:r>
          </w:p>
        </w:tc>
        <w:tc>
          <w:tcPr>
            <w:tcW w:w="3402" w:type="dxa"/>
            <w:tcBorders>
              <w:top w:val="nil"/>
              <w:bottom w:val="single" w:color="000000" w:sz="4" w:space="0"/>
            </w:tcBorders>
            <w:tcMar>
              <w:top w:w="15" w:type="dxa"/>
              <w:left w:w="15" w:type="dxa"/>
              <w:bottom w:w="0" w:type="dxa"/>
              <w:right w:w="15" w:type="dxa"/>
            </w:tcMar>
            <w:vAlign w:val="center"/>
          </w:tcPr>
          <w:p>
            <w:pPr>
              <w:pStyle w:val="42"/>
            </w:pPr>
            <w:r>
              <w:rPr>
                <w:rFonts w:hint="eastAsia"/>
              </w:rPr>
              <w:t>文艺作品获市级以上奖项累计数</w:t>
            </w:r>
          </w:p>
        </w:tc>
        <w:tc>
          <w:tcPr>
            <w:tcW w:w="709" w:type="dxa"/>
            <w:tcBorders>
              <w:top w:val="nil"/>
              <w:bottom w:val="single" w:color="000000" w:sz="4" w:space="0"/>
            </w:tcBorders>
            <w:tcMar>
              <w:top w:w="15" w:type="dxa"/>
              <w:left w:w="15" w:type="dxa"/>
              <w:bottom w:w="0" w:type="dxa"/>
              <w:right w:w="15" w:type="dxa"/>
            </w:tcMar>
            <w:vAlign w:val="center"/>
          </w:tcPr>
          <w:p>
            <w:pPr>
              <w:pStyle w:val="42"/>
            </w:pPr>
            <w:r>
              <w:rPr>
                <w:rFonts w:hint="eastAsia"/>
              </w:rPr>
              <w:t>件</w:t>
            </w:r>
          </w:p>
        </w:tc>
        <w:tc>
          <w:tcPr>
            <w:tcW w:w="850" w:type="dxa"/>
            <w:tcBorders>
              <w:top w:val="nil"/>
              <w:bottom w:val="single" w:color="000000" w:sz="4" w:space="0"/>
            </w:tcBorders>
            <w:tcMar>
              <w:top w:w="15" w:type="dxa"/>
              <w:left w:w="15" w:type="dxa"/>
              <w:bottom w:w="0" w:type="dxa"/>
              <w:right w:w="15" w:type="dxa"/>
            </w:tcMar>
            <w:vAlign w:val="center"/>
          </w:tcPr>
          <w:p>
            <w:pPr>
              <w:pStyle w:val="42"/>
            </w:pPr>
            <w:r>
              <w:rPr>
                <w:rFonts w:hint="eastAsia"/>
              </w:rPr>
              <w:t>7</w:t>
            </w:r>
          </w:p>
        </w:tc>
        <w:tc>
          <w:tcPr>
            <w:tcW w:w="851" w:type="dxa"/>
            <w:tcBorders>
              <w:top w:val="nil"/>
              <w:bottom w:val="single" w:color="000000" w:sz="4" w:space="0"/>
            </w:tcBorders>
            <w:noWrap/>
            <w:tcMar>
              <w:top w:w="15" w:type="dxa"/>
              <w:left w:w="15" w:type="dxa"/>
              <w:bottom w:w="0" w:type="dxa"/>
              <w:right w:w="15" w:type="dxa"/>
            </w:tcMar>
            <w:vAlign w:val="center"/>
          </w:tcPr>
          <w:p>
            <w:pPr>
              <w:pStyle w:val="42"/>
            </w:pPr>
            <w:r>
              <w:rPr>
                <w:rFonts w:hint="eastAsia"/>
              </w:rPr>
              <w:t>10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7" w:type="dxa"/>
            <w:vMerge w:val="continue"/>
            <w:vAlign w:val="center"/>
          </w:tcPr>
          <w:p>
            <w:pPr>
              <w:pStyle w:val="42"/>
            </w:pPr>
          </w:p>
        </w:tc>
        <w:tc>
          <w:tcPr>
            <w:tcW w:w="1120" w:type="dxa"/>
            <w:vMerge w:val="restart"/>
            <w:tcBorders>
              <w:top w:val="nil"/>
              <w:bottom w:val="nil"/>
            </w:tcBorders>
            <w:tcMar>
              <w:top w:w="15" w:type="dxa"/>
              <w:left w:w="15" w:type="dxa"/>
              <w:bottom w:w="0" w:type="dxa"/>
              <w:right w:w="15" w:type="dxa"/>
            </w:tcMar>
            <w:vAlign w:val="center"/>
          </w:tcPr>
          <w:p>
            <w:pPr>
              <w:pStyle w:val="42"/>
            </w:pPr>
            <w:r>
              <w:t>文化产业</w:t>
            </w:r>
          </w:p>
        </w:tc>
        <w:tc>
          <w:tcPr>
            <w:tcW w:w="425" w:type="dxa"/>
            <w:tcBorders>
              <w:top w:val="single" w:color="000000" w:sz="4" w:space="0"/>
              <w:bottom w:val="nil"/>
            </w:tcBorders>
            <w:noWrap/>
            <w:tcMar>
              <w:top w:w="15" w:type="dxa"/>
              <w:left w:w="15" w:type="dxa"/>
              <w:bottom w:w="0" w:type="dxa"/>
              <w:right w:w="15" w:type="dxa"/>
            </w:tcMar>
            <w:vAlign w:val="center"/>
          </w:tcPr>
          <w:p>
            <w:pPr>
              <w:pStyle w:val="42"/>
            </w:pPr>
            <w:r>
              <w:rPr>
                <w:rFonts w:hint="eastAsia"/>
              </w:rPr>
              <w:t>5</w:t>
            </w:r>
          </w:p>
        </w:tc>
        <w:tc>
          <w:tcPr>
            <w:tcW w:w="3402" w:type="dxa"/>
            <w:tcBorders>
              <w:top w:val="single" w:color="000000" w:sz="4" w:space="0"/>
              <w:bottom w:val="nil"/>
            </w:tcBorders>
            <w:tcMar>
              <w:top w:w="15" w:type="dxa"/>
              <w:left w:w="15" w:type="dxa"/>
              <w:bottom w:w="0" w:type="dxa"/>
              <w:right w:w="15" w:type="dxa"/>
            </w:tcMar>
            <w:vAlign w:val="center"/>
          </w:tcPr>
          <w:p>
            <w:pPr>
              <w:pStyle w:val="42"/>
            </w:pPr>
            <w:r>
              <w:rPr>
                <w:rFonts w:hint="eastAsia"/>
              </w:rPr>
              <w:t>文化产业增加值总量</w:t>
            </w:r>
          </w:p>
        </w:tc>
        <w:tc>
          <w:tcPr>
            <w:tcW w:w="709" w:type="dxa"/>
            <w:tcBorders>
              <w:top w:val="single" w:color="000000" w:sz="4" w:space="0"/>
              <w:bottom w:val="nil"/>
            </w:tcBorders>
            <w:tcMar>
              <w:top w:w="15" w:type="dxa"/>
              <w:left w:w="15" w:type="dxa"/>
              <w:bottom w:w="0" w:type="dxa"/>
              <w:right w:w="15" w:type="dxa"/>
            </w:tcMar>
            <w:vAlign w:val="center"/>
          </w:tcPr>
          <w:p>
            <w:pPr>
              <w:pStyle w:val="42"/>
            </w:pPr>
            <w:r>
              <w:rPr>
                <w:rFonts w:hint="eastAsia"/>
              </w:rPr>
              <w:t>亿元</w:t>
            </w:r>
          </w:p>
        </w:tc>
        <w:tc>
          <w:tcPr>
            <w:tcW w:w="850" w:type="dxa"/>
            <w:tcBorders>
              <w:top w:val="single" w:color="000000" w:sz="4" w:space="0"/>
              <w:bottom w:val="nil"/>
            </w:tcBorders>
            <w:tcMar>
              <w:top w:w="15" w:type="dxa"/>
              <w:left w:w="15" w:type="dxa"/>
              <w:bottom w:w="0" w:type="dxa"/>
              <w:right w:w="15" w:type="dxa"/>
            </w:tcMar>
            <w:vAlign w:val="center"/>
          </w:tcPr>
          <w:p>
            <w:pPr>
              <w:pStyle w:val="42"/>
            </w:pPr>
            <w:r>
              <w:rPr>
                <w:rFonts w:hint="eastAsia"/>
              </w:rPr>
              <w:t>-</w:t>
            </w:r>
          </w:p>
        </w:tc>
        <w:tc>
          <w:tcPr>
            <w:tcW w:w="851" w:type="dxa"/>
            <w:tcBorders>
              <w:top w:val="single" w:color="000000" w:sz="4" w:space="0"/>
              <w:bottom w:val="nil"/>
            </w:tcBorders>
            <w:noWrap/>
            <w:tcMar>
              <w:top w:w="15" w:type="dxa"/>
              <w:left w:w="15" w:type="dxa"/>
              <w:bottom w:w="0" w:type="dxa"/>
              <w:right w:w="15" w:type="dxa"/>
            </w:tcMar>
            <w:vAlign w:val="center"/>
          </w:tcPr>
          <w:p>
            <w:pPr>
              <w:pStyle w:val="42"/>
            </w:pPr>
            <w:r>
              <w:rPr>
                <w:rFonts w:hint="eastAsia"/>
              </w:rPr>
              <w:t>9.07</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7" w:type="dxa"/>
            <w:vMerge w:val="continue"/>
            <w:vAlign w:val="center"/>
          </w:tcPr>
          <w:p>
            <w:pPr>
              <w:pStyle w:val="42"/>
            </w:pPr>
          </w:p>
        </w:tc>
        <w:tc>
          <w:tcPr>
            <w:tcW w:w="1120" w:type="dxa"/>
            <w:vMerge w:val="continue"/>
            <w:tcBorders>
              <w:top w:val="nil"/>
              <w:bottom w:val="nil"/>
            </w:tcBorders>
            <w:tcMar>
              <w:top w:w="15" w:type="dxa"/>
              <w:left w:w="15" w:type="dxa"/>
              <w:bottom w:w="0" w:type="dxa"/>
              <w:right w:w="15" w:type="dxa"/>
            </w:tcMar>
            <w:vAlign w:val="center"/>
          </w:tcPr>
          <w:p>
            <w:pPr>
              <w:pStyle w:val="42"/>
            </w:pPr>
          </w:p>
        </w:tc>
        <w:tc>
          <w:tcPr>
            <w:tcW w:w="425" w:type="dxa"/>
            <w:tcBorders>
              <w:top w:val="nil"/>
              <w:bottom w:val="nil"/>
            </w:tcBorders>
            <w:noWrap/>
            <w:tcMar>
              <w:top w:w="15" w:type="dxa"/>
              <w:left w:w="15" w:type="dxa"/>
              <w:bottom w:w="0" w:type="dxa"/>
              <w:right w:w="15" w:type="dxa"/>
            </w:tcMar>
            <w:vAlign w:val="center"/>
          </w:tcPr>
          <w:p>
            <w:pPr>
              <w:pStyle w:val="42"/>
            </w:pPr>
            <w:r>
              <w:rPr>
                <w:rFonts w:hint="eastAsia"/>
              </w:rPr>
              <w:t>6</w:t>
            </w:r>
          </w:p>
        </w:tc>
        <w:tc>
          <w:tcPr>
            <w:tcW w:w="3402" w:type="dxa"/>
            <w:tcBorders>
              <w:top w:val="nil"/>
              <w:bottom w:val="nil"/>
            </w:tcBorders>
            <w:tcMar>
              <w:top w:w="15" w:type="dxa"/>
              <w:left w:w="15" w:type="dxa"/>
              <w:bottom w:w="0" w:type="dxa"/>
              <w:right w:w="15" w:type="dxa"/>
            </w:tcMar>
            <w:vAlign w:val="center"/>
          </w:tcPr>
          <w:p>
            <w:pPr>
              <w:pStyle w:val="42"/>
            </w:pPr>
            <w:r>
              <w:rPr>
                <w:rFonts w:hint="eastAsia"/>
              </w:rPr>
              <w:t>文化产业增加值占GDP比重</w:t>
            </w:r>
          </w:p>
        </w:tc>
        <w:tc>
          <w:tcPr>
            <w:tcW w:w="709" w:type="dxa"/>
            <w:tcBorders>
              <w:top w:val="nil"/>
              <w:bottom w:val="nil"/>
            </w:tcBorders>
            <w:tcMar>
              <w:top w:w="15" w:type="dxa"/>
              <w:left w:w="15" w:type="dxa"/>
              <w:bottom w:w="0" w:type="dxa"/>
              <w:right w:w="15" w:type="dxa"/>
            </w:tcMar>
            <w:vAlign w:val="center"/>
          </w:tcPr>
          <w:p>
            <w:pPr>
              <w:pStyle w:val="42"/>
            </w:pPr>
            <w:r>
              <w:rPr>
                <w:rFonts w:hint="eastAsia"/>
              </w:rPr>
              <w:t>%</w:t>
            </w:r>
          </w:p>
        </w:tc>
        <w:tc>
          <w:tcPr>
            <w:tcW w:w="850" w:type="dxa"/>
            <w:tcBorders>
              <w:top w:val="nil"/>
              <w:bottom w:val="nil"/>
            </w:tcBorders>
            <w:tcMar>
              <w:top w:w="15" w:type="dxa"/>
              <w:left w:w="15" w:type="dxa"/>
              <w:bottom w:w="0" w:type="dxa"/>
              <w:right w:w="15" w:type="dxa"/>
            </w:tcMar>
            <w:vAlign w:val="center"/>
          </w:tcPr>
          <w:p>
            <w:pPr>
              <w:pStyle w:val="42"/>
            </w:pPr>
            <w:r>
              <w:rPr>
                <w:rFonts w:hint="eastAsia"/>
              </w:rPr>
              <w:t>-</w:t>
            </w:r>
          </w:p>
        </w:tc>
        <w:tc>
          <w:tcPr>
            <w:tcW w:w="851" w:type="dxa"/>
            <w:tcBorders>
              <w:top w:val="nil"/>
              <w:bottom w:val="nil"/>
            </w:tcBorders>
            <w:noWrap/>
            <w:tcMar>
              <w:top w:w="15" w:type="dxa"/>
              <w:left w:w="15" w:type="dxa"/>
              <w:bottom w:w="0" w:type="dxa"/>
              <w:right w:w="15" w:type="dxa"/>
            </w:tcMar>
            <w:vAlign w:val="center"/>
          </w:tcPr>
          <w:p>
            <w:pPr>
              <w:pStyle w:val="42"/>
            </w:pPr>
            <w:r>
              <w:rPr>
                <w:rFonts w:hint="eastAsia"/>
              </w:rPr>
              <w:t>1.96</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7" w:type="dxa"/>
            <w:vMerge w:val="continue"/>
            <w:vAlign w:val="center"/>
          </w:tcPr>
          <w:p>
            <w:pPr>
              <w:pStyle w:val="42"/>
            </w:pPr>
          </w:p>
        </w:tc>
        <w:tc>
          <w:tcPr>
            <w:tcW w:w="1120" w:type="dxa"/>
            <w:vMerge w:val="continue"/>
            <w:tcBorders>
              <w:top w:val="nil"/>
              <w:bottom w:val="nil"/>
            </w:tcBorders>
            <w:tcMar>
              <w:top w:w="15" w:type="dxa"/>
              <w:left w:w="15" w:type="dxa"/>
              <w:bottom w:w="0" w:type="dxa"/>
              <w:right w:w="15" w:type="dxa"/>
            </w:tcMar>
            <w:vAlign w:val="center"/>
          </w:tcPr>
          <w:p>
            <w:pPr>
              <w:pStyle w:val="42"/>
            </w:pPr>
          </w:p>
        </w:tc>
        <w:tc>
          <w:tcPr>
            <w:tcW w:w="425" w:type="dxa"/>
            <w:tcBorders>
              <w:top w:val="nil"/>
              <w:bottom w:val="nil"/>
            </w:tcBorders>
            <w:noWrap/>
            <w:tcMar>
              <w:top w:w="15" w:type="dxa"/>
              <w:left w:w="15" w:type="dxa"/>
              <w:bottom w:w="0" w:type="dxa"/>
              <w:right w:w="15" w:type="dxa"/>
            </w:tcMar>
            <w:vAlign w:val="center"/>
          </w:tcPr>
          <w:p>
            <w:pPr>
              <w:pStyle w:val="42"/>
            </w:pPr>
            <w:r>
              <w:rPr>
                <w:rFonts w:hint="eastAsia"/>
              </w:rPr>
              <w:t>7</w:t>
            </w:r>
          </w:p>
        </w:tc>
        <w:tc>
          <w:tcPr>
            <w:tcW w:w="3402" w:type="dxa"/>
            <w:tcBorders>
              <w:top w:val="nil"/>
              <w:bottom w:val="nil"/>
            </w:tcBorders>
            <w:tcMar>
              <w:top w:w="15" w:type="dxa"/>
              <w:left w:w="15" w:type="dxa"/>
              <w:bottom w:w="0" w:type="dxa"/>
              <w:right w:w="15" w:type="dxa"/>
            </w:tcMar>
            <w:vAlign w:val="center"/>
          </w:tcPr>
          <w:p>
            <w:pPr>
              <w:pStyle w:val="42"/>
            </w:pPr>
            <w:r>
              <w:rPr>
                <w:rFonts w:hint="eastAsia"/>
              </w:rPr>
              <w:t>规模以上文化企业</w:t>
            </w:r>
          </w:p>
        </w:tc>
        <w:tc>
          <w:tcPr>
            <w:tcW w:w="709" w:type="dxa"/>
            <w:tcBorders>
              <w:top w:val="nil"/>
              <w:bottom w:val="nil"/>
            </w:tcBorders>
            <w:tcMar>
              <w:top w:w="15" w:type="dxa"/>
              <w:left w:w="15" w:type="dxa"/>
              <w:bottom w:w="0" w:type="dxa"/>
              <w:right w:w="15" w:type="dxa"/>
            </w:tcMar>
            <w:vAlign w:val="center"/>
          </w:tcPr>
          <w:p>
            <w:pPr>
              <w:pStyle w:val="42"/>
            </w:pPr>
            <w:r>
              <w:rPr>
                <w:rFonts w:hint="eastAsia"/>
              </w:rPr>
              <w:t>家</w:t>
            </w:r>
          </w:p>
        </w:tc>
        <w:tc>
          <w:tcPr>
            <w:tcW w:w="850" w:type="dxa"/>
            <w:tcBorders>
              <w:top w:val="nil"/>
              <w:bottom w:val="nil"/>
            </w:tcBorders>
            <w:tcMar>
              <w:top w:w="15" w:type="dxa"/>
              <w:left w:w="15" w:type="dxa"/>
              <w:bottom w:w="0" w:type="dxa"/>
              <w:right w:w="15" w:type="dxa"/>
            </w:tcMar>
            <w:vAlign w:val="center"/>
          </w:tcPr>
          <w:p>
            <w:pPr>
              <w:pStyle w:val="42"/>
            </w:pPr>
            <w:r>
              <w:t>/</w:t>
            </w:r>
          </w:p>
        </w:tc>
        <w:tc>
          <w:tcPr>
            <w:tcW w:w="851" w:type="dxa"/>
            <w:tcBorders>
              <w:top w:val="nil"/>
              <w:bottom w:val="nil"/>
            </w:tcBorders>
            <w:noWrap/>
            <w:tcMar>
              <w:top w:w="15" w:type="dxa"/>
              <w:left w:w="15" w:type="dxa"/>
              <w:bottom w:w="0" w:type="dxa"/>
              <w:right w:w="15" w:type="dxa"/>
            </w:tcMar>
            <w:vAlign w:val="center"/>
          </w:tcPr>
          <w:p>
            <w:pPr>
              <w:pStyle w:val="42"/>
            </w:pPr>
            <w:r>
              <w:t>25</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trPr>
        <w:tc>
          <w:tcPr>
            <w:tcW w:w="1007" w:type="dxa"/>
            <w:vMerge w:val="continue"/>
            <w:vAlign w:val="center"/>
          </w:tcPr>
          <w:p>
            <w:pPr>
              <w:pStyle w:val="42"/>
            </w:pPr>
          </w:p>
        </w:tc>
        <w:tc>
          <w:tcPr>
            <w:tcW w:w="1120" w:type="dxa"/>
            <w:vMerge w:val="continue"/>
            <w:tcBorders>
              <w:top w:val="nil"/>
              <w:bottom w:val="single" w:color="000000" w:sz="4" w:space="0"/>
            </w:tcBorders>
            <w:tcMar>
              <w:top w:w="15" w:type="dxa"/>
              <w:left w:w="15" w:type="dxa"/>
              <w:bottom w:w="0" w:type="dxa"/>
              <w:right w:w="15" w:type="dxa"/>
            </w:tcMar>
            <w:vAlign w:val="center"/>
          </w:tcPr>
          <w:p>
            <w:pPr>
              <w:pStyle w:val="42"/>
            </w:pPr>
          </w:p>
        </w:tc>
        <w:tc>
          <w:tcPr>
            <w:tcW w:w="425" w:type="dxa"/>
            <w:tcBorders>
              <w:top w:val="nil"/>
              <w:bottom w:val="single" w:color="000000" w:sz="4" w:space="0"/>
            </w:tcBorders>
            <w:noWrap/>
            <w:tcMar>
              <w:top w:w="15" w:type="dxa"/>
              <w:left w:w="15" w:type="dxa"/>
              <w:bottom w:w="0" w:type="dxa"/>
              <w:right w:w="15" w:type="dxa"/>
            </w:tcMar>
            <w:vAlign w:val="center"/>
          </w:tcPr>
          <w:p>
            <w:pPr>
              <w:pStyle w:val="42"/>
            </w:pPr>
            <w:r>
              <w:rPr>
                <w:rFonts w:hint="eastAsia"/>
              </w:rPr>
              <w:t>8</w:t>
            </w:r>
          </w:p>
        </w:tc>
        <w:tc>
          <w:tcPr>
            <w:tcW w:w="3402" w:type="dxa"/>
            <w:tcBorders>
              <w:top w:val="nil"/>
              <w:bottom w:val="single" w:color="000000" w:sz="4" w:space="0"/>
            </w:tcBorders>
            <w:tcMar>
              <w:top w:w="15" w:type="dxa"/>
              <w:left w:w="15" w:type="dxa"/>
              <w:bottom w:w="0" w:type="dxa"/>
              <w:right w:w="15" w:type="dxa"/>
            </w:tcMar>
            <w:vAlign w:val="center"/>
          </w:tcPr>
          <w:p>
            <w:pPr>
              <w:pStyle w:val="42"/>
            </w:pPr>
            <w:r>
              <w:rPr>
                <w:rFonts w:hint="eastAsia"/>
              </w:rPr>
              <w:t>商业电影银幕累计数</w:t>
            </w:r>
          </w:p>
        </w:tc>
        <w:tc>
          <w:tcPr>
            <w:tcW w:w="709" w:type="dxa"/>
            <w:tcBorders>
              <w:top w:val="nil"/>
              <w:bottom w:val="single" w:color="000000" w:sz="4" w:space="0"/>
            </w:tcBorders>
            <w:tcMar>
              <w:top w:w="15" w:type="dxa"/>
              <w:left w:w="15" w:type="dxa"/>
              <w:bottom w:w="0" w:type="dxa"/>
              <w:right w:w="15" w:type="dxa"/>
            </w:tcMar>
            <w:vAlign w:val="center"/>
          </w:tcPr>
          <w:p>
            <w:pPr>
              <w:pStyle w:val="42"/>
            </w:pPr>
            <w:r>
              <w:rPr>
                <w:rFonts w:hint="eastAsia"/>
              </w:rPr>
              <w:t>张</w:t>
            </w:r>
          </w:p>
        </w:tc>
        <w:tc>
          <w:tcPr>
            <w:tcW w:w="850" w:type="dxa"/>
            <w:tcBorders>
              <w:top w:val="nil"/>
              <w:bottom w:val="single" w:color="000000" w:sz="4" w:space="0"/>
            </w:tcBorders>
            <w:tcMar>
              <w:top w:w="15" w:type="dxa"/>
              <w:left w:w="15" w:type="dxa"/>
              <w:bottom w:w="0" w:type="dxa"/>
              <w:right w:w="15" w:type="dxa"/>
            </w:tcMar>
            <w:vAlign w:val="center"/>
          </w:tcPr>
          <w:p>
            <w:pPr>
              <w:pStyle w:val="42"/>
            </w:pPr>
            <w:r>
              <w:rPr>
                <w:rFonts w:hint="eastAsia"/>
              </w:rPr>
              <w:t>5</w:t>
            </w:r>
          </w:p>
        </w:tc>
        <w:tc>
          <w:tcPr>
            <w:tcW w:w="851" w:type="dxa"/>
            <w:tcBorders>
              <w:top w:val="nil"/>
              <w:bottom w:val="single" w:color="000000" w:sz="4" w:space="0"/>
            </w:tcBorders>
            <w:noWrap/>
            <w:tcMar>
              <w:top w:w="15" w:type="dxa"/>
              <w:left w:w="15" w:type="dxa"/>
              <w:bottom w:w="0" w:type="dxa"/>
              <w:right w:w="15" w:type="dxa"/>
            </w:tcMar>
            <w:vAlign w:val="center"/>
          </w:tcPr>
          <w:p>
            <w:pPr>
              <w:pStyle w:val="42"/>
            </w:pPr>
            <w:r>
              <w:rPr>
                <w:rFonts w:hint="eastAsia"/>
              </w:rPr>
              <w:t>12</w:t>
            </w:r>
          </w:p>
        </w:tc>
      </w:tr>
    </w:tbl>
    <w:p>
      <w:pPr>
        <w:ind w:firstLine="602"/>
        <w:outlineLvl w:val="3"/>
        <w:rPr>
          <w:rFonts w:ascii="方正仿宋_GBK"/>
          <w:b/>
          <w:color w:val="000000" w:themeColor="text1"/>
          <w:szCs w:val="28"/>
          <w14:textFill>
            <w14:solidFill>
              <w14:schemeClr w14:val="tx1"/>
            </w14:solidFill>
          </w14:textFill>
        </w:rPr>
      </w:pPr>
      <w:r>
        <w:rPr>
          <w:rFonts w:hint="eastAsia" w:ascii="方正仿宋_GBK"/>
          <w:b/>
          <w:color w:val="000000" w:themeColor="text1"/>
          <w:szCs w:val="28"/>
          <w14:textFill>
            <w14:solidFill>
              <w14:schemeClr w14:val="tx1"/>
            </w14:solidFill>
          </w14:textFill>
        </w:rPr>
        <w:t>二</w:t>
      </w:r>
      <w:r>
        <w:rPr>
          <w:rFonts w:ascii="方正仿宋_GBK"/>
          <w:b/>
          <w:color w:val="000000" w:themeColor="text1"/>
          <w:szCs w:val="28"/>
          <w14:textFill>
            <w14:solidFill>
              <w14:schemeClr w14:val="tx1"/>
            </w14:solidFill>
          </w14:textFill>
        </w:rPr>
        <w:t>、</w:t>
      </w:r>
      <w:r>
        <w:rPr>
          <w:rFonts w:hint="eastAsia" w:ascii="方正仿宋_GBK"/>
          <w:b/>
          <w:color w:val="000000" w:themeColor="text1"/>
          <w:szCs w:val="28"/>
          <w14:textFill>
            <w14:solidFill>
              <w14:schemeClr w14:val="tx1"/>
            </w14:solidFill>
          </w14:textFill>
        </w:rPr>
        <w:t>旅游目的地基本建成，旅游经济持续增长</w:t>
      </w:r>
    </w:p>
    <w:p>
      <w:pPr>
        <w:ind w:firstLine="560"/>
        <w:rPr>
          <w:rStyle w:val="24"/>
          <w:b w:val="0"/>
          <w:color w:val="000000" w:themeColor="text1"/>
          <w14:textFill>
            <w14:solidFill>
              <w14:schemeClr w14:val="tx1"/>
            </w14:solidFill>
          </w14:textFill>
        </w:rPr>
      </w:pPr>
      <w:r>
        <w:rPr>
          <w:rStyle w:val="24"/>
          <w:rFonts w:hint="eastAsia"/>
          <w:b w:val="0"/>
          <w:color w:val="000000" w:themeColor="text1"/>
          <w14:textFill>
            <w14:solidFill>
              <w14:schemeClr w14:val="tx1"/>
            </w14:solidFill>
          </w14:textFill>
        </w:rPr>
        <w:t>“十三五”期间，以</w:t>
      </w:r>
      <w:r>
        <w:rPr>
          <w:rStyle w:val="24"/>
          <w:b w:val="0"/>
          <w:color w:val="000000" w:themeColor="text1"/>
          <w14:textFill>
            <w14:solidFill>
              <w14:schemeClr w14:val="tx1"/>
            </w14:solidFill>
          </w14:textFill>
        </w:rPr>
        <w:t>成功创建龙缸国家AAAAA</w:t>
      </w:r>
      <w:r>
        <w:rPr>
          <w:rStyle w:val="24"/>
          <w:rFonts w:hint="eastAsia"/>
          <w:b w:val="0"/>
          <w:color w:val="000000" w:themeColor="text1"/>
          <w14:textFill>
            <w14:solidFill>
              <w14:schemeClr w14:val="tx1"/>
            </w14:solidFill>
          </w14:textFill>
        </w:rPr>
        <w:t>级</w:t>
      </w:r>
      <w:r>
        <w:rPr>
          <w:rStyle w:val="24"/>
          <w:b w:val="0"/>
          <w:color w:val="000000" w:themeColor="text1"/>
          <w14:textFill>
            <w14:solidFill>
              <w14:schemeClr w14:val="tx1"/>
            </w14:solidFill>
          </w14:textFill>
        </w:rPr>
        <w:t>旅游景区为标志</w:t>
      </w:r>
      <w:r>
        <w:rPr>
          <w:rStyle w:val="24"/>
          <w:rFonts w:hint="eastAsia"/>
          <w:b w:val="0"/>
          <w:color w:val="000000" w:themeColor="text1"/>
          <w14:textFill>
            <w14:solidFill>
              <w14:schemeClr w14:val="tx1"/>
            </w14:solidFill>
          </w14:textFill>
        </w:rPr>
        <w:t>建成和</w:t>
      </w:r>
      <w:r>
        <w:rPr>
          <w:rStyle w:val="24"/>
          <w:b w:val="0"/>
          <w:color w:val="000000" w:themeColor="text1"/>
          <w14:textFill>
            <w14:solidFill>
              <w14:schemeClr w14:val="tx1"/>
            </w14:solidFill>
          </w14:textFill>
        </w:rPr>
        <w:t>巩固</w:t>
      </w:r>
      <w:r>
        <w:rPr>
          <w:rStyle w:val="24"/>
          <w:rFonts w:hint="eastAsia"/>
          <w:b w:val="0"/>
          <w:color w:val="000000" w:themeColor="text1"/>
          <w14:textFill>
            <w14:solidFill>
              <w14:schemeClr w14:val="tx1"/>
            </w14:solidFill>
          </w14:textFill>
        </w:rPr>
        <w:t>了旅游目的地基础。突出打好三峡、三龙、梯城、乡村、人文“五张牌”，擦亮龙缸、普安恐龙、张飞庙、三峡梯城“四张名片”，推动云阳旅游经济持续增长，五年累计接待旅游人数超过7000万人次，旅游总收入超过300亿元</w:t>
      </w:r>
      <w:r>
        <w:rPr>
          <w:rFonts w:hint="eastAsia" w:ascii="方正仿宋_GBK"/>
          <w:szCs w:val="28"/>
        </w:rPr>
        <w:t>（</w:t>
      </w:r>
      <w:r>
        <w:rPr>
          <w:rFonts w:hint="eastAsia"/>
        </w:rPr>
        <w:t>见表1-2）</w:t>
      </w:r>
      <w:r>
        <w:rPr>
          <w:rStyle w:val="24"/>
          <w:b w:val="0"/>
          <w:color w:val="000000" w:themeColor="text1"/>
          <w14:textFill>
            <w14:solidFill>
              <w14:schemeClr w14:val="tx1"/>
            </w14:solidFill>
          </w14:textFill>
        </w:rPr>
        <w:t>。</w:t>
      </w:r>
    </w:p>
    <w:p>
      <w:pPr>
        <w:ind w:firstLine="600"/>
        <w:rPr>
          <w:rStyle w:val="24"/>
          <w:b w:val="0"/>
          <w:color w:val="000000" w:themeColor="text1"/>
          <w14:textFill>
            <w14:solidFill>
              <w14:schemeClr w14:val="tx1"/>
            </w14:solidFill>
          </w14:textFill>
        </w:rPr>
      </w:pPr>
      <w:r>
        <w:rPr>
          <w:rFonts w:hint="eastAsia" w:ascii="方正仿宋_GBK" w:hAnsi="仿宋" w:cs="Times New Roman"/>
          <w:szCs w:val="28"/>
        </w:rPr>
        <w:t>一是</w:t>
      </w:r>
      <w:r>
        <w:rPr>
          <w:rFonts w:ascii="方正仿宋_GBK" w:hAnsi="仿宋" w:cs="Times New Roman"/>
          <w:szCs w:val="28"/>
        </w:rPr>
        <w:t>全域吸引物体系基本成型</w:t>
      </w:r>
      <w:r>
        <w:rPr>
          <w:rFonts w:hint="eastAsia" w:ascii="方正仿宋_GBK" w:hAnsi="仿宋" w:cs="Times New Roman"/>
          <w:szCs w:val="28"/>
        </w:rPr>
        <w:t>。</w:t>
      </w:r>
      <w:r>
        <w:rPr>
          <w:rFonts w:hint="eastAsia" w:ascii="仿宋" w:hAnsi="仿宋"/>
          <w:szCs w:val="28"/>
        </w:rPr>
        <w:t>以创建龙缸5</w:t>
      </w:r>
      <w:r>
        <w:rPr>
          <w:rFonts w:ascii="仿宋" w:hAnsi="仿宋"/>
          <w:szCs w:val="28"/>
        </w:rPr>
        <w:t>A</w:t>
      </w:r>
      <w:r>
        <w:rPr>
          <w:rFonts w:hint="eastAsia" w:ascii="仿宋" w:hAnsi="仿宋"/>
          <w:szCs w:val="28"/>
        </w:rPr>
        <w:t>景区为</w:t>
      </w:r>
      <w:r>
        <w:rPr>
          <w:rFonts w:ascii="仿宋" w:hAnsi="仿宋"/>
          <w:szCs w:val="28"/>
        </w:rPr>
        <w:t>中心</w:t>
      </w:r>
      <w:r>
        <w:rPr>
          <w:rFonts w:hint="eastAsia" w:ascii="仿宋" w:hAnsi="仿宋"/>
          <w:szCs w:val="28"/>
        </w:rPr>
        <w:t>，</w:t>
      </w:r>
      <w:r>
        <w:rPr>
          <w:rFonts w:ascii="仿宋" w:hAnsi="仿宋"/>
          <w:szCs w:val="28"/>
        </w:rPr>
        <w:t>推动</w:t>
      </w:r>
      <w:r>
        <w:rPr>
          <w:rFonts w:hint="eastAsia" w:ascii="仿宋" w:hAnsi="仿宋"/>
          <w:szCs w:val="28"/>
        </w:rPr>
        <w:t>普安</w:t>
      </w:r>
      <w:r>
        <w:rPr>
          <w:rFonts w:ascii="仿宋" w:hAnsi="仿宋"/>
          <w:szCs w:val="28"/>
        </w:rPr>
        <w:t>侏罗纪恐龙</w:t>
      </w:r>
      <w:r>
        <w:rPr>
          <w:rFonts w:hint="eastAsia" w:ascii="仿宋" w:hAnsi="仿宋"/>
          <w:szCs w:val="28"/>
        </w:rPr>
        <w:t>公园、环湖绿道、歧山草原、三国印巷等重大旅游项目开工建设</w:t>
      </w:r>
      <w:r>
        <w:rPr>
          <w:rFonts w:ascii="仿宋" w:hAnsi="仿宋"/>
          <w:szCs w:val="28"/>
        </w:rPr>
        <w:t>，</w:t>
      </w:r>
      <w:r>
        <w:rPr>
          <w:rFonts w:hint="eastAsia" w:ascii="仿宋" w:hAnsi="仿宋"/>
          <w:szCs w:val="28"/>
        </w:rPr>
        <w:t>升级</w:t>
      </w:r>
      <w:r>
        <w:rPr>
          <w:rFonts w:ascii="仿宋" w:hAnsi="仿宋"/>
          <w:szCs w:val="28"/>
        </w:rPr>
        <w:t>张飞庙</w:t>
      </w:r>
      <w:r>
        <w:rPr>
          <w:rFonts w:hint="eastAsia" w:ascii="仿宋" w:hAnsi="仿宋"/>
          <w:szCs w:val="28"/>
        </w:rPr>
        <w:t>、</w:t>
      </w:r>
      <w:r>
        <w:rPr>
          <w:rFonts w:ascii="仿宋" w:hAnsi="仿宋"/>
          <w:szCs w:val="28"/>
        </w:rPr>
        <w:t>三峡梯城</w:t>
      </w:r>
      <w:r>
        <w:rPr>
          <w:rFonts w:hint="eastAsia" w:ascii="仿宋" w:hAnsi="仿宋"/>
          <w:szCs w:val="28"/>
        </w:rPr>
        <w:t>、彭氏宗祠等文旅融合项目</w:t>
      </w:r>
      <w:r>
        <w:rPr>
          <w:rFonts w:ascii="仿宋" w:hAnsi="仿宋"/>
          <w:szCs w:val="28"/>
        </w:rPr>
        <w:t>，</w:t>
      </w:r>
      <w:r>
        <w:rPr>
          <w:rFonts w:hint="eastAsia" w:ascii="仿宋" w:hAnsi="仿宋"/>
          <w:szCs w:val="28"/>
        </w:rPr>
        <w:t>成功</w:t>
      </w:r>
      <w:r>
        <w:rPr>
          <w:rFonts w:ascii="仿宋" w:hAnsi="仿宋"/>
          <w:szCs w:val="28"/>
        </w:rPr>
        <w:t>创建</w:t>
      </w:r>
      <w:r>
        <w:rPr>
          <w:rFonts w:hint="eastAsia" w:ascii="仿宋" w:hAnsi="仿宋"/>
          <w:szCs w:val="28"/>
        </w:rPr>
        <w:t>清水市级旅游度假区，</w:t>
      </w:r>
      <w:r>
        <w:rPr>
          <w:rFonts w:hint="eastAsia" w:ascii="方正仿宋_GBK"/>
          <w:szCs w:val="28"/>
        </w:rPr>
        <w:t>初步形</w:t>
      </w:r>
      <w:r>
        <w:rPr>
          <w:rFonts w:hint="eastAsia"/>
        </w:rPr>
        <w:t>成A级</w:t>
      </w:r>
      <w:r>
        <w:rPr>
          <w:rFonts w:ascii="方正仿宋_GBK" w:hAnsi="方正仿宋_GBK"/>
        </w:rPr>
        <w:t>景区为核心的</w:t>
      </w:r>
      <w:r>
        <w:rPr>
          <w:rFonts w:hint="eastAsia" w:ascii="方正仿宋_GBK" w:hAnsi="方正仿宋_GBK"/>
        </w:rPr>
        <w:t>全域旅游吸引物体系。</w:t>
      </w:r>
      <w:r>
        <w:rPr>
          <w:rFonts w:hint="eastAsia" w:ascii="方正仿宋_GBK"/>
        </w:rPr>
        <w:t>二是旅游接待能力和品质全面提升。</w:t>
      </w:r>
      <w:r>
        <w:rPr>
          <w:rFonts w:hint="eastAsia" w:ascii="仿宋" w:hAnsi="仿宋" w:cs="仿宋"/>
          <w:szCs w:val="28"/>
        </w:rPr>
        <w:t>实现旅游商品品牌“零突破”，</w:t>
      </w:r>
      <w:r>
        <w:rPr>
          <w:rFonts w:hint="eastAsia" w:ascii="方正仿宋_GBK"/>
        </w:rPr>
        <w:t>基本形成“住有店、食有味、行有</w:t>
      </w:r>
      <w:r>
        <w:rPr>
          <w:rFonts w:hint="eastAsia"/>
        </w:rPr>
        <w:t>车、游有景、娱有戏、购有物”的旅游接待格局。三是市场营销亮点纷呈。“万里长江，天生云阳”品牌影响力和知名度在国内外逐步扩展延伸，助推云阳连续三年获评全国县域旅游综合竞争力百强县。四是发展乡村旅游助推决胜脱贫攻坚、奠定乡村振兴坚实基础。建设</w:t>
      </w:r>
      <w:r>
        <w:t>农旅融合项目</w:t>
      </w:r>
      <w:r>
        <w:rPr>
          <w:rFonts w:hint="eastAsia"/>
        </w:rPr>
        <w:t>42个</w:t>
      </w:r>
      <w:r>
        <w:t>，</w:t>
      </w:r>
      <w:r>
        <w:rPr>
          <w:rFonts w:hint="eastAsia"/>
        </w:rPr>
        <w:t>实施大旅游重点项目180个，总投资逾200亿元。创建市级休闲农业和乡村旅游示范乡镇（村、点）43个，乡村旅游发展模式入选全国典型案例</w:t>
      </w:r>
      <w:r>
        <w:rPr>
          <w:rFonts w:hint="eastAsia" w:ascii="仿宋" w:hAnsi="仿宋"/>
          <w:szCs w:val="28"/>
        </w:rPr>
        <w:t>。</w:t>
      </w:r>
    </w:p>
    <w:p>
      <w:pPr>
        <w:ind w:firstLine="482"/>
        <w:jc w:val="center"/>
        <w:rPr>
          <w:rStyle w:val="24"/>
          <w:rFonts w:ascii="方正仿宋_GBK" w:eastAsia="方正仿宋_GBK"/>
          <w:b w:val="0"/>
          <w:bCs w:val="0"/>
          <w:color w:val="000000" w:themeColor="text1"/>
          <w:szCs w:val="28"/>
          <w14:textFill>
            <w14:solidFill>
              <w14:schemeClr w14:val="tx1"/>
            </w14:solidFill>
          </w14:textFill>
        </w:rPr>
      </w:pPr>
      <w:r>
        <w:rPr>
          <w:rFonts w:hint="eastAsia" w:ascii="楷体" w:hAnsi="楷体" w:eastAsia="楷体"/>
          <w:b/>
          <w:bCs/>
          <w:color w:val="000000" w:themeColor="text1"/>
          <w:sz w:val="24"/>
          <w14:textFill>
            <w14:solidFill>
              <w14:schemeClr w14:val="tx1"/>
            </w14:solidFill>
          </w14:textFill>
        </w:rPr>
        <w:t>表1-2：云阳县“十三五”旅游产业发展概况</w:t>
      </w:r>
    </w:p>
    <w:tbl>
      <w:tblPr>
        <w:tblStyle w:val="21"/>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40"/>
        <w:gridCol w:w="1379"/>
        <w:gridCol w:w="518"/>
        <w:gridCol w:w="2981"/>
        <w:gridCol w:w="862"/>
        <w:gridCol w:w="760"/>
        <w:gridCol w:w="79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70" w:hRule="atLeast"/>
        </w:trPr>
        <w:tc>
          <w:tcPr>
            <w:tcW w:w="624" w:type="pct"/>
            <w:tcBorders>
              <w:top w:val="single" w:color="auto" w:sz="4" w:space="0"/>
              <w:bottom w:val="single" w:color="auto" w:sz="4" w:space="0"/>
            </w:tcBorders>
            <w:noWrap/>
            <w:tcMar>
              <w:top w:w="15" w:type="dxa"/>
              <w:left w:w="15" w:type="dxa"/>
              <w:bottom w:w="0" w:type="dxa"/>
              <w:right w:w="15" w:type="dxa"/>
            </w:tcMar>
            <w:vAlign w:val="center"/>
          </w:tcPr>
          <w:p>
            <w:pPr>
              <w:pStyle w:val="42"/>
              <w:jc w:val="center"/>
              <w:rPr>
                <w:b/>
              </w:rPr>
            </w:pPr>
            <w:r>
              <w:rPr>
                <w:rFonts w:hint="eastAsia"/>
                <w:b/>
              </w:rPr>
              <w:t>指标大类</w:t>
            </w:r>
          </w:p>
        </w:tc>
        <w:tc>
          <w:tcPr>
            <w:tcW w:w="827" w:type="pct"/>
            <w:tcBorders>
              <w:top w:val="single" w:color="auto" w:sz="4" w:space="0"/>
              <w:bottom w:val="single" w:color="auto" w:sz="4" w:space="0"/>
            </w:tcBorders>
            <w:tcMar>
              <w:top w:w="15" w:type="dxa"/>
              <w:left w:w="15" w:type="dxa"/>
              <w:bottom w:w="0" w:type="dxa"/>
              <w:right w:w="15" w:type="dxa"/>
            </w:tcMar>
            <w:vAlign w:val="center"/>
          </w:tcPr>
          <w:p>
            <w:pPr>
              <w:pStyle w:val="42"/>
              <w:jc w:val="center"/>
              <w:rPr>
                <w:b/>
              </w:rPr>
            </w:pPr>
            <w:r>
              <w:rPr>
                <w:rFonts w:hint="eastAsia"/>
                <w:b/>
              </w:rPr>
              <w:t>指标分类</w:t>
            </w:r>
          </w:p>
        </w:tc>
        <w:tc>
          <w:tcPr>
            <w:tcW w:w="311" w:type="pct"/>
            <w:tcBorders>
              <w:top w:val="single" w:color="auto" w:sz="4" w:space="0"/>
              <w:bottom w:val="single" w:color="auto" w:sz="4" w:space="0"/>
            </w:tcBorders>
            <w:tcMar>
              <w:top w:w="15" w:type="dxa"/>
              <w:left w:w="15" w:type="dxa"/>
              <w:bottom w:w="0" w:type="dxa"/>
              <w:right w:w="15" w:type="dxa"/>
            </w:tcMar>
            <w:vAlign w:val="center"/>
          </w:tcPr>
          <w:p>
            <w:pPr>
              <w:pStyle w:val="42"/>
              <w:jc w:val="center"/>
              <w:rPr>
                <w:b/>
              </w:rPr>
            </w:pPr>
            <w:r>
              <w:rPr>
                <w:rFonts w:hint="eastAsia"/>
                <w:b/>
              </w:rPr>
              <w:t>序号</w:t>
            </w:r>
          </w:p>
        </w:tc>
        <w:tc>
          <w:tcPr>
            <w:tcW w:w="1788" w:type="pct"/>
            <w:tcBorders>
              <w:top w:val="single" w:color="auto" w:sz="4" w:space="0"/>
              <w:bottom w:val="single" w:color="auto" w:sz="4" w:space="0"/>
            </w:tcBorders>
            <w:tcMar>
              <w:top w:w="15" w:type="dxa"/>
              <w:left w:w="15" w:type="dxa"/>
              <w:bottom w:w="0" w:type="dxa"/>
              <w:right w:w="15" w:type="dxa"/>
            </w:tcMar>
            <w:vAlign w:val="center"/>
          </w:tcPr>
          <w:p>
            <w:pPr>
              <w:pStyle w:val="42"/>
              <w:jc w:val="center"/>
              <w:rPr>
                <w:b/>
              </w:rPr>
            </w:pPr>
            <w:r>
              <w:rPr>
                <w:rFonts w:hint="eastAsia"/>
                <w:b/>
              </w:rPr>
              <w:t>指标名称</w:t>
            </w:r>
          </w:p>
        </w:tc>
        <w:tc>
          <w:tcPr>
            <w:tcW w:w="517" w:type="pct"/>
            <w:tcBorders>
              <w:top w:val="single" w:color="auto" w:sz="4" w:space="0"/>
              <w:bottom w:val="single" w:color="auto" w:sz="4" w:space="0"/>
            </w:tcBorders>
            <w:tcMar>
              <w:top w:w="15" w:type="dxa"/>
              <w:left w:w="15" w:type="dxa"/>
              <w:bottom w:w="0" w:type="dxa"/>
              <w:right w:w="15" w:type="dxa"/>
            </w:tcMar>
            <w:vAlign w:val="center"/>
          </w:tcPr>
          <w:p>
            <w:pPr>
              <w:pStyle w:val="42"/>
              <w:jc w:val="center"/>
              <w:rPr>
                <w:b/>
              </w:rPr>
            </w:pPr>
            <w:r>
              <w:rPr>
                <w:rFonts w:hint="eastAsia"/>
                <w:b/>
              </w:rPr>
              <w:t>单位</w:t>
            </w:r>
          </w:p>
        </w:tc>
        <w:tc>
          <w:tcPr>
            <w:tcW w:w="456" w:type="pct"/>
            <w:tcBorders>
              <w:top w:val="single" w:color="auto" w:sz="4" w:space="0"/>
              <w:bottom w:val="single" w:color="auto" w:sz="4" w:space="0"/>
            </w:tcBorders>
            <w:tcMar>
              <w:top w:w="15" w:type="dxa"/>
              <w:left w:w="15" w:type="dxa"/>
              <w:bottom w:w="0" w:type="dxa"/>
              <w:right w:w="15" w:type="dxa"/>
            </w:tcMar>
            <w:vAlign w:val="center"/>
          </w:tcPr>
          <w:p>
            <w:pPr>
              <w:pStyle w:val="42"/>
              <w:jc w:val="center"/>
              <w:rPr>
                <w:b/>
              </w:rPr>
            </w:pPr>
            <w:r>
              <w:rPr>
                <w:rFonts w:hint="eastAsia"/>
                <w:b/>
              </w:rPr>
              <w:t>2016年</w:t>
            </w:r>
          </w:p>
        </w:tc>
        <w:tc>
          <w:tcPr>
            <w:tcW w:w="477" w:type="pct"/>
            <w:tcBorders>
              <w:top w:val="single" w:color="auto" w:sz="4" w:space="0"/>
              <w:bottom w:val="single" w:color="auto" w:sz="4" w:space="0"/>
            </w:tcBorders>
            <w:tcMar>
              <w:top w:w="15" w:type="dxa"/>
              <w:left w:w="15" w:type="dxa"/>
              <w:bottom w:w="0" w:type="dxa"/>
              <w:right w:w="15" w:type="dxa"/>
            </w:tcMar>
            <w:vAlign w:val="center"/>
          </w:tcPr>
          <w:p>
            <w:pPr>
              <w:pStyle w:val="42"/>
              <w:jc w:val="center"/>
              <w:rPr>
                <w:b/>
              </w:rPr>
            </w:pPr>
            <w:r>
              <w:rPr>
                <w:rFonts w:hint="eastAsia"/>
                <w:b/>
              </w:rPr>
              <w:t>2020年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70" w:hRule="atLeast"/>
        </w:trPr>
        <w:tc>
          <w:tcPr>
            <w:tcW w:w="624" w:type="pct"/>
            <w:vMerge w:val="restart"/>
            <w:tcBorders>
              <w:top w:val="single" w:color="auto" w:sz="4" w:space="0"/>
            </w:tcBorders>
            <w:noWrap/>
            <w:tcMar>
              <w:top w:w="15" w:type="dxa"/>
              <w:left w:w="15" w:type="dxa"/>
              <w:bottom w:w="0" w:type="dxa"/>
              <w:right w:w="15" w:type="dxa"/>
            </w:tcMar>
            <w:vAlign w:val="center"/>
          </w:tcPr>
          <w:p>
            <w:pPr>
              <w:pStyle w:val="42"/>
            </w:pPr>
            <w:r>
              <w:rPr>
                <w:rFonts w:hint="eastAsia"/>
              </w:rPr>
              <w:t>旅游发展</w:t>
            </w:r>
          </w:p>
        </w:tc>
        <w:tc>
          <w:tcPr>
            <w:tcW w:w="827" w:type="pct"/>
            <w:vMerge w:val="restart"/>
            <w:tcBorders>
              <w:top w:val="single" w:color="auto" w:sz="4" w:space="0"/>
            </w:tcBorders>
            <w:shd w:val="clear" w:color="auto" w:fill="auto"/>
            <w:noWrap/>
            <w:tcMar>
              <w:top w:w="15" w:type="dxa"/>
              <w:left w:w="15" w:type="dxa"/>
              <w:bottom w:w="0" w:type="dxa"/>
              <w:right w:w="15" w:type="dxa"/>
            </w:tcMar>
            <w:vAlign w:val="center"/>
          </w:tcPr>
          <w:p>
            <w:pPr>
              <w:pStyle w:val="42"/>
            </w:pPr>
            <w:r>
              <w:rPr>
                <w:rFonts w:hint="eastAsia"/>
              </w:rPr>
              <w:t>旅游经济总量</w:t>
            </w:r>
          </w:p>
        </w:tc>
        <w:tc>
          <w:tcPr>
            <w:tcW w:w="311" w:type="pct"/>
            <w:tcBorders>
              <w:top w:val="single" w:color="auto" w:sz="4" w:space="0"/>
            </w:tcBorders>
            <w:noWrap/>
            <w:tcMar>
              <w:top w:w="15" w:type="dxa"/>
              <w:left w:w="15" w:type="dxa"/>
              <w:bottom w:w="0" w:type="dxa"/>
              <w:right w:w="15" w:type="dxa"/>
            </w:tcMar>
            <w:vAlign w:val="center"/>
          </w:tcPr>
          <w:p>
            <w:pPr>
              <w:pStyle w:val="42"/>
            </w:pPr>
            <w:r>
              <w:rPr>
                <w:rFonts w:hint="eastAsia"/>
              </w:rPr>
              <w:t>1</w:t>
            </w:r>
          </w:p>
        </w:tc>
        <w:tc>
          <w:tcPr>
            <w:tcW w:w="1788" w:type="pct"/>
            <w:tcBorders>
              <w:top w:val="single" w:color="auto" w:sz="4" w:space="0"/>
            </w:tcBorders>
            <w:noWrap/>
            <w:tcMar>
              <w:top w:w="15" w:type="dxa"/>
              <w:left w:w="15" w:type="dxa"/>
              <w:bottom w:w="0" w:type="dxa"/>
              <w:right w:w="15" w:type="dxa"/>
            </w:tcMar>
            <w:vAlign w:val="center"/>
          </w:tcPr>
          <w:p>
            <w:pPr>
              <w:pStyle w:val="42"/>
            </w:pPr>
            <w:r>
              <w:rPr>
                <w:rFonts w:hint="eastAsia"/>
              </w:rPr>
              <w:t>旅游业总收入</w:t>
            </w:r>
          </w:p>
        </w:tc>
        <w:tc>
          <w:tcPr>
            <w:tcW w:w="517" w:type="pct"/>
            <w:tcBorders>
              <w:top w:val="single" w:color="auto" w:sz="4" w:space="0"/>
            </w:tcBorders>
            <w:noWrap/>
            <w:tcMar>
              <w:top w:w="15" w:type="dxa"/>
              <w:left w:w="15" w:type="dxa"/>
              <w:bottom w:w="0" w:type="dxa"/>
              <w:right w:w="15" w:type="dxa"/>
            </w:tcMar>
            <w:vAlign w:val="center"/>
          </w:tcPr>
          <w:p>
            <w:pPr>
              <w:pStyle w:val="42"/>
              <w:jc w:val="center"/>
            </w:pPr>
            <w:r>
              <w:rPr>
                <w:rFonts w:hint="eastAsia"/>
              </w:rPr>
              <w:t>亿元</w:t>
            </w:r>
          </w:p>
        </w:tc>
        <w:tc>
          <w:tcPr>
            <w:tcW w:w="456" w:type="pct"/>
            <w:tcBorders>
              <w:top w:val="single" w:color="auto" w:sz="4" w:space="0"/>
            </w:tcBorders>
            <w:noWrap/>
            <w:tcMar>
              <w:top w:w="15" w:type="dxa"/>
              <w:left w:w="15" w:type="dxa"/>
              <w:bottom w:w="0" w:type="dxa"/>
              <w:right w:w="15" w:type="dxa"/>
            </w:tcMar>
            <w:vAlign w:val="center"/>
          </w:tcPr>
          <w:p>
            <w:pPr>
              <w:pStyle w:val="42"/>
              <w:jc w:val="center"/>
            </w:pPr>
            <w:r>
              <w:t>46</w:t>
            </w:r>
          </w:p>
        </w:tc>
        <w:tc>
          <w:tcPr>
            <w:tcW w:w="477" w:type="pct"/>
            <w:tcBorders>
              <w:top w:val="single" w:color="auto" w:sz="4" w:space="0"/>
            </w:tcBorders>
            <w:noWrap/>
            <w:tcMar>
              <w:top w:w="15" w:type="dxa"/>
              <w:left w:w="15" w:type="dxa"/>
              <w:bottom w:w="0" w:type="dxa"/>
              <w:right w:w="15" w:type="dxa"/>
            </w:tcMar>
            <w:vAlign w:val="center"/>
          </w:tcPr>
          <w:p>
            <w:pPr>
              <w:pStyle w:val="42"/>
              <w:jc w:val="center"/>
            </w:pPr>
            <w:r>
              <w:rPr>
                <w:rFonts w:hint="eastAsia"/>
              </w:rPr>
              <w:t>80.7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70" w:hRule="atLeast"/>
        </w:trPr>
        <w:tc>
          <w:tcPr>
            <w:tcW w:w="624" w:type="pct"/>
            <w:vMerge w:val="continue"/>
            <w:vAlign w:val="center"/>
          </w:tcPr>
          <w:p>
            <w:pPr>
              <w:pStyle w:val="42"/>
            </w:pPr>
          </w:p>
        </w:tc>
        <w:tc>
          <w:tcPr>
            <w:tcW w:w="827" w:type="pct"/>
            <w:vMerge w:val="continue"/>
            <w:shd w:val="clear" w:color="auto" w:fill="auto"/>
            <w:vAlign w:val="center"/>
          </w:tcPr>
          <w:p>
            <w:pPr>
              <w:pStyle w:val="42"/>
            </w:pPr>
          </w:p>
        </w:tc>
        <w:tc>
          <w:tcPr>
            <w:tcW w:w="311" w:type="pct"/>
            <w:noWrap/>
            <w:tcMar>
              <w:top w:w="15" w:type="dxa"/>
              <w:left w:w="15" w:type="dxa"/>
              <w:bottom w:w="0" w:type="dxa"/>
              <w:right w:w="15" w:type="dxa"/>
            </w:tcMar>
            <w:vAlign w:val="center"/>
          </w:tcPr>
          <w:p>
            <w:pPr>
              <w:pStyle w:val="42"/>
            </w:pPr>
            <w:r>
              <w:rPr>
                <w:rFonts w:hint="eastAsia"/>
              </w:rPr>
              <w:t>2</w:t>
            </w:r>
          </w:p>
        </w:tc>
        <w:tc>
          <w:tcPr>
            <w:tcW w:w="1788" w:type="pct"/>
            <w:noWrap/>
            <w:tcMar>
              <w:top w:w="15" w:type="dxa"/>
              <w:left w:w="15" w:type="dxa"/>
              <w:bottom w:w="0" w:type="dxa"/>
              <w:right w:w="15" w:type="dxa"/>
            </w:tcMar>
            <w:vAlign w:val="center"/>
          </w:tcPr>
          <w:p>
            <w:pPr>
              <w:pStyle w:val="42"/>
            </w:pPr>
            <w:r>
              <w:rPr>
                <w:rFonts w:hint="eastAsia"/>
              </w:rPr>
              <w:t>旅游产业增加值总量</w:t>
            </w:r>
          </w:p>
        </w:tc>
        <w:tc>
          <w:tcPr>
            <w:tcW w:w="517" w:type="pct"/>
            <w:noWrap/>
            <w:tcMar>
              <w:top w:w="15" w:type="dxa"/>
              <w:left w:w="15" w:type="dxa"/>
              <w:bottom w:w="0" w:type="dxa"/>
              <w:right w:w="15" w:type="dxa"/>
            </w:tcMar>
            <w:vAlign w:val="center"/>
          </w:tcPr>
          <w:p>
            <w:pPr>
              <w:pStyle w:val="42"/>
              <w:jc w:val="center"/>
            </w:pPr>
            <w:r>
              <w:rPr>
                <w:rFonts w:hint="eastAsia"/>
              </w:rPr>
              <w:t>亿元</w:t>
            </w:r>
          </w:p>
        </w:tc>
        <w:tc>
          <w:tcPr>
            <w:tcW w:w="456" w:type="pct"/>
            <w:noWrap/>
            <w:tcMar>
              <w:top w:w="15" w:type="dxa"/>
              <w:left w:w="15" w:type="dxa"/>
              <w:bottom w:w="0" w:type="dxa"/>
              <w:right w:w="15" w:type="dxa"/>
            </w:tcMar>
            <w:vAlign w:val="center"/>
          </w:tcPr>
          <w:p>
            <w:pPr>
              <w:pStyle w:val="42"/>
              <w:jc w:val="center"/>
            </w:pPr>
            <w:r>
              <w:rPr>
                <w:rFonts w:hint="eastAsia"/>
              </w:rPr>
              <w:t>-</w:t>
            </w:r>
          </w:p>
        </w:tc>
        <w:tc>
          <w:tcPr>
            <w:tcW w:w="477" w:type="pct"/>
            <w:noWrap/>
            <w:tcMar>
              <w:top w:w="15" w:type="dxa"/>
              <w:left w:w="15" w:type="dxa"/>
              <w:bottom w:w="0" w:type="dxa"/>
              <w:right w:w="15" w:type="dxa"/>
            </w:tcMar>
            <w:vAlign w:val="center"/>
          </w:tcPr>
          <w:p>
            <w:pPr>
              <w:pStyle w:val="42"/>
              <w:jc w:val="center"/>
            </w:pPr>
            <w:r>
              <w:rPr>
                <w:rFonts w:hint="eastAsia"/>
              </w:rPr>
              <w:t>22.87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70" w:hRule="atLeast"/>
        </w:trPr>
        <w:tc>
          <w:tcPr>
            <w:tcW w:w="624" w:type="pct"/>
            <w:vMerge w:val="continue"/>
            <w:vAlign w:val="center"/>
          </w:tcPr>
          <w:p>
            <w:pPr>
              <w:pStyle w:val="42"/>
            </w:pPr>
          </w:p>
        </w:tc>
        <w:tc>
          <w:tcPr>
            <w:tcW w:w="827" w:type="pct"/>
            <w:vMerge w:val="continue"/>
            <w:shd w:val="clear" w:color="auto" w:fill="auto"/>
            <w:vAlign w:val="center"/>
          </w:tcPr>
          <w:p>
            <w:pPr>
              <w:pStyle w:val="42"/>
            </w:pPr>
          </w:p>
        </w:tc>
        <w:tc>
          <w:tcPr>
            <w:tcW w:w="311" w:type="pct"/>
            <w:noWrap/>
            <w:tcMar>
              <w:top w:w="15" w:type="dxa"/>
              <w:left w:w="15" w:type="dxa"/>
              <w:bottom w:w="0" w:type="dxa"/>
              <w:right w:w="15" w:type="dxa"/>
            </w:tcMar>
            <w:vAlign w:val="center"/>
          </w:tcPr>
          <w:p>
            <w:pPr>
              <w:pStyle w:val="42"/>
            </w:pPr>
            <w:r>
              <w:rPr>
                <w:rFonts w:hint="eastAsia"/>
              </w:rPr>
              <w:t>3</w:t>
            </w:r>
          </w:p>
        </w:tc>
        <w:tc>
          <w:tcPr>
            <w:tcW w:w="1788" w:type="pct"/>
            <w:noWrap/>
            <w:tcMar>
              <w:top w:w="15" w:type="dxa"/>
              <w:left w:w="15" w:type="dxa"/>
              <w:bottom w:w="0" w:type="dxa"/>
              <w:right w:w="15" w:type="dxa"/>
            </w:tcMar>
            <w:vAlign w:val="center"/>
          </w:tcPr>
          <w:p>
            <w:pPr>
              <w:pStyle w:val="42"/>
            </w:pPr>
            <w:r>
              <w:rPr>
                <w:rFonts w:hint="eastAsia"/>
              </w:rPr>
              <w:t>旅游产业增加值占GDP比重</w:t>
            </w:r>
          </w:p>
        </w:tc>
        <w:tc>
          <w:tcPr>
            <w:tcW w:w="517" w:type="pct"/>
            <w:noWrap/>
            <w:tcMar>
              <w:top w:w="15" w:type="dxa"/>
              <w:left w:w="15" w:type="dxa"/>
              <w:bottom w:w="0" w:type="dxa"/>
              <w:right w:w="15" w:type="dxa"/>
            </w:tcMar>
            <w:vAlign w:val="center"/>
          </w:tcPr>
          <w:p>
            <w:pPr>
              <w:pStyle w:val="42"/>
              <w:jc w:val="center"/>
            </w:pPr>
            <w:r>
              <w:rPr>
                <w:rFonts w:hint="eastAsia"/>
              </w:rPr>
              <w:t>%</w:t>
            </w:r>
          </w:p>
        </w:tc>
        <w:tc>
          <w:tcPr>
            <w:tcW w:w="456" w:type="pct"/>
            <w:noWrap/>
            <w:tcMar>
              <w:top w:w="15" w:type="dxa"/>
              <w:left w:w="15" w:type="dxa"/>
              <w:bottom w:w="0" w:type="dxa"/>
              <w:right w:w="15" w:type="dxa"/>
            </w:tcMar>
            <w:vAlign w:val="center"/>
          </w:tcPr>
          <w:p>
            <w:pPr>
              <w:pStyle w:val="42"/>
              <w:jc w:val="center"/>
            </w:pPr>
            <w:r>
              <w:rPr>
                <w:rFonts w:hint="eastAsia"/>
              </w:rPr>
              <w:t>-</w:t>
            </w:r>
          </w:p>
        </w:tc>
        <w:tc>
          <w:tcPr>
            <w:tcW w:w="477" w:type="pct"/>
            <w:noWrap/>
            <w:tcMar>
              <w:top w:w="15" w:type="dxa"/>
              <w:left w:w="15" w:type="dxa"/>
              <w:bottom w:w="0" w:type="dxa"/>
              <w:right w:w="15" w:type="dxa"/>
            </w:tcMar>
            <w:vAlign w:val="center"/>
          </w:tcPr>
          <w:p>
            <w:pPr>
              <w:pStyle w:val="42"/>
              <w:jc w:val="center"/>
            </w:pPr>
            <w:r>
              <w:rPr>
                <w:rFonts w:hint="eastAsia"/>
              </w:rPr>
              <w:t>4.9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344" w:hRule="atLeast"/>
        </w:trPr>
        <w:tc>
          <w:tcPr>
            <w:tcW w:w="624" w:type="pct"/>
            <w:vMerge w:val="continue"/>
            <w:vAlign w:val="center"/>
          </w:tcPr>
          <w:p>
            <w:pPr>
              <w:pStyle w:val="42"/>
            </w:pPr>
          </w:p>
        </w:tc>
        <w:tc>
          <w:tcPr>
            <w:tcW w:w="827" w:type="pct"/>
            <w:vMerge w:val="continue"/>
            <w:shd w:val="clear" w:color="auto" w:fill="auto"/>
            <w:vAlign w:val="center"/>
          </w:tcPr>
          <w:p>
            <w:pPr>
              <w:pStyle w:val="42"/>
            </w:pPr>
          </w:p>
        </w:tc>
        <w:tc>
          <w:tcPr>
            <w:tcW w:w="311" w:type="pct"/>
            <w:tcBorders>
              <w:bottom w:val="nil"/>
            </w:tcBorders>
            <w:noWrap/>
            <w:tcMar>
              <w:top w:w="15" w:type="dxa"/>
              <w:left w:w="15" w:type="dxa"/>
              <w:bottom w:w="0" w:type="dxa"/>
              <w:right w:w="15" w:type="dxa"/>
            </w:tcMar>
            <w:vAlign w:val="center"/>
          </w:tcPr>
          <w:p>
            <w:pPr>
              <w:pStyle w:val="42"/>
            </w:pPr>
            <w:r>
              <w:rPr>
                <w:rFonts w:hint="eastAsia"/>
              </w:rPr>
              <w:t>4</w:t>
            </w:r>
          </w:p>
        </w:tc>
        <w:tc>
          <w:tcPr>
            <w:tcW w:w="1788" w:type="pct"/>
            <w:tcBorders>
              <w:bottom w:val="nil"/>
            </w:tcBorders>
            <w:noWrap/>
            <w:tcMar>
              <w:top w:w="15" w:type="dxa"/>
              <w:left w:w="15" w:type="dxa"/>
              <w:bottom w:w="0" w:type="dxa"/>
              <w:right w:w="15" w:type="dxa"/>
            </w:tcMar>
            <w:vAlign w:val="center"/>
          </w:tcPr>
          <w:p>
            <w:pPr>
              <w:pStyle w:val="42"/>
            </w:pPr>
            <w:r>
              <w:rPr>
                <w:rFonts w:hint="eastAsia"/>
              </w:rPr>
              <w:t>接待国内外游客数量</w:t>
            </w:r>
          </w:p>
        </w:tc>
        <w:tc>
          <w:tcPr>
            <w:tcW w:w="517" w:type="pct"/>
            <w:tcBorders>
              <w:bottom w:val="nil"/>
            </w:tcBorders>
            <w:noWrap/>
            <w:tcMar>
              <w:top w:w="15" w:type="dxa"/>
              <w:left w:w="15" w:type="dxa"/>
              <w:bottom w:w="0" w:type="dxa"/>
              <w:right w:w="15" w:type="dxa"/>
            </w:tcMar>
            <w:vAlign w:val="center"/>
          </w:tcPr>
          <w:p>
            <w:pPr>
              <w:pStyle w:val="42"/>
              <w:jc w:val="center"/>
            </w:pPr>
            <w:r>
              <w:rPr>
                <w:rFonts w:hint="eastAsia"/>
              </w:rPr>
              <w:t>万人次</w:t>
            </w:r>
          </w:p>
        </w:tc>
        <w:tc>
          <w:tcPr>
            <w:tcW w:w="456" w:type="pct"/>
            <w:tcBorders>
              <w:bottom w:val="nil"/>
            </w:tcBorders>
            <w:noWrap/>
            <w:tcMar>
              <w:top w:w="15" w:type="dxa"/>
              <w:left w:w="15" w:type="dxa"/>
              <w:bottom w:w="0" w:type="dxa"/>
              <w:right w:w="15" w:type="dxa"/>
            </w:tcMar>
            <w:vAlign w:val="center"/>
          </w:tcPr>
          <w:p>
            <w:pPr>
              <w:pStyle w:val="42"/>
              <w:jc w:val="center"/>
            </w:pPr>
            <w:r>
              <w:rPr>
                <w:rFonts w:hint="eastAsia"/>
              </w:rPr>
              <w:t>1009</w:t>
            </w:r>
          </w:p>
        </w:tc>
        <w:tc>
          <w:tcPr>
            <w:tcW w:w="477" w:type="pct"/>
            <w:tcBorders>
              <w:bottom w:val="nil"/>
            </w:tcBorders>
            <w:noWrap/>
            <w:tcMar>
              <w:top w:w="15" w:type="dxa"/>
              <w:left w:w="15" w:type="dxa"/>
              <w:bottom w:w="0" w:type="dxa"/>
              <w:right w:w="15" w:type="dxa"/>
            </w:tcMar>
            <w:vAlign w:val="center"/>
          </w:tcPr>
          <w:p>
            <w:pPr>
              <w:pStyle w:val="42"/>
              <w:jc w:val="center"/>
            </w:pPr>
            <w:r>
              <w:rPr>
                <w:rFonts w:hint="eastAsia"/>
              </w:rPr>
              <w:t>1892.3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70" w:hRule="atLeast"/>
        </w:trPr>
        <w:tc>
          <w:tcPr>
            <w:tcW w:w="624" w:type="pct"/>
            <w:vMerge w:val="continue"/>
            <w:vAlign w:val="center"/>
          </w:tcPr>
          <w:p>
            <w:pPr>
              <w:pStyle w:val="42"/>
            </w:pPr>
          </w:p>
        </w:tc>
        <w:tc>
          <w:tcPr>
            <w:tcW w:w="827" w:type="pct"/>
            <w:vMerge w:val="continue"/>
            <w:shd w:val="clear" w:color="auto" w:fill="auto"/>
            <w:vAlign w:val="center"/>
          </w:tcPr>
          <w:p>
            <w:pPr>
              <w:pStyle w:val="42"/>
            </w:pPr>
          </w:p>
        </w:tc>
        <w:tc>
          <w:tcPr>
            <w:tcW w:w="311" w:type="pct"/>
            <w:tcBorders>
              <w:top w:val="nil"/>
              <w:bottom w:val="single" w:color="auto" w:sz="4" w:space="0"/>
            </w:tcBorders>
            <w:noWrap/>
            <w:tcMar>
              <w:top w:w="15" w:type="dxa"/>
              <w:left w:w="15" w:type="dxa"/>
              <w:bottom w:w="0" w:type="dxa"/>
              <w:right w:w="15" w:type="dxa"/>
            </w:tcMar>
            <w:vAlign w:val="center"/>
          </w:tcPr>
          <w:p>
            <w:pPr>
              <w:pStyle w:val="42"/>
            </w:pPr>
            <w:r>
              <w:rPr>
                <w:rFonts w:hint="eastAsia"/>
              </w:rPr>
              <w:t>5</w:t>
            </w:r>
          </w:p>
        </w:tc>
        <w:tc>
          <w:tcPr>
            <w:tcW w:w="1788" w:type="pct"/>
            <w:tcBorders>
              <w:top w:val="nil"/>
              <w:bottom w:val="single" w:color="auto" w:sz="4" w:space="0"/>
            </w:tcBorders>
            <w:noWrap/>
            <w:tcMar>
              <w:top w:w="15" w:type="dxa"/>
              <w:left w:w="15" w:type="dxa"/>
              <w:bottom w:w="0" w:type="dxa"/>
              <w:right w:w="15" w:type="dxa"/>
            </w:tcMar>
            <w:vAlign w:val="center"/>
          </w:tcPr>
          <w:p>
            <w:pPr>
              <w:pStyle w:val="42"/>
            </w:pPr>
            <w:r>
              <w:rPr>
                <w:rFonts w:hint="eastAsia"/>
              </w:rPr>
              <w:t>其中：公安住宿系统过夜游客数</w:t>
            </w:r>
          </w:p>
        </w:tc>
        <w:tc>
          <w:tcPr>
            <w:tcW w:w="517" w:type="pct"/>
            <w:tcBorders>
              <w:top w:val="nil"/>
              <w:bottom w:val="single" w:color="auto" w:sz="4" w:space="0"/>
            </w:tcBorders>
            <w:noWrap/>
            <w:tcMar>
              <w:top w:w="15" w:type="dxa"/>
              <w:left w:w="15" w:type="dxa"/>
              <w:bottom w:w="0" w:type="dxa"/>
              <w:right w:w="15" w:type="dxa"/>
            </w:tcMar>
            <w:vAlign w:val="center"/>
          </w:tcPr>
          <w:p>
            <w:pPr>
              <w:pStyle w:val="42"/>
              <w:jc w:val="center"/>
            </w:pPr>
            <w:r>
              <w:rPr>
                <w:rFonts w:hint="eastAsia"/>
              </w:rPr>
              <w:t>万人次</w:t>
            </w:r>
          </w:p>
        </w:tc>
        <w:tc>
          <w:tcPr>
            <w:tcW w:w="456" w:type="pct"/>
            <w:tcBorders>
              <w:top w:val="nil"/>
              <w:bottom w:val="single" w:color="auto" w:sz="4" w:space="0"/>
            </w:tcBorders>
            <w:noWrap/>
            <w:tcMar>
              <w:top w:w="15" w:type="dxa"/>
              <w:left w:w="15" w:type="dxa"/>
              <w:bottom w:w="0" w:type="dxa"/>
              <w:right w:w="15" w:type="dxa"/>
            </w:tcMar>
            <w:vAlign w:val="center"/>
          </w:tcPr>
          <w:p>
            <w:pPr>
              <w:pStyle w:val="42"/>
              <w:jc w:val="center"/>
            </w:pPr>
            <w:r>
              <w:rPr>
                <w:rFonts w:hint="eastAsia"/>
              </w:rPr>
              <w:t>-</w:t>
            </w:r>
          </w:p>
        </w:tc>
        <w:tc>
          <w:tcPr>
            <w:tcW w:w="477" w:type="pct"/>
            <w:tcBorders>
              <w:top w:val="nil"/>
              <w:bottom w:val="single" w:color="auto" w:sz="4" w:space="0"/>
            </w:tcBorders>
            <w:noWrap/>
            <w:tcMar>
              <w:top w:w="15" w:type="dxa"/>
              <w:left w:w="15" w:type="dxa"/>
              <w:bottom w:w="0" w:type="dxa"/>
              <w:right w:w="15" w:type="dxa"/>
            </w:tcMar>
            <w:vAlign w:val="center"/>
          </w:tcPr>
          <w:p>
            <w:pPr>
              <w:pStyle w:val="42"/>
              <w:jc w:val="center"/>
            </w:pPr>
            <w:r>
              <w:rPr>
                <w:rFonts w:hint="eastAsia"/>
              </w:rPr>
              <w:t>88.26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70" w:hRule="atLeast"/>
        </w:trPr>
        <w:tc>
          <w:tcPr>
            <w:tcW w:w="624" w:type="pct"/>
            <w:vMerge w:val="continue"/>
            <w:vAlign w:val="center"/>
          </w:tcPr>
          <w:p>
            <w:pPr>
              <w:pStyle w:val="42"/>
            </w:pPr>
          </w:p>
        </w:tc>
        <w:tc>
          <w:tcPr>
            <w:tcW w:w="827" w:type="pct"/>
            <w:vMerge w:val="restart"/>
            <w:noWrap/>
            <w:tcMar>
              <w:top w:w="15" w:type="dxa"/>
              <w:left w:w="15" w:type="dxa"/>
              <w:bottom w:w="0" w:type="dxa"/>
              <w:right w:w="15" w:type="dxa"/>
            </w:tcMar>
            <w:vAlign w:val="center"/>
          </w:tcPr>
          <w:p>
            <w:pPr>
              <w:pStyle w:val="42"/>
            </w:pPr>
            <w:r>
              <w:rPr>
                <w:rFonts w:hint="eastAsia"/>
              </w:rPr>
              <w:t>旅游吸引力</w:t>
            </w:r>
          </w:p>
        </w:tc>
        <w:tc>
          <w:tcPr>
            <w:tcW w:w="311" w:type="pct"/>
            <w:tcBorders>
              <w:top w:val="single" w:color="auto" w:sz="4" w:space="0"/>
            </w:tcBorders>
            <w:noWrap/>
            <w:tcMar>
              <w:top w:w="15" w:type="dxa"/>
              <w:left w:w="15" w:type="dxa"/>
              <w:bottom w:w="0" w:type="dxa"/>
              <w:right w:w="15" w:type="dxa"/>
            </w:tcMar>
            <w:vAlign w:val="center"/>
          </w:tcPr>
          <w:p>
            <w:pPr>
              <w:pStyle w:val="42"/>
            </w:pPr>
            <w:r>
              <w:rPr>
                <w:rFonts w:hint="eastAsia"/>
              </w:rPr>
              <w:t>6</w:t>
            </w:r>
          </w:p>
        </w:tc>
        <w:tc>
          <w:tcPr>
            <w:tcW w:w="1788" w:type="pct"/>
            <w:tcBorders>
              <w:top w:val="single" w:color="auto" w:sz="4" w:space="0"/>
            </w:tcBorders>
            <w:noWrap/>
            <w:tcMar>
              <w:top w:w="15" w:type="dxa"/>
              <w:left w:w="15" w:type="dxa"/>
              <w:bottom w:w="0" w:type="dxa"/>
              <w:right w:w="15" w:type="dxa"/>
            </w:tcMar>
            <w:vAlign w:val="center"/>
          </w:tcPr>
          <w:p>
            <w:pPr>
              <w:pStyle w:val="42"/>
            </w:pPr>
            <w:r>
              <w:rPr>
                <w:rFonts w:hint="eastAsia"/>
              </w:rPr>
              <w:t>国家A级以上景区数量</w:t>
            </w:r>
          </w:p>
        </w:tc>
        <w:tc>
          <w:tcPr>
            <w:tcW w:w="517" w:type="pct"/>
            <w:tcBorders>
              <w:top w:val="single" w:color="auto" w:sz="4" w:space="0"/>
            </w:tcBorders>
            <w:noWrap/>
            <w:tcMar>
              <w:top w:w="15" w:type="dxa"/>
              <w:left w:w="15" w:type="dxa"/>
              <w:bottom w:w="0" w:type="dxa"/>
              <w:right w:w="15" w:type="dxa"/>
            </w:tcMar>
            <w:vAlign w:val="center"/>
          </w:tcPr>
          <w:p>
            <w:pPr>
              <w:pStyle w:val="42"/>
              <w:jc w:val="center"/>
            </w:pPr>
            <w:r>
              <w:rPr>
                <w:rFonts w:hint="eastAsia"/>
              </w:rPr>
              <w:t>个</w:t>
            </w:r>
          </w:p>
        </w:tc>
        <w:tc>
          <w:tcPr>
            <w:tcW w:w="456" w:type="pct"/>
            <w:tcBorders>
              <w:top w:val="single" w:color="auto" w:sz="4" w:space="0"/>
            </w:tcBorders>
            <w:noWrap/>
            <w:tcMar>
              <w:top w:w="15" w:type="dxa"/>
              <w:left w:w="15" w:type="dxa"/>
              <w:bottom w:w="0" w:type="dxa"/>
              <w:right w:w="15" w:type="dxa"/>
            </w:tcMar>
            <w:vAlign w:val="center"/>
          </w:tcPr>
          <w:p>
            <w:pPr>
              <w:pStyle w:val="42"/>
              <w:jc w:val="center"/>
            </w:pPr>
            <w:r>
              <w:rPr>
                <w:rFonts w:hint="eastAsia"/>
              </w:rPr>
              <w:t>3</w:t>
            </w:r>
          </w:p>
        </w:tc>
        <w:tc>
          <w:tcPr>
            <w:tcW w:w="477" w:type="pct"/>
            <w:tcBorders>
              <w:top w:val="single" w:color="auto" w:sz="4" w:space="0"/>
            </w:tcBorders>
            <w:noWrap/>
            <w:tcMar>
              <w:top w:w="15" w:type="dxa"/>
              <w:left w:w="15" w:type="dxa"/>
              <w:bottom w:w="0" w:type="dxa"/>
              <w:right w:w="15" w:type="dxa"/>
            </w:tcMar>
            <w:vAlign w:val="center"/>
          </w:tcPr>
          <w:p>
            <w:pPr>
              <w:pStyle w:val="42"/>
              <w:jc w:val="center"/>
            </w:pPr>
            <w:r>
              <w:rPr>
                <w:rFonts w:hint="eastAsia"/>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70" w:hRule="atLeast"/>
        </w:trPr>
        <w:tc>
          <w:tcPr>
            <w:tcW w:w="624" w:type="pct"/>
            <w:vMerge w:val="continue"/>
            <w:vAlign w:val="center"/>
          </w:tcPr>
          <w:p>
            <w:pPr>
              <w:pStyle w:val="42"/>
            </w:pPr>
          </w:p>
        </w:tc>
        <w:tc>
          <w:tcPr>
            <w:tcW w:w="827" w:type="pct"/>
            <w:vMerge w:val="continue"/>
            <w:vAlign w:val="center"/>
          </w:tcPr>
          <w:p>
            <w:pPr>
              <w:pStyle w:val="42"/>
            </w:pPr>
          </w:p>
        </w:tc>
        <w:tc>
          <w:tcPr>
            <w:tcW w:w="311" w:type="pct"/>
            <w:tcBorders>
              <w:bottom w:val="nil"/>
            </w:tcBorders>
            <w:noWrap/>
            <w:tcMar>
              <w:top w:w="15" w:type="dxa"/>
              <w:left w:w="15" w:type="dxa"/>
              <w:bottom w:w="0" w:type="dxa"/>
              <w:right w:w="15" w:type="dxa"/>
            </w:tcMar>
            <w:vAlign w:val="center"/>
          </w:tcPr>
          <w:p>
            <w:pPr>
              <w:pStyle w:val="42"/>
            </w:pPr>
            <w:r>
              <w:rPr>
                <w:rFonts w:hint="eastAsia"/>
              </w:rPr>
              <w:t>7</w:t>
            </w:r>
          </w:p>
        </w:tc>
        <w:tc>
          <w:tcPr>
            <w:tcW w:w="1788" w:type="pct"/>
            <w:tcBorders>
              <w:bottom w:val="nil"/>
            </w:tcBorders>
            <w:noWrap/>
            <w:tcMar>
              <w:top w:w="15" w:type="dxa"/>
              <w:left w:w="15" w:type="dxa"/>
              <w:bottom w:w="0" w:type="dxa"/>
              <w:right w:w="15" w:type="dxa"/>
            </w:tcMar>
            <w:vAlign w:val="center"/>
          </w:tcPr>
          <w:p>
            <w:pPr>
              <w:pStyle w:val="42"/>
            </w:pPr>
            <w:r>
              <w:rPr>
                <w:rFonts w:hint="eastAsia"/>
              </w:rPr>
              <w:t>国家4A级以上景区数量</w:t>
            </w:r>
          </w:p>
        </w:tc>
        <w:tc>
          <w:tcPr>
            <w:tcW w:w="517" w:type="pct"/>
            <w:tcBorders>
              <w:bottom w:val="nil"/>
            </w:tcBorders>
            <w:noWrap/>
            <w:tcMar>
              <w:top w:w="15" w:type="dxa"/>
              <w:left w:w="15" w:type="dxa"/>
              <w:bottom w:w="0" w:type="dxa"/>
              <w:right w:w="15" w:type="dxa"/>
            </w:tcMar>
            <w:vAlign w:val="center"/>
          </w:tcPr>
          <w:p>
            <w:pPr>
              <w:pStyle w:val="42"/>
              <w:jc w:val="center"/>
            </w:pPr>
            <w:r>
              <w:rPr>
                <w:rFonts w:hint="eastAsia"/>
              </w:rPr>
              <w:t>个</w:t>
            </w:r>
          </w:p>
        </w:tc>
        <w:tc>
          <w:tcPr>
            <w:tcW w:w="456" w:type="pct"/>
            <w:tcBorders>
              <w:bottom w:val="nil"/>
            </w:tcBorders>
            <w:noWrap/>
            <w:tcMar>
              <w:top w:w="15" w:type="dxa"/>
              <w:left w:w="15" w:type="dxa"/>
              <w:bottom w:w="0" w:type="dxa"/>
              <w:right w:w="15" w:type="dxa"/>
            </w:tcMar>
            <w:vAlign w:val="center"/>
          </w:tcPr>
          <w:p>
            <w:pPr>
              <w:pStyle w:val="42"/>
              <w:jc w:val="center"/>
            </w:pPr>
            <w:r>
              <w:rPr>
                <w:rFonts w:hint="eastAsia"/>
              </w:rPr>
              <w:t>2</w:t>
            </w:r>
          </w:p>
        </w:tc>
        <w:tc>
          <w:tcPr>
            <w:tcW w:w="477" w:type="pct"/>
            <w:tcBorders>
              <w:bottom w:val="nil"/>
            </w:tcBorders>
            <w:noWrap/>
            <w:tcMar>
              <w:top w:w="15" w:type="dxa"/>
              <w:left w:w="15" w:type="dxa"/>
              <w:bottom w:w="0" w:type="dxa"/>
              <w:right w:w="15" w:type="dxa"/>
            </w:tcMar>
            <w:vAlign w:val="center"/>
          </w:tcPr>
          <w:p>
            <w:pPr>
              <w:pStyle w:val="42"/>
              <w:jc w:val="center"/>
            </w:pPr>
            <w:r>
              <w:rPr>
                <w:rFonts w:hint="eastAsia"/>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70" w:hRule="atLeast"/>
        </w:trPr>
        <w:tc>
          <w:tcPr>
            <w:tcW w:w="624" w:type="pct"/>
            <w:vMerge w:val="continue"/>
            <w:vAlign w:val="center"/>
          </w:tcPr>
          <w:p>
            <w:pPr>
              <w:pStyle w:val="42"/>
            </w:pPr>
          </w:p>
        </w:tc>
        <w:tc>
          <w:tcPr>
            <w:tcW w:w="827" w:type="pct"/>
            <w:vMerge w:val="continue"/>
            <w:vAlign w:val="center"/>
          </w:tcPr>
          <w:p>
            <w:pPr>
              <w:pStyle w:val="42"/>
            </w:pPr>
          </w:p>
        </w:tc>
        <w:tc>
          <w:tcPr>
            <w:tcW w:w="311" w:type="pct"/>
            <w:tcBorders>
              <w:top w:val="nil"/>
              <w:bottom w:val="single" w:color="auto" w:sz="4" w:space="0"/>
            </w:tcBorders>
            <w:noWrap/>
            <w:tcMar>
              <w:top w:w="15" w:type="dxa"/>
              <w:left w:w="15" w:type="dxa"/>
              <w:bottom w:w="0" w:type="dxa"/>
              <w:right w:w="15" w:type="dxa"/>
            </w:tcMar>
            <w:vAlign w:val="center"/>
          </w:tcPr>
          <w:p>
            <w:pPr>
              <w:pStyle w:val="42"/>
            </w:pPr>
            <w:r>
              <w:rPr>
                <w:rFonts w:hint="eastAsia"/>
              </w:rPr>
              <w:t>8</w:t>
            </w:r>
          </w:p>
        </w:tc>
        <w:tc>
          <w:tcPr>
            <w:tcW w:w="1788" w:type="pct"/>
            <w:tcBorders>
              <w:top w:val="nil"/>
              <w:bottom w:val="single" w:color="auto" w:sz="4" w:space="0"/>
            </w:tcBorders>
            <w:noWrap/>
            <w:tcMar>
              <w:top w:w="15" w:type="dxa"/>
              <w:left w:w="15" w:type="dxa"/>
              <w:bottom w:w="0" w:type="dxa"/>
              <w:right w:w="15" w:type="dxa"/>
            </w:tcMar>
            <w:vAlign w:val="center"/>
          </w:tcPr>
          <w:p>
            <w:pPr>
              <w:pStyle w:val="42"/>
            </w:pPr>
            <w:r>
              <w:rPr>
                <w:rFonts w:hint="eastAsia"/>
              </w:rPr>
              <w:t>市级及以上旅游度假区数量</w:t>
            </w:r>
          </w:p>
        </w:tc>
        <w:tc>
          <w:tcPr>
            <w:tcW w:w="517" w:type="pct"/>
            <w:tcBorders>
              <w:top w:val="nil"/>
              <w:bottom w:val="single" w:color="auto" w:sz="4" w:space="0"/>
            </w:tcBorders>
            <w:noWrap/>
            <w:tcMar>
              <w:top w:w="15" w:type="dxa"/>
              <w:left w:w="15" w:type="dxa"/>
              <w:bottom w:w="0" w:type="dxa"/>
              <w:right w:w="15" w:type="dxa"/>
            </w:tcMar>
            <w:vAlign w:val="center"/>
          </w:tcPr>
          <w:p>
            <w:pPr>
              <w:pStyle w:val="42"/>
              <w:jc w:val="center"/>
            </w:pPr>
            <w:r>
              <w:rPr>
                <w:rFonts w:hint="eastAsia"/>
              </w:rPr>
              <w:t>个</w:t>
            </w:r>
          </w:p>
        </w:tc>
        <w:tc>
          <w:tcPr>
            <w:tcW w:w="456" w:type="pct"/>
            <w:tcBorders>
              <w:top w:val="nil"/>
              <w:bottom w:val="single" w:color="auto" w:sz="4" w:space="0"/>
            </w:tcBorders>
            <w:noWrap/>
            <w:tcMar>
              <w:top w:w="15" w:type="dxa"/>
              <w:left w:w="15" w:type="dxa"/>
              <w:bottom w:w="0" w:type="dxa"/>
              <w:right w:w="15" w:type="dxa"/>
            </w:tcMar>
            <w:vAlign w:val="center"/>
          </w:tcPr>
          <w:p>
            <w:pPr>
              <w:pStyle w:val="42"/>
              <w:jc w:val="center"/>
            </w:pPr>
            <w:r>
              <w:rPr>
                <w:rFonts w:hint="eastAsia"/>
              </w:rPr>
              <w:t>1</w:t>
            </w:r>
          </w:p>
        </w:tc>
        <w:tc>
          <w:tcPr>
            <w:tcW w:w="477" w:type="pct"/>
            <w:tcBorders>
              <w:top w:val="nil"/>
              <w:bottom w:val="single" w:color="auto" w:sz="4" w:space="0"/>
            </w:tcBorders>
            <w:noWrap/>
            <w:tcMar>
              <w:top w:w="15" w:type="dxa"/>
              <w:left w:w="15" w:type="dxa"/>
              <w:bottom w:w="0" w:type="dxa"/>
              <w:right w:w="15" w:type="dxa"/>
            </w:tcMar>
            <w:vAlign w:val="center"/>
          </w:tcPr>
          <w:p>
            <w:pPr>
              <w:pStyle w:val="42"/>
              <w:jc w:val="center"/>
            </w:pPr>
            <w:r>
              <w:rPr>
                <w:rFonts w:hint="eastAsia"/>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70" w:hRule="atLeast"/>
        </w:trPr>
        <w:tc>
          <w:tcPr>
            <w:tcW w:w="624" w:type="pct"/>
            <w:vMerge w:val="continue"/>
            <w:vAlign w:val="center"/>
          </w:tcPr>
          <w:p>
            <w:pPr>
              <w:pStyle w:val="42"/>
            </w:pPr>
          </w:p>
        </w:tc>
        <w:tc>
          <w:tcPr>
            <w:tcW w:w="827" w:type="pct"/>
            <w:vMerge w:val="restart"/>
            <w:noWrap/>
            <w:tcMar>
              <w:top w:w="15" w:type="dxa"/>
              <w:left w:w="15" w:type="dxa"/>
              <w:bottom w:w="0" w:type="dxa"/>
              <w:right w:w="15" w:type="dxa"/>
            </w:tcMar>
            <w:vAlign w:val="center"/>
          </w:tcPr>
          <w:p>
            <w:pPr>
              <w:pStyle w:val="42"/>
            </w:pPr>
            <w:r>
              <w:rPr>
                <w:rFonts w:hint="eastAsia"/>
              </w:rPr>
              <w:t>旅游服务能力</w:t>
            </w:r>
          </w:p>
        </w:tc>
        <w:tc>
          <w:tcPr>
            <w:tcW w:w="311" w:type="pct"/>
            <w:tcBorders>
              <w:top w:val="single" w:color="auto" w:sz="4" w:space="0"/>
            </w:tcBorders>
            <w:noWrap/>
            <w:tcMar>
              <w:top w:w="15" w:type="dxa"/>
              <w:left w:w="15" w:type="dxa"/>
              <w:bottom w:w="0" w:type="dxa"/>
              <w:right w:w="15" w:type="dxa"/>
            </w:tcMar>
            <w:vAlign w:val="center"/>
          </w:tcPr>
          <w:p>
            <w:pPr>
              <w:pStyle w:val="42"/>
            </w:pPr>
            <w:r>
              <w:rPr>
                <w:rFonts w:hint="eastAsia"/>
              </w:rPr>
              <w:t>9</w:t>
            </w:r>
          </w:p>
        </w:tc>
        <w:tc>
          <w:tcPr>
            <w:tcW w:w="1788" w:type="pct"/>
            <w:tcBorders>
              <w:top w:val="single" w:color="auto" w:sz="4" w:space="0"/>
            </w:tcBorders>
            <w:noWrap/>
            <w:tcMar>
              <w:top w:w="15" w:type="dxa"/>
              <w:left w:w="15" w:type="dxa"/>
              <w:bottom w:w="0" w:type="dxa"/>
              <w:right w:w="15" w:type="dxa"/>
            </w:tcMar>
            <w:vAlign w:val="center"/>
          </w:tcPr>
          <w:p>
            <w:pPr>
              <w:pStyle w:val="42"/>
            </w:pPr>
            <w:r>
              <w:rPr>
                <w:rFonts w:hint="eastAsia"/>
              </w:rPr>
              <w:t>星级饭店标准总量</w:t>
            </w:r>
          </w:p>
        </w:tc>
        <w:tc>
          <w:tcPr>
            <w:tcW w:w="517" w:type="pct"/>
            <w:tcBorders>
              <w:top w:val="single" w:color="auto" w:sz="4" w:space="0"/>
            </w:tcBorders>
            <w:noWrap/>
            <w:tcMar>
              <w:top w:w="15" w:type="dxa"/>
              <w:left w:w="15" w:type="dxa"/>
              <w:bottom w:w="0" w:type="dxa"/>
              <w:right w:w="15" w:type="dxa"/>
            </w:tcMar>
            <w:vAlign w:val="center"/>
          </w:tcPr>
          <w:p>
            <w:pPr>
              <w:pStyle w:val="42"/>
              <w:jc w:val="center"/>
            </w:pPr>
            <w:r>
              <w:rPr>
                <w:rFonts w:hint="eastAsia"/>
              </w:rPr>
              <w:t>家</w:t>
            </w:r>
          </w:p>
        </w:tc>
        <w:tc>
          <w:tcPr>
            <w:tcW w:w="456" w:type="pct"/>
            <w:tcBorders>
              <w:top w:val="single" w:color="auto" w:sz="4" w:space="0"/>
            </w:tcBorders>
            <w:noWrap/>
            <w:tcMar>
              <w:top w:w="15" w:type="dxa"/>
              <w:left w:w="15" w:type="dxa"/>
              <w:bottom w:w="0" w:type="dxa"/>
              <w:right w:w="15" w:type="dxa"/>
            </w:tcMar>
            <w:vAlign w:val="center"/>
          </w:tcPr>
          <w:p>
            <w:pPr>
              <w:pStyle w:val="42"/>
              <w:jc w:val="center"/>
            </w:pPr>
            <w:r>
              <w:rPr>
                <w:rFonts w:hint="eastAsia"/>
              </w:rPr>
              <w:t>2</w:t>
            </w:r>
          </w:p>
        </w:tc>
        <w:tc>
          <w:tcPr>
            <w:tcW w:w="477" w:type="pct"/>
            <w:tcBorders>
              <w:top w:val="single" w:color="auto" w:sz="4" w:space="0"/>
            </w:tcBorders>
            <w:noWrap/>
            <w:tcMar>
              <w:top w:w="15" w:type="dxa"/>
              <w:left w:w="15" w:type="dxa"/>
              <w:bottom w:w="0" w:type="dxa"/>
              <w:right w:w="15" w:type="dxa"/>
            </w:tcMar>
            <w:vAlign w:val="center"/>
          </w:tcPr>
          <w:p>
            <w:pPr>
              <w:pStyle w:val="42"/>
              <w:jc w:val="center"/>
            </w:pPr>
            <w:r>
              <w:rPr>
                <w:rFonts w:hint="eastAsia"/>
              </w:rPr>
              <w:t>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70" w:hRule="atLeast"/>
        </w:trPr>
        <w:tc>
          <w:tcPr>
            <w:tcW w:w="624" w:type="pct"/>
            <w:vMerge w:val="continue"/>
            <w:vAlign w:val="center"/>
          </w:tcPr>
          <w:p>
            <w:pPr>
              <w:pStyle w:val="42"/>
            </w:pPr>
          </w:p>
        </w:tc>
        <w:tc>
          <w:tcPr>
            <w:tcW w:w="827" w:type="pct"/>
            <w:vMerge w:val="continue"/>
            <w:vAlign w:val="center"/>
          </w:tcPr>
          <w:p>
            <w:pPr>
              <w:pStyle w:val="42"/>
            </w:pPr>
          </w:p>
        </w:tc>
        <w:tc>
          <w:tcPr>
            <w:tcW w:w="311" w:type="pct"/>
            <w:noWrap/>
            <w:tcMar>
              <w:top w:w="15" w:type="dxa"/>
              <w:left w:w="15" w:type="dxa"/>
              <w:bottom w:w="0" w:type="dxa"/>
              <w:right w:w="15" w:type="dxa"/>
            </w:tcMar>
            <w:vAlign w:val="center"/>
          </w:tcPr>
          <w:p>
            <w:pPr>
              <w:pStyle w:val="42"/>
            </w:pPr>
            <w:r>
              <w:rPr>
                <w:rFonts w:hint="eastAsia"/>
              </w:rPr>
              <w:t>10</w:t>
            </w:r>
          </w:p>
        </w:tc>
        <w:tc>
          <w:tcPr>
            <w:tcW w:w="1788" w:type="pct"/>
            <w:noWrap/>
            <w:tcMar>
              <w:top w:w="15" w:type="dxa"/>
              <w:left w:w="15" w:type="dxa"/>
              <w:bottom w:w="0" w:type="dxa"/>
              <w:right w:w="15" w:type="dxa"/>
            </w:tcMar>
            <w:vAlign w:val="center"/>
          </w:tcPr>
          <w:p>
            <w:pPr>
              <w:pStyle w:val="42"/>
            </w:pPr>
            <w:r>
              <w:rPr>
                <w:rFonts w:hint="eastAsia"/>
              </w:rPr>
              <w:t>其中：五星级饭店数量</w:t>
            </w:r>
          </w:p>
        </w:tc>
        <w:tc>
          <w:tcPr>
            <w:tcW w:w="517" w:type="pct"/>
            <w:noWrap/>
            <w:tcMar>
              <w:top w:w="15" w:type="dxa"/>
              <w:left w:w="15" w:type="dxa"/>
              <w:bottom w:w="0" w:type="dxa"/>
              <w:right w:w="15" w:type="dxa"/>
            </w:tcMar>
            <w:vAlign w:val="center"/>
          </w:tcPr>
          <w:p>
            <w:pPr>
              <w:pStyle w:val="42"/>
              <w:jc w:val="center"/>
            </w:pPr>
            <w:r>
              <w:rPr>
                <w:rFonts w:hint="eastAsia"/>
              </w:rPr>
              <w:t>家</w:t>
            </w:r>
          </w:p>
        </w:tc>
        <w:tc>
          <w:tcPr>
            <w:tcW w:w="456" w:type="pct"/>
            <w:noWrap/>
            <w:tcMar>
              <w:top w:w="15" w:type="dxa"/>
              <w:left w:w="15" w:type="dxa"/>
              <w:bottom w:w="0" w:type="dxa"/>
              <w:right w:w="15" w:type="dxa"/>
            </w:tcMar>
            <w:vAlign w:val="center"/>
          </w:tcPr>
          <w:p>
            <w:pPr>
              <w:pStyle w:val="42"/>
              <w:jc w:val="center"/>
            </w:pPr>
            <w:r>
              <w:rPr>
                <w:rFonts w:hint="eastAsia"/>
              </w:rPr>
              <w:t>0</w:t>
            </w:r>
          </w:p>
        </w:tc>
        <w:tc>
          <w:tcPr>
            <w:tcW w:w="477" w:type="pct"/>
            <w:noWrap/>
            <w:tcMar>
              <w:top w:w="15" w:type="dxa"/>
              <w:left w:w="15" w:type="dxa"/>
              <w:bottom w:w="0" w:type="dxa"/>
              <w:right w:w="15" w:type="dxa"/>
            </w:tcMar>
            <w:vAlign w:val="center"/>
          </w:tcPr>
          <w:p>
            <w:pPr>
              <w:pStyle w:val="42"/>
              <w:jc w:val="center"/>
            </w:pPr>
            <w:r>
              <w:rPr>
                <w:rFonts w:hint="eastAsia"/>
              </w:rPr>
              <w:t>1</w:t>
            </w:r>
          </w:p>
        </w:tc>
      </w:tr>
    </w:tbl>
    <w:p>
      <w:pPr>
        <w:ind w:firstLine="602"/>
        <w:outlineLvl w:val="3"/>
        <w:rPr>
          <w:rFonts w:ascii="方正仿宋_GBK"/>
          <w:b/>
          <w:color w:val="000000" w:themeColor="text1"/>
          <w:szCs w:val="28"/>
          <w14:textFill>
            <w14:solidFill>
              <w14:schemeClr w14:val="tx1"/>
            </w14:solidFill>
          </w14:textFill>
        </w:rPr>
      </w:pPr>
      <w:r>
        <w:rPr>
          <w:rFonts w:hint="eastAsia" w:ascii="方正仿宋_GBK"/>
          <w:b/>
          <w:color w:val="000000" w:themeColor="text1"/>
          <w:szCs w:val="28"/>
          <w14:textFill>
            <w14:solidFill>
              <w14:schemeClr w14:val="tx1"/>
            </w14:solidFill>
          </w14:textFill>
        </w:rPr>
        <w:t>三</w:t>
      </w:r>
      <w:r>
        <w:rPr>
          <w:rFonts w:ascii="方正仿宋_GBK"/>
          <w:b/>
          <w:color w:val="000000" w:themeColor="text1"/>
          <w:szCs w:val="28"/>
          <w14:textFill>
            <w14:solidFill>
              <w14:schemeClr w14:val="tx1"/>
            </w14:solidFill>
          </w14:textFill>
        </w:rPr>
        <w:t>、</w:t>
      </w:r>
      <w:r>
        <w:rPr>
          <w:rFonts w:hint="eastAsia" w:ascii="方正仿宋_GBK"/>
          <w:b/>
          <w:color w:val="000000" w:themeColor="text1"/>
          <w:szCs w:val="28"/>
          <w14:textFill>
            <w14:solidFill>
              <w14:schemeClr w14:val="tx1"/>
            </w14:solidFill>
          </w14:textFill>
        </w:rPr>
        <w:t>全民</w:t>
      </w:r>
      <w:r>
        <w:rPr>
          <w:rFonts w:ascii="方正仿宋_GBK"/>
          <w:b/>
          <w:color w:val="000000" w:themeColor="text1"/>
          <w:szCs w:val="28"/>
          <w14:textFill>
            <w14:solidFill>
              <w14:schemeClr w14:val="tx1"/>
            </w14:solidFill>
          </w14:textFill>
        </w:rPr>
        <w:t>健身</w:t>
      </w:r>
      <w:r>
        <w:rPr>
          <w:rFonts w:hint="eastAsia" w:ascii="方正仿宋_GBK"/>
          <w:b/>
          <w:color w:val="000000" w:themeColor="text1"/>
          <w:szCs w:val="28"/>
          <w14:textFill>
            <w14:solidFill>
              <w14:schemeClr w14:val="tx1"/>
            </w14:solidFill>
          </w14:textFill>
        </w:rPr>
        <w:t>战略稳步</w:t>
      </w:r>
      <w:r>
        <w:rPr>
          <w:rFonts w:ascii="方正仿宋_GBK"/>
          <w:b/>
          <w:color w:val="000000" w:themeColor="text1"/>
          <w:szCs w:val="28"/>
          <w14:textFill>
            <w14:solidFill>
              <w14:schemeClr w14:val="tx1"/>
            </w14:solidFill>
          </w14:textFill>
        </w:rPr>
        <w:t>落实</w:t>
      </w:r>
    </w:p>
    <w:p>
      <w:pPr>
        <w:ind w:firstLine="600"/>
      </w:pPr>
      <w:r>
        <w:rPr>
          <w:rFonts w:hint="eastAsia" w:ascii="方正仿宋_GBK" w:hAnsi="仿宋"/>
          <w:bCs/>
        </w:rPr>
        <w:t>“十三五”期间，云阳</w:t>
      </w:r>
      <w:r>
        <w:t>全民健身</w:t>
      </w:r>
      <w:r>
        <w:rPr>
          <w:rFonts w:hint="eastAsia"/>
        </w:rPr>
        <w:t>服务</w:t>
      </w:r>
      <w:r>
        <w:t>能力</w:t>
      </w:r>
      <w:r>
        <w:rPr>
          <w:rFonts w:hint="eastAsia"/>
        </w:rPr>
        <w:t>显著</w:t>
      </w:r>
      <w:r>
        <w:t>提升，广大群众体育健身意识普遍增强，健康文明生活方式蔚然成风</w:t>
      </w:r>
      <w:r>
        <w:rPr>
          <w:rFonts w:hint="eastAsia" w:ascii="方正仿宋_GBK"/>
          <w:szCs w:val="28"/>
        </w:rPr>
        <w:t>（</w:t>
      </w:r>
      <w:r>
        <w:rPr>
          <w:rFonts w:hint="eastAsia"/>
        </w:rPr>
        <w:t>见表1-3）</w:t>
      </w:r>
      <w:r>
        <w:t>。</w:t>
      </w:r>
    </w:p>
    <w:p>
      <w:pPr>
        <w:ind w:firstLine="600"/>
      </w:pPr>
      <w:r>
        <w:rPr>
          <w:rFonts w:hint="eastAsia" w:cs="Times New Roman"/>
          <w:szCs w:val="32"/>
        </w:rPr>
        <w:t>一是</w:t>
      </w:r>
      <w:r>
        <w:rPr>
          <w:rFonts w:hint="eastAsia"/>
        </w:rPr>
        <w:t>公共体育设施更加</w:t>
      </w:r>
      <w:r>
        <w:t>健全</w:t>
      </w:r>
      <w:r>
        <w:rPr>
          <w:rFonts w:hint="eastAsia"/>
        </w:rPr>
        <w:t>。推动完善3000余件健身路径器材；建成大中小型体育场所</w:t>
      </w:r>
      <w:r>
        <w:t>1873</w:t>
      </w:r>
      <w:r>
        <w:rPr>
          <w:rFonts w:hint="eastAsia"/>
        </w:rPr>
        <w:t>个，人均体育场地面积达</w:t>
      </w:r>
      <w:r>
        <w:t>1.81</w:t>
      </w:r>
      <w:r>
        <w:rPr>
          <w:rFonts w:hint="eastAsia"/>
        </w:rPr>
        <w:t>平方米，实现了“市民5分钟到公园，10分钟到广场健身”的全民健身圈目标。二是重大体育赛事营销城市</w:t>
      </w:r>
      <w:r>
        <w:t>形象</w:t>
      </w:r>
      <w:r>
        <w:rPr>
          <w:rFonts w:hint="eastAsia"/>
        </w:rPr>
        <w:t>。成功承办和打造全国沙排沙足、户外多项运动挑战赛等多项品牌赛事，区域知名度不断提升。三是</w:t>
      </w:r>
      <w:r>
        <w:t>群众</w:t>
      </w:r>
      <w:r>
        <w:rPr>
          <w:rFonts w:hint="eastAsia"/>
        </w:rPr>
        <w:t>健身</w:t>
      </w:r>
      <w:r>
        <w:t>活动广泛开展。</w:t>
      </w:r>
      <w:r>
        <w:rPr>
          <w:rFonts w:hint="eastAsia"/>
        </w:rPr>
        <w:t>年均组织群众开展大型体育赛事活动10余次，举办全民健身系列活动近50次，小型群体活动100余次，两次被国家体育总局评为“全国群众体育先进单位”。四是体旅融合</w:t>
      </w:r>
      <w:r>
        <w:t>成为经济新亮点。</w:t>
      </w:r>
      <w:r>
        <w:rPr>
          <w:rFonts w:hint="eastAsia"/>
        </w:rPr>
        <w:t>打造20余个体旅融合项目，全县体育消费超过1亿元，年带动旅游综合收入超过15亿元，为全县经济持续发展提供新动能。五是竞技体育有为有位</w:t>
      </w:r>
      <w:r>
        <w:t>。</w:t>
      </w:r>
      <w:r>
        <w:rPr>
          <w:rFonts w:hint="eastAsia"/>
        </w:rPr>
        <w:t>以沙陀初级中学和红狮初中为首的</w:t>
      </w:r>
      <w:r>
        <w:rPr>
          <w:rFonts w:hint="eastAsia" w:cs="Times New Roman"/>
        </w:rPr>
        <w:t>摔跤、举重等青少年竞技体育位居全市前列。</w:t>
      </w:r>
    </w:p>
    <w:p>
      <w:pPr>
        <w:ind w:firstLine="482"/>
        <w:jc w:val="center"/>
        <w:rPr>
          <w:rFonts w:cs="Times New Roman"/>
          <w:color w:val="000000" w:themeColor="text1"/>
          <w:szCs w:val="32"/>
          <w14:textFill>
            <w14:solidFill>
              <w14:schemeClr w14:val="tx1"/>
            </w14:solidFill>
          </w14:textFill>
        </w:rPr>
      </w:pPr>
      <w:r>
        <w:rPr>
          <w:rFonts w:hint="eastAsia" w:ascii="楷体" w:hAnsi="楷体" w:eastAsia="楷体"/>
          <w:b/>
          <w:bCs/>
          <w:color w:val="000000" w:themeColor="text1"/>
          <w:sz w:val="24"/>
          <w14:textFill>
            <w14:solidFill>
              <w14:schemeClr w14:val="tx1"/>
            </w14:solidFill>
          </w14:textFill>
        </w:rPr>
        <w:t>表1-3：云阳县“十三五”体育事业发展概况</w:t>
      </w:r>
    </w:p>
    <w:tbl>
      <w:tblPr>
        <w:tblStyle w:val="21"/>
        <w:tblW w:w="8271" w:type="dxa"/>
        <w:tblInd w:w="93"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4"/>
        <w:gridCol w:w="978"/>
        <w:gridCol w:w="3260"/>
        <w:gridCol w:w="709"/>
        <w:gridCol w:w="850"/>
        <w:gridCol w:w="1560"/>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14" w:type="dxa"/>
            <w:tcBorders>
              <w:top w:val="single" w:color="000000" w:sz="4" w:space="0"/>
              <w:bottom w:val="single" w:color="000000" w:sz="4" w:space="0"/>
            </w:tcBorders>
            <w:noWrap/>
            <w:tcMar>
              <w:top w:w="15" w:type="dxa"/>
              <w:left w:w="15" w:type="dxa"/>
              <w:bottom w:w="0" w:type="dxa"/>
              <w:right w:w="15" w:type="dxa"/>
            </w:tcMar>
            <w:vAlign w:val="center"/>
          </w:tcPr>
          <w:p>
            <w:pPr>
              <w:pStyle w:val="42"/>
              <w:jc w:val="center"/>
              <w:rPr>
                <w:b/>
              </w:rPr>
            </w:pPr>
            <w:r>
              <w:rPr>
                <w:rFonts w:hint="eastAsia"/>
                <w:b/>
              </w:rPr>
              <w:t>指标大类</w:t>
            </w:r>
          </w:p>
        </w:tc>
        <w:tc>
          <w:tcPr>
            <w:tcW w:w="978" w:type="dxa"/>
            <w:tcBorders>
              <w:top w:val="single" w:color="000000" w:sz="4" w:space="0"/>
              <w:bottom w:val="single" w:color="000000" w:sz="4" w:space="0"/>
            </w:tcBorders>
            <w:tcMar>
              <w:top w:w="15" w:type="dxa"/>
              <w:left w:w="15" w:type="dxa"/>
              <w:bottom w:w="0" w:type="dxa"/>
              <w:right w:w="15" w:type="dxa"/>
            </w:tcMar>
            <w:vAlign w:val="center"/>
          </w:tcPr>
          <w:p>
            <w:pPr>
              <w:pStyle w:val="42"/>
              <w:jc w:val="center"/>
              <w:rPr>
                <w:b/>
              </w:rPr>
            </w:pPr>
            <w:r>
              <w:rPr>
                <w:rFonts w:hint="eastAsia"/>
                <w:b/>
              </w:rPr>
              <w:t>序号</w:t>
            </w:r>
          </w:p>
        </w:tc>
        <w:tc>
          <w:tcPr>
            <w:tcW w:w="3260" w:type="dxa"/>
            <w:tcBorders>
              <w:top w:val="single" w:color="000000" w:sz="4" w:space="0"/>
              <w:bottom w:val="single" w:color="000000" w:sz="4" w:space="0"/>
            </w:tcBorders>
            <w:tcMar>
              <w:top w:w="15" w:type="dxa"/>
              <w:left w:w="15" w:type="dxa"/>
              <w:bottom w:w="0" w:type="dxa"/>
              <w:right w:w="15" w:type="dxa"/>
            </w:tcMar>
            <w:vAlign w:val="center"/>
          </w:tcPr>
          <w:p>
            <w:pPr>
              <w:pStyle w:val="42"/>
              <w:jc w:val="center"/>
              <w:rPr>
                <w:b/>
              </w:rPr>
            </w:pPr>
            <w:r>
              <w:rPr>
                <w:rFonts w:hint="eastAsia"/>
                <w:b/>
              </w:rPr>
              <w:t>指标名称</w:t>
            </w:r>
          </w:p>
        </w:tc>
        <w:tc>
          <w:tcPr>
            <w:tcW w:w="709" w:type="dxa"/>
            <w:tcBorders>
              <w:top w:val="single" w:color="000000" w:sz="4" w:space="0"/>
              <w:bottom w:val="single" w:color="000000" w:sz="4" w:space="0"/>
            </w:tcBorders>
            <w:tcMar>
              <w:top w:w="15" w:type="dxa"/>
              <w:left w:w="15" w:type="dxa"/>
              <w:bottom w:w="0" w:type="dxa"/>
              <w:right w:w="15" w:type="dxa"/>
            </w:tcMar>
            <w:vAlign w:val="center"/>
          </w:tcPr>
          <w:p>
            <w:pPr>
              <w:pStyle w:val="42"/>
              <w:jc w:val="center"/>
              <w:rPr>
                <w:b/>
              </w:rPr>
            </w:pPr>
            <w:r>
              <w:rPr>
                <w:rFonts w:hint="eastAsia"/>
                <w:b/>
              </w:rPr>
              <w:t>单位</w:t>
            </w:r>
          </w:p>
        </w:tc>
        <w:tc>
          <w:tcPr>
            <w:tcW w:w="850" w:type="dxa"/>
            <w:tcBorders>
              <w:top w:val="single" w:color="000000" w:sz="4" w:space="0"/>
              <w:bottom w:val="single" w:color="000000" w:sz="4" w:space="0"/>
            </w:tcBorders>
            <w:tcMar>
              <w:top w:w="15" w:type="dxa"/>
              <w:left w:w="15" w:type="dxa"/>
              <w:bottom w:w="0" w:type="dxa"/>
              <w:right w:w="15" w:type="dxa"/>
            </w:tcMar>
            <w:vAlign w:val="center"/>
          </w:tcPr>
          <w:p>
            <w:pPr>
              <w:pStyle w:val="42"/>
              <w:jc w:val="center"/>
              <w:rPr>
                <w:b/>
              </w:rPr>
            </w:pPr>
            <w:r>
              <w:rPr>
                <w:rFonts w:hint="eastAsia"/>
                <w:b/>
              </w:rPr>
              <w:t>2016年</w:t>
            </w:r>
          </w:p>
        </w:tc>
        <w:tc>
          <w:tcPr>
            <w:tcW w:w="1560" w:type="dxa"/>
            <w:tcBorders>
              <w:top w:val="single" w:color="000000" w:sz="4" w:space="0"/>
              <w:bottom w:val="single" w:color="000000" w:sz="4" w:space="0"/>
            </w:tcBorders>
            <w:tcMar>
              <w:top w:w="15" w:type="dxa"/>
              <w:left w:w="15" w:type="dxa"/>
              <w:bottom w:w="0" w:type="dxa"/>
              <w:right w:w="15" w:type="dxa"/>
            </w:tcMar>
            <w:vAlign w:val="center"/>
          </w:tcPr>
          <w:p>
            <w:pPr>
              <w:pStyle w:val="42"/>
              <w:jc w:val="center"/>
              <w:rPr>
                <w:b/>
              </w:rPr>
            </w:pPr>
            <w:r>
              <w:rPr>
                <w:rFonts w:hint="eastAsia"/>
                <w:b/>
              </w:rPr>
              <w:t>2020年</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PrEx>
        <w:trPr>
          <w:trHeight w:val="270" w:hRule="atLeast"/>
        </w:trPr>
        <w:tc>
          <w:tcPr>
            <w:tcW w:w="914" w:type="dxa"/>
            <w:vMerge w:val="restart"/>
            <w:vAlign w:val="center"/>
          </w:tcPr>
          <w:p>
            <w:pPr>
              <w:pStyle w:val="42"/>
              <w:jc w:val="center"/>
            </w:pPr>
            <w:r>
              <w:rPr>
                <w:rFonts w:hint="eastAsia"/>
              </w:rPr>
              <w:t>体育发展</w:t>
            </w:r>
          </w:p>
        </w:tc>
        <w:tc>
          <w:tcPr>
            <w:tcW w:w="978" w:type="dxa"/>
            <w:tcBorders>
              <w:top w:val="single" w:color="000000" w:sz="4" w:space="0"/>
              <w:bottom w:val="nil"/>
            </w:tcBorders>
            <w:noWrap/>
            <w:tcMar>
              <w:top w:w="15" w:type="dxa"/>
              <w:left w:w="15" w:type="dxa"/>
              <w:bottom w:w="0" w:type="dxa"/>
              <w:right w:w="15" w:type="dxa"/>
            </w:tcMar>
            <w:vAlign w:val="center"/>
          </w:tcPr>
          <w:p>
            <w:pPr>
              <w:pStyle w:val="42"/>
              <w:jc w:val="center"/>
            </w:pPr>
            <w:r>
              <w:t>1</w:t>
            </w:r>
          </w:p>
        </w:tc>
        <w:tc>
          <w:tcPr>
            <w:tcW w:w="3260" w:type="dxa"/>
            <w:tcBorders>
              <w:top w:val="single" w:color="000000" w:sz="4" w:space="0"/>
              <w:bottom w:val="nil"/>
            </w:tcBorders>
            <w:tcMar>
              <w:top w:w="15" w:type="dxa"/>
              <w:left w:w="15" w:type="dxa"/>
              <w:bottom w:w="0" w:type="dxa"/>
              <w:right w:w="15" w:type="dxa"/>
            </w:tcMar>
            <w:vAlign w:val="center"/>
          </w:tcPr>
          <w:p>
            <w:pPr>
              <w:pStyle w:val="42"/>
              <w:jc w:val="center"/>
            </w:pPr>
            <w:r>
              <w:rPr>
                <w:rFonts w:hint="eastAsia"/>
              </w:rPr>
              <w:t>人均拥有体育设施面积</w:t>
            </w:r>
          </w:p>
        </w:tc>
        <w:tc>
          <w:tcPr>
            <w:tcW w:w="709" w:type="dxa"/>
            <w:tcBorders>
              <w:top w:val="single" w:color="000000" w:sz="4" w:space="0"/>
              <w:bottom w:val="nil"/>
            </w:tcBorders>
            <w:tcMar>
              <w:top w:w="15" w:type="dxa"/>
              <w:left w:w="15" w:type="dxa"/>
              <w:bottom w:w="0" w:type="dxa"/>
              <w:right w:w="15" w:type="dxa"/>
            </w:tcMar>
            <w:vAlign w:val="center"/>
          </w:tcPr>
          <w:p>
            <w:pPr>
              <w:pStyle w:val="42"/>
              <w:jc w:val="center"/>
            </w:pPr>
            <w:r>
              <w:rPr>
                <w:rFonts w:hint="eastAsia"/>
              </w:rPr>
              <w:t>M</w:t>
            </w:r>
            <w:r>
              <w:rPr>
                <w:rFonts w:hint="eastAsia"/>
                <w:vertAlign w:val="superscript"/>
              </w:rPr>
              <w:t>2</w:t>
            </w:r>
          </w:p>
        </w:tc>
        <w:tc>
          <w:tcPr>
            <w:tcW w:w="850" w:type="dxa"/>
            <w:tcBorders>
              <w:top w:val="single" w:color="000000" w:sz="4" w:space="0"/>
              <w:bottom w:val="nil"/>
            </w:tcBorders>
            <w:tcMar>
              <w:top w:w="15" w:type="dxa"/>
              <w:left w:w="15" w:type="dxa"/>
              <w:bottom w:w="0" w:type="dxa"/>
              <w:right w:w="15" w:type="dxa"/>
            </w:tcMar>
            <w:vAlign w:val="center"/>
          </w:tcPr>
          <w:p>
            <w:pPr>
              <w:pStyle w:val="42"/>
              <w:jc w:val="center"/>
            </w:pPr>
            <w:r>
              <w:rPr>
                <w:rFonts w:hint="eastAsia"/>
              </w:rPr>
              <w:t>1.6</w:t>
            </w:r>
          </w:p>
        </w:tc>
        <w:tc>
          <w:tcPr>
            <w:tcW w:w="1560" w:type="dxa"/>
            <w:tcBorders>
              <w:top w:val="single" w:color="000000" w:sz="4" w:space="0"/>
              <w:bottom w:val="nil"/>
            </w:tcBorders>
            <w:noWrap/>
            <w:tcMar>
              <w:top w:w="15" w:type="dxa"/>
              <w:left w:w="15" w:type="dxa"/>
              <w:bottom w:w="0" w:type="dxa"/>
              <w:right w:w="15" w:type="dxa"/>
            </w:tcMar>
            <w:vAlign w:val="center"/>
          </w:tcPr>
          <w:p>
            <w:pPr>
              <w:pStyle w:val="42"/>
              <w:jc w:val="center"/>
            </w:pPr>
            <w:r>
              <w:rPr>
                <w:rFonts w:hint="eastAsia"/>
              </w:rPr>
              <w:t>1.81</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14" w:type="dxa"/>
            <w:vMerge w:val="continue"/>
            <w:vAlign w:val="center"/>
          </w:tcPr>
          <w:p>
            <w:pPr>
              <w:pStyle w:val="42"/>
              <w:jc w:val="center"/>
            </w:pPr>
          </w:p>
        </w:tc>
        <w:tc>
          <w:tcPr>
            <w:tcW w:w="978" w:type="dxa"/>
            <w:tcBorders>
              <w:top w:val="nil"/>
              <w:bottom w:val="nil"/>
            </w:tcBorders>
            <w:noWrap/>
            <w:tcMar>
              <w:top w:w="15" w:type="dxa"/>
              <w:left w:w="15" w:type="dxa"/>
              <w:bottom w:w="0" w:type="dxa"/>
              <w:right w:w="15" w:type="dxa"/>
            </w:tcMar>
            <w:vAlign w:val="center"/>
          </w:tcPr>
          <w:p>
            <w:pPr>
              <w:pStyle w:val="42"/>
              <w:jc w:val="center"/>
            </w:pPr>
            <w:r>
              <w:t>2</w:t>
            </w:r>
          </w:p>
        </w:tc>
        <w:tc>
          <w:tcPr>
            <w:tcW w:w="3260" w:type="dxa"/>
            <w:tcBorders>
              <w:top w:val="nil"/>
              <w:bottom w:val="nil"/>
            </w:tcBorders>
            <w:tcMar>
              <w:top w:w="15" w:type="dxa"/>
              <w:left w:w="15" w:type="dxa"/>
              <w:bottom w:w="0" w:type="dxa"/>
              <w:right w:w="15" w:type="dxa"/>
            </w:tcMar>
            <w:vAlign w:val="center"/>
          </w:tcPr>
          <w:p>
            <w:pPr>
              <w:pStyle w:val="42"/>
              <w:jc w:val="center"/>
            </w:pPr>
            <w:r>
              <w:rPr>
                <w:rFonts w:hint="eastAsia"/>
              </w:rPr>
              <w:t>城乡社区体育健身设施覆盖率</w:t>
            </w:r>
          </w:p>
        </w:tc>
        <w:tc>
          <w:tcPr>
            <w:tcW w:w="709" w:type="dxa"/>
            <w:tcBorders>
              <w:top w:val="nil"/>
              <w:bottom w:val="nil"/>
            </w:tcBorders>
            <w:tcMar>
              <w:top w:w="15" w:type="dxa"/>
              <w:left w:w="15" w:type="dxa"/>
              <w:bottom w:w="0" w:type="dxa"/>
              <w:right w:w="15" w:type="dxa"/>
            </w:tcMar>
            <w:vAlign w:val="center"/>
          </w:tcPr>
          <w:p>
            <w:pPr>
              <w:pStyle w:val="42"/>
              <w:jc w:val="center"/>
            </w:pPr>
            <w:r>
              <w:rPr>
                <w:rFonts w:hint="eastAsia"/>
              </w:rPr>
              <w:t>%</w:t>
            </w:r>
          </w:p>
        </w:tc>
        <w:tc>
          <w:tcPr>
            <w:tcW w:w="850" w:type="dxa"/>
            <w:tcBorders>
              <w:top w:val="nil"/>
              <w:bottom w:val="nil"/>
            </w:tcBorders>
            <w:tcMar>
              <w:top w:w="15" w:type="dxa"/>
              <w:left w:w="15" w:type="dxa"/>
              <w:bottom w:w="0" w:type="dxa"/>
              <w:right w:w="15" w:type="dxa"/>
            </w:tcMar>
            <w:vAlign w:val="center"/>
          </w:tcPr>
          <w:p>
            <w:pPr>
              <w:pStyle w:val="42"/>
              <w:jc w:val="center"/>
            </w:pPr>
            <w:r>
              <w:rPr>
                <w:rFonts w:hint="eastAsia"/>
              </w:rPr>
              <w:t>85</w:t>
            </w:r>
          </w:p>
        </w:tc>
        <w:tc>
          <w:tcPr>
            <w:tcW w:w="1560" w:type="dxa"/>
            <w:tcBorders>
              <w:top w:val="nil"/>
              <w:bottom w:val="nil"/>
            </w:tcBorders>
            <w:noWrap/>
            <w:tcMar>
              <w:top w:w="15" w:type="dxa"/>
              <w:left w:w="15" w:type="dxa"/>
              <w:bottom w:w="0" w:type="dxa"/>
              <w:right w:w="15" w:type="dxa"/>
            </w:tcMar>
            <w:vAlign w:val="center"/>
          </w:tcPr>
          <w:p>
            <w:pPr>
              <w:pStyle w:val="42"/>
              <w:jc w:val="center"/>
            </w:pPr>
            <w:r>
              <w:rPr>
                <w:rFonts w:hint="eastAsia"/>
              </w:rPr>
              <w:t>100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PrEx>
        <w:trPr>
          <w:trHeight w:val="240" w:hRule="atLeast"/>
        </w:trPr>
        <w:tc>
          <w:tcPr>
            <w:tcW w:w="914" w:type="dxa"/>
            <w:vMerge w:val="continue"/>
            <w:vAlign w:val="center"/>
          </w:tcPr>
          <w:p>
            <w:pPr>
              <w:pStyle w:val="42"/>
              <w:jc w:val="center"/>
            </w:pPr>
          </w:p>
        </w:tc>
        <w:tc>
          <w:tcPr>
            <w:tcW w:w="978" w:type="dxa"/>
            <w:tcBorders>
              <w:top w:val="nil"/>
              <w:bottom w:val="nil"/>
            </w:tcBorders>
            <w:noWrap/>
            <w:tcMar>
              <w:top w:w="15" w:type="dxa"/>
              <w:left w:w="15" w:type="dxa"/>
              <w:bottom w:w="0" w:type="dxa"/>
              <w:right w:w="15" w:type="dxa"/>
            </w:tcMar>
            <w:vAlign w:val="center"/>
          </w:tcPr>
          <w:p>
            <w:pPr>
              <w:pStyle w:val="42"/>
              <w:jc w:val="center"/>
            </w:pPr>
            <w:r>
              <w:t>3</w:t>
            </w:r>
          </w:p>
        </w:tc>
        <w:tc>
          <w:tcPr>
            <w:tcW w:w="3260" w:type="dxa"/>
            <w:tcBorders>
              <w:top w:val="nil"/>
              <w:bottom w:val="nil"/>
            </w:tcBorders>
            <w:tcMar>
              <w:top w:w="15" w:type="dxa"/>
              <w:left w:w="15" w:type="dxa"/>
              <w:bottom w:w="0" w:type="dxa"/>
              <w:right w:w="15" w:type="dxa"/>
            </w:tcMar>
            <w:vAlign w:val="center"/>
          </w:tcPr>
          <w:p>
            <w:pPr>
              <w:pStyle w:val="42"/>
              <w:jc w:val="center"/>
            </w:pPr>
            <w:r>
              <w:rPr>
                <w:rFonts w:hint="eastAsia"/>
              </w:rPr>
              <w:t>经常性参加体育锻炼的人口比例</w:t>
            </w:r>
          </w:p>
        </w:tc>
        <w:tc>
          <w:tcPr>
            <w:tcW w:w="709" w:type="dxa"/>
            <w:tcBorders>
              <w:top w:val="nil"/>
              <w:bottom w:val="nil"/>
            </w:tcBorders>
            <w:tcMar>
              <w:top w:w="15" w:type="dxa"/>
              <w:left w:w="15" w:type="dxa"/>
              <w:bottom w:w="0" w:type="dxa"/>
              <w:right w:w="15" w:type="dxa"/>
            </w:tcMar>
            <w:vAlign w:val="center"/>
          </w:tcPr>
          <w:p>
            <w:pPr>
              <w:pStyle w:val="42"/>
              <w:jc w:val="center"/>
            </w:pPr>
            <w:r>
              <w:rPr>
                <w:rFonts w:hint="eastAsia"/>
              </w:rPr>
              <w:t>%</w:t>
            </w:r>
          </w:p>
        </w:tc>
        <w:tc>
          <w:tcPr>
            <w:tcW w:w="850" w:type="dxa"/>
            <w:tcBorders>
              <w:top w:val="nil"/>
              <w:bottom w:val="nil"/>
            </w:tcBorders>
            <w:tcMar>
              <w:top w:w="15" w:type="dxa"/>
              <w:left w:w="15" w:type="dxa"/>
              <w:bottom w:w="0" w:type="dxa"/>
              <w:right w:w="15" w:type="dxa"/>
            </w:tcMar>
            <w:vAlign w:val="center"/>
          </w:tcPr>
          <w:p>
            <w:pPr>
              <w:pStyle w:val="42"/>
              <w:jc w:val="center"/>
            </w:pPr>
            <w:r>
              <w:rPr>
                <w:rFonts w:hint="eastAsia"/>
              </w:rPr>
              <w:t>45.8</w:t>
            </w:r>
          </w:p>
        </w:tc>
        <w:tc>
          <w:tcPr>
            <w:tcW w:w="1560" w:type="dxa"/>
            <w:tcBorders>
              <w:top w:val="nil"/>
              <w:bottom w:val="nil"/>
            </w:tcBorders>
            <w:noWrap/>
            <w:tcMar>
              <w:top w:w="15" w:type="dxa"/>
              <w:left w:w="15" w:type="dxa"/>
              <w:bottom w:w="0" w:type="dxa"/>
              <w:right w:w="15" w:type="dxa"/>
            </w:tcMar>
            <w:vAlign w:val="center"/>
          </w:tcPr>
          <w:p>
            <w:pPr>
              <w:pStyle w:val="42"/>
              <w:jc w:val="center"/>
            </w:pPr>
            <w:r>
              <w:rPr>
                <w:rFonts w:hint="eastAsia"/>
              </w:rPr>
              <w:t>47.2</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14" w:type="dxa"/>
            <w:vMerge w:val="continue"/>
            <w:vAlign w:val="center"/>
          </w:tcPr>
          <w:p>
            <w:pPr>
              <w:pStyle w:val="42"/>
              <w:jc w:val="center"/>
            </w:pPr>
          </w:p>
        </w:tc>
        <w:tc>
          <w:tcPr>
            <w:tcW w:w="978" w:type="dxa"/>
            <w:tcBorders>
              <w:top w:val="nil"/>
              <w:bottom w:val="single" w:color="000000" w:sz="4" w:space="0"/>
            </w:tcBorders>
            <w:noWrap/>
            <w:tcMar>
              <w:top w:w="15" w:type="dxa"/>
              <w:left w:w="15" w:type="dxa"/>
              <w:bottom w:w="0" w:type="dxa"/>
              <w:right w:w="15" w:type="dxa"/>
            </w:tcMar>
            <w:vAlign w:val="center"/>
          </w:tcPr>
          <w:p>
            <w:pPr>
              <w:pStyle w:val="42"/>
              <w:jc w:val="center"/>
            </w:pPr>
            <w:r>
              <w:t>4</w:t>
            </w:r>
          </w:p>
        </w:tc>
        <w:tc>
          <w:tcPr>
            <w:tcW w:w="3260" w:type="dxa"/>
            <w:tcBorders>
              <w:top w:val="nil"/>
              <w:bottom w:val="single" w:color="000000" w:sz="4" w:space="0"/>
            </w:tcBorders>
            <w:tcMar>
              <w:top w:w="15" w:type="dxa"/>
              <w:left w:w="15" w:type="dxa"/>
              <w:bottom w:w="0" w:type="dxa"/>
              <w:right w:w="15" w:type="dxa"/>
            </w:tcMar>
            <w:vAlign w:val="center"/>
          </w:tcPr>
          <w:p>
            <w:pPr>
              <w:pStyle w:val="42"/>
              <w:jc w:val="center"/>
            </w:pPr>
            <w:r>
              <w:rPr>
                <w:rFonts w:hint="eastAsia"/>
              </w:rPr>
              <w:t>国民体质监测合格率</w:t>
            </w:r>
          </w:p>
        </w:tc>
        <w:tc>
          <w:tcPr>
            <w:tcW w:w="709" w:type="dxa"/>
            <w:tcBorders>
              <w:top w:val="nil"/>
              <w:bottom w:val="single" w:color="000000" w:sz="4" w:space="0"/>
            </w:tcBorders>
            <w:tcMar>
              <w:top w:w="15" w:type="dxa"/>
              <w:left w:w="15" w:type="dxa"/>
              <w:bottom w:w="0" w:type="dxa"/>
              <w:right w:w="15" w:type="dxa"/>
            </w:tcMar>
            <w:vAlign w:val="center"/>
          </w:tcPr>
          <w:p>
            <w:pPr>
              <w:pStyle w:val="42"/>
              <w:jc w:val="center"/>
            </w:pPr>
            <w:r>
              <w:rPr>
                <w:rFonts w:hint="eastAsia"/>
              </w:rPr>
              <w:t>%</w:t>
            </w:r>
          </w:p>
        </w:tc>
        <w:tc>
          <w:tcPr>
            <w:tcW w:w="850" w:type="dxa"/>
            <w:tcBorders>
              <w:top w:val="nil"/>
              <w:bottom w:val="single" w:color="000000" w:sz="4" w:space="0"/>
            </w:tcBorders>
            <w:tcMar>
              <w:top w:w="15" w:type="dxa"/>
              <w:left w:w="15" w:type="dxa"/>
              <w:bottom w:w="0" w:type="dxa"/>
              <w:right w:w="15" w:type="dxa"/>
            </w:tcMar>
            <w:vAlign w:val="center"/>
          </w:tcPr>
          <w:p>
            <w:pPr>
              <w:pStyle w:val="42"/>
              <w:jc w:val="center"/>
            </w:pPr>
            <w:r>
              <w:rPr>
                <w:rFonts w:hint="eastAsia"/>
              </w:rPr>
              <w:t>92.3</w:t>
            </w:r>
          </w:p>
        </w:tc>
        <w:tc>
          <w:tcPr>
            <w:tcW w:w="1560" w:type="dxa"/>
            <w:tcBorders>
              <w:top w:val="nil"/>
              <w:bottom w:val="single" w:color="000000" w:sz="4" w:space="0"/>
            </w:tcBorders>
            <w:noWrap/>
            <w:tcMar>
              <w:top w:w="15" w:type="dxa"/>
              <w:left w:w="15" w:type="dxa"/>
              <w:bottom w:w="0" w:type="dxa"/>
              <w:right w:w="15" w:type="dxa"/>
            </w:tcMar>
            <w:vAlign w:val="center"/>
          </w:tcPr>
          <w:p>
            <w:pPr>
              <w:pStyle w:val="42"/>
              <w:jc w:val="center"/>
            </w:pPr>
            <w:r>
              <w:rPr>
                <w:rFonts w:hint="eastAsia"/>
              </w:rPr>
              <w:t>93.2</w:t>
            </w:r>
          </w:p>
        </w:tc>
      </w:tr>
    </w:tbl>
    <w:p>
      <w:pPr>
        <w:ind w:firstLine="602"/>
        <w:outlineLvl w:val="3"/>
        <w:rPr>
          <w:rFonts w:ascii="方正仿宋_GBK"/>
          <w:b/>
          <w:color w:val="000000" w:themeColor="text1"/>
          <w:szCs w:val="28"/>
          <w14:textFill>
            <w14:solidFill>
              <w14:schemeClr w14:val="tx1"/>
            </w14:solidFill>
          </w14:textFill>
        </w:rPr>
      </w:pPr>
      <w:r>
        <w:rPr>
          <w:rFonts w:hint="eastAsia" w:ascii="方正仿宋_GBK"/>
          <w:b/>
          <w:color w:val="000000" w:themeColor="text1"/>
          <w:szCs w:val="28"/>
          <w14:textFill>
            <w14:solidFill>
              <w14:schemeClr w14:val="tx1"/>
            </w14:solidFill>
          </w14:textFill>
        </w:rPr>
        <w:t>四</w:t>
      </w:r>
      <w:r>
        <w:rPr>
          <w:rFonts w:ascii="方正仿宋_GBK"/>
          <w:b/>
          <w:color w:val="000000" w:themeColor="text1"/>
          <w:szCs w:val="28"/>
          <w14:textFill>
            <w14:solidFill>
              <w14:schemeClr w14:val="tx1"/>
            </w14:solidFill>
          </w14:textFill>
        </w:rPr>
        <w:t>、发展不足</w:t>
      </w:r>
    </w:p>
    <w:p>
      <w:pPr>
        <w:ind w:firstLine="600"/>
      </w:pPr>
      <w:r>
        <w:rPr>
          <w:rFonts w:hint="eastAsia"/>
        </w:rPr>
        <w:t>“十三五”期间，云阳文化、旅游和体育发展成绩斐然，为“十四五”开启第二个百年</w:t>
      </w:r>
      <w:r>
        <w:rPr>
          <w:rFonts w:hint="eastAsia"/>
          <w:lang w:val="en-US" w:eastAsia="zh-CN"/>
        </w:rPr>
        <w:t>奋斗</w:t>
      </w:r>
      <w:r>
        <w:rPr>
          <w:rFonts w:hint="eastAsia"/>
        </w:rPr>
        <w:t>目标奠定了坚实基础，但仍有所</w:t>
      </w:r>
      <w:r>
        <w:t>不足</w:t>
      </w:r>
      <w:r>
        <w:rPr>
          <w:rFonts w:hint="eastAsia"/>
        </w:rPr>
        <w:t>。</w:t>
      </w:r>
    </w:p>
    <w:p>
      <w:pPr>
        <w:ind w:firstLine="602"/>
      </w:pPr>
      <w:r>
        <w:rPr>
          <w:rFonts w:hint="eastAsia" w:ascii="方正仿宋_GBK"/>
          <w:b/>
        </w:rPr>
        <w:t>文化方面</w:t>
      </w:r>
      <w:r>
        <w:rPr>
          <w:rFonts w:ascii="方正仿宋_GBK"/>
          <w:b/>
        </w:rPr>
        <w:t>：</w:t>
      </w:r>
      <w:r>
        <w:rPr>
          <w:rFonts w:hint="eastAsia"/>
        </w:rPr>
        <w:t>一是文化品牌整合不够。缺乏对三峡文化的总结和提炼，致使地方文化品牌不够</w:t>
      </w:r>
      <w:r>
        <w:t>突出</w:t>
      </w:r>
      <w:r>
        <w:rPr>
          <w:rFonts w:hint="eastAsia"/>
        </w:rPr>
        <w:t>，缺少文化主题。二是文化产业发展劲头不足。文化产业发展仍处于步阶段，文化产值总量低，与其他产业融合少。三是</w:t>
      </w:r>
      <w:bookmarkStart w:id="7" w:name="_Toc63420752"/>
      <w:r>
        <w:rPr>
          <w:rFonts w:hint="eastAsia"/>
        </w:rPr>
        <w:t>文化服务效能有待优化。当下文化</w:t>
      </w:r>
      <w:r>
        <w:t>设施类型</w:t>
      </w:r>
      <w:r>
        <w:rPr>
          <w:rFonts w:hint="eastAsia"/>
        </w:rPr>
        <w:t>单一</w:t>
      </w:r>
      <w:r>
        <w:t>，数量不足</w:t>
      </w:r>
      <w:r>
        <w:rPr>
          <w:rFonts w:hint="eastAsia"/>
        </w:rPr>
        <w:t>，与需求</w:t>
      </w:r>
      <w:r>
        <w:t>相比仍有较大差距</w:t>
      </w:r>
      <w:r>
        <w:rPr>
          <w:rFonts w:hint="eastAsia"/>
        </w:rPr>
        <w:t>，群众性文化活动有较大缺口。</w:t>
      </w:r>
    </w:p>
    <w:p>
      <w:pPr>
        <w:ind w:firstLine="562"/>
        <w:rPr>
          <w:rFonts w:ascii="Calibri" w:hAnsi="Calibri" w:eastAsia="仿宋" w:cs="Times New Roman"/>
          <w:szCs w:val="28"/>
        </w:rPr>
      </w:pPr>
      <w:r>
        <w:rPr>
          <w:rStyle w:val="24"/>
          <w:rFonts w:hint="eastAsia"/>
          <w:color w:val="000000" w:themeColor="text1"/>
          <w14:textFill>
            <w14:solidFill>
              <w14:schemeClr w14:val="tx1"/>
            </w14:solidFill>
          </w14:textFill>
        </w:rPr>
        <w:t>旅游</w:t>
      </w:r>
      <w:r>
        <w:rPr>
          <w:rStyle w:val="24"/>
          <w:color w:val="000000" w:themeColor="text1"/>
          <w14:textFill>
            <w14:solidFill>
              <w14:schemeClr w14:val="tx1"/>
            </w14:solidFill>
          </w14:textFill>
        </w:rPr>
        <w:t>方面：</w:t>
      </w:r>
      <w:r>
        <w:rPr>
          <w:rFonts w:hint="eastAsia"/>
        </w:rPr>
        <w:t>旅游体验产品不丰富、消费水平偏低，未能实现客流资源与经济效益的良好转化，2020年游客人均消费仅为426元，与重庆优势文旅区县相比有较大差距。主要原因有三：一是旅游产品体验升级不足，未能全面适应市场以品质体验为核心向休闲度假转型的发展趋势。二是旅游联动不足，县内旅游引擎单一，其余景区联动松散，与区域旅游合作较少。三是交通区位导致的过境旅游和门户偏移。</w:t>
      </w:r>
    </w:p>
    <w:p>
      <w:pPr>
        <w:ind w:firstLine="602"/>
      </w:pPr>
      <w:r>
        <w:rPr>
          <w:rFonts w:hint="eastAsia"/>
          <w:b/>
        </w:rPr>
        <w:t>体育</w:t>
      </w:r>
      <w:r>
        <w:rPr>
          <w:b/>
        </w:rPr>
        <w:t>方面：</w:t>
      </w:r>
      <w:r>
        <w:t>较难满足全民</w:t>
      </w:r>
      <w:r>
        <w:rPr>
          <w:rFonts w:hint="eastAsia"/>
        </w:rPr>
        <w:t>健身</w:t>
      </w:r>
      <w:r>
        <w:t>需求。</w:t>
      </w:r>
      <w:r>
        <w:rPr>
          <w:rFonts w:hint="eastAsia"/>
        </w:rPr>
        <w:t>一是体育产业发展劲头不足。渠道多元化的公共体育服务主体格局并未形成，体育产业企业引进困难，体育人才缺乏，缺少政策支持。二是</w:t>
      </w:r>
      <w:r>
        <w:rPr>
          <w:rFonts w:hint="eastAsia" w:ascii="方正仿宋_GBK" w:hAnsi="仿宋"/>
          <w:bCs/>
        </w:rPr>
        <w:t>体育设施“建管用”结合不够</w:t>
      </w:r>
      <w:r>
        <w:rPr>
          <w:rFonts w:ascii="方正仿宋_GBK" w:hAnsi="仿宋"/>
          <w:bCs/>
        </w:rPr>
        <w:t>。</w:t>
      </w:r>
      <w:r>
        <w:rPr>
          <w:rFonts w:hint="eastAsia"/>
        </w:rPr>
        <w:t>当前场馆管理</w:t>
      </w:r>
      <w:r>
        <w:t>仍存在不规范、缺乏</w:t>
      </w:r>
      <w:r>
        <w:rPr>
          <w:rFonts w:hint="eastAsia"/>
        </w:rPr>
        <w:t>日常</w:t>
      </w:r>
      <w:r>
        <w:t>维护</w:t>
      </w:r>
      <w:r>
        <w:rPr>
          <w:rFonts w:hint="eastAsia"/>
        </w:rPr>
        <w:t>等问题</w:t>
      </w:r>
      <w:r>
        <w:t>，且</w:t>
      </w:r>
      <w:r>
        <w:rPr>
          <w:rFonts w:hint="eastAsia"/>
        </w:rPr>
        <w:t>居民对这些设施场馆的认知度和使用率偏低</w:t>
      </w:r>
      <w:r>
        <w:t>。</w:t>
      </w:r>
      <w:r>
        <w:rPr>
          <w:rFonts w:hint="eastAsia"/>
        </w:rPr>
        <w:t>三是体育和文化旅游、康养休闲融合不深。全民健身、体育赛事与旅游、休闲、文化、康养等相关产业深度融合发展还有进一步提升空间。</w:t>
      </w:r>
    </w:p>
    <w:p>
      <w:pPr>
        <w:pStyle w:val="4"/>
        <w:ind w:firstLine="640"/>
      </w:pPr>
      <w:bookmarkStart w:id="8" w:name="_Toc82624312"/>
      <w:r>
        <w:rPr>
          <w:rFonts w:hint="eastAsia"/>
        </w:rPr>
        <w:t>第二节</w:t>
      </w:r>
      <w:bookmarkEnd w:id="7"/>
      <w:r>
        <w:rPr>
          <w:rFonts w:hint="eastAsia"/>
        </w:rPr>
        <w:t xml:space="preserve"> 发展环境</w:t>
      </w:r>
      <w:bookmarkEnd w:id="8"/>
    </w:p>
    <w:p>
      <w:pPr>
        <w:ind w:firstLine="600"/>
      </w:pPr>
      <w:r>
        <w:rPr>
          <w:rFonts w:hint="eastAsia"/>
        </w:rPr>
        <w:t>世界正经历百年未有之大变局，我国发展环境将面临深刻变化，但仍处于重要战略机遇期。国内开启全面建设社会主义现代化强国新征程，高质量发展要求和广大人民更高品质生活追求，使文化和旅游发展面临更加复杂的机遇和挑战。</w:t>
      </w:r>
    </w:p>
    <w:p>
      <w:pPr>
        <w:ind w:firstLine="602"/>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一、文旅融合指引全新方向</w:t>
      </w:r>
    </w:p>
    <w:p>
      <w:pPr>
        <w:ind w:firstLine="602"/>
      </w:pPr>
      <w:r>
        <w:rPr>
          <w:rFonts w:hint="eastAsia"/>
          <w:b/>
        </w:rPr>
        <w:t>——推进文旅融合</w:t>
      </w:r>
      <w:r>
        <w:rPr>
          <w:rFonts w:hint="eastAsia"/>
        </w:rPr>
        <w:t>。坚持“宜融则融、应融尽融，以文塑旅、以旅彰文”基本思路，更好实现文化赋能、旅游带动，实现文化事业、文化产业、旅游业高质量发展。云阳文化和旅游要坚持融合发展，推动文化和旅游更广范围、更深层次、更高水平融合，积极推进文化和旅游领域与其他领域融合互促，不断提高文旅发展质量和综合效益，更好地落实文化强国战略和全域旅游发展。</w:t>
      </w:r>
    </w:p>
    <w:p>
      <w:pPr>
        <w:ind w:firstLine="602"/>
        <w:rPr>
          <w:rFonts w:ascii="方正仿宋_GBK"/>
        </w:rPr>
      </w:pPr>
      <w:r>
        <w:rPr>
          <w:rFonts w:hint="eastAsia" w:ascii="方正仿宋_GBK"/>
          <w:b/>
        </w:rPr>
        <w:t>——承接全国文旅发展要求。</w:t>
      </w:r>
      <w:r>
        <w:rPr>
          <w:rFonts w:hint="eastAsia" w:ascii="方正仿宋_GBK"/>
        </w:rPr>
        <w:t>国家提出“十四五”期间文化事业、文化产业和旅游业高质量发展的体制机制更加完善，人民精神文化生活日益丰富，中华文化影响力进一步提升，文化铸魂、文化赋能和旅游为民、旅游带动作用全面凸显，文化事业、文化产业和旅游业成为经济社会发展和综合国力竞争的强大动力和重要支撑，云阳应顺应文旅发展趋势，承接国家文旅发展要求。</w:t>
      </w:r>
    </w:p>
    <w:p>
      <w:pPr>
        <w:ind w:firstLine="602"/>
      </w:pPr>
      <w:r>
        <w:rPr>
          <w:rFonts w:hint="eastAsia"/>
          <w:b/>
        </w:rPr>
        <w:t>——助推实现全市文旅发展目标。</w:t>
      </w:r>
      <w:r>
        <w:rPr>
          <w:rFonts w:hint="eastAsia"/>
        </w:rPr>
        <w:t>“十四五”期间，重庆市文化强市建设取得重大进展，文化软实力大幅度提升，文化和旅游深度融合发展，全面建成国际旅游枢纽城市，加快建成世界知名旅游目的地，云阳应当主动融入全市文旅发展格局，贡献云阳力量。</w:t>
      </w:r>
    </w:p>
    <w:p>
      <w:pPr>
        <w:ind w:firstLine="602"/>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各级</w:t>
      </w:r>
      <w:r>
        <w:rPr>
          <w:b/>
          <w:color w:val="000000" w:themeColor="text1"/>
          <w14:textFill>
            <w14:solidFill>
              <w14:schemeClr w14:val="tx1"/>
            </w14:solidFill>
          </w14:textFill>
        </w:rPr>
        <w:t>战略</w:t>
      </w:r>
      <w:r>
        <w:rPr>
          <w:rFonts w:hint="eastAsia"/>
          <w:b/>
          <w:color w:val="000000" w:themeColor="text1"/>
          <w14:textFill>
            <w14:solidFill>
              <w14:schemeClr w14:val="tx1"/>
            </w14:solidFill>
          </w14:textFill>
        </w:rPr>
        <w:t>明确</w:t>
      </w:r>
      <w:r>
        <w:rPr>
          <w:b/>
          <w:color w:val="000000" w:themeColor="text1"/>
          <w14:textFill>
            <w14:solidFill>
              <w14:schemeClr w14:val="tx1"/>
            </w14:solidFill>
          </w14:textFill>
        </w:rPr>
        <w:t>更高要求</w:t>
      </w:r>
    </w:p>
    <w:p>
      <w:pPr>
        <w:ind w:firstLine="600"/>
      </w:pPr>
      <w:r>
        <w:rPr>
          <w:rFonts w:hint="eastAsia"/>
        </w:rPr>
        <w:t>“十四五”是我国开启建设</w:t>
      </w:r>
      <w:r>
        <w:t>社会主义现代化强国</w:t>
      </w:r>
      <w:r>
        <w:rPr>
          <w:rFonts w:hint="eastAsia"/>
        </w:rPr>
        <w:t>的</w:t>
      </w:r>
      <w:r>
        <w:t>第一个五年，</w:t>
      </w:r>
      <w:r>
        <w:rPr>
          <w:rFonts w:hint="eastAsia"/>
        </w:rPr>
        <w:t>各级</w:t>
      </w:r>
      <w:r>
        <w:t>政策更加重视乡村和西部地区全面发展，目标明确、要求更高</w:t>
      </w:r>
      <w:r>
        <w:rPr>
          <w:rFonts w:hint="eastAsia"/>
        </w:rPr>
        <w:t>。</w:t>
      </w:r>
    </w:p>
    <w:p>
      <w:pPr>
        <w:ind w:firstLine="602"/>
      </w:pPr>
      <w:r>
        <w:rPr>
          <w:rFonts w:hint="eastAsia"/>
          <w:b/>
        </w:rPr>
        <w:t>——落实乡村</w:t>
      </w:r>
      <w:r>
        <w:rPr>
          <w:b/>
        </w:rPr>
        <w:t>振兴战略</w:t>
      </w:r>
      <w:r>
        <w:rPr>
          <w:rFonts w:hint="eastAsia"/>
        </w:rPr>
        <w:t>。文化和旅游是助推乡村振兴的主要力量，按照产业兴旺、生态宜居、乡风文明、治理有效、生活富裕总要求，全面推进“乡村振兴”。抓住乡村振兴战略发展机遇，加快有条件地区乡村旅游产业发展，建立乡村发展动能，构建产业兴旺支撑；全面提升乡村公共文化服务品质、传承和彰显乡村文化、提高乡村社会文明程度，推动“乡风文明”；文旅发展融入乡村建设、共享文旅设施提高乡村人居品质，推动“生态宜居”； 结合文旅经营主体建设集体经济，推动“治理有效”；引导社区居民参与文旅经营，建立旅游富民机制，推动“生活富裕”；确保全面落实乡村振兴战略。</w:t>
      </w:r>
    </w:p>
    <w:p>
      <w:pPr>
        <w:ind w:firstLine="602"/>
      </w:pPr>
      <w:r>
        <w:rPr>
          <w:rFonts w:hint="eastAsia"/>
          <w:b/>
        </w:rPr>
        <w:t>——</w:t>
      </w:r>
      <w:r>
        <w:rPr>
          <w:rFonts w:hint="eastAsia"/>
          <w:b/>
          <w:sz w:val="32"/>
        </w:rPr>
        <w:t>承接</w:t>
      </w:r>
      <w:r>
        <w:rPr>
          <w:b/>
          <w:sz w:val="32"/>
        </w:rPr>
        <w:t>成渝地区双城经济圈</w:t>
      </w:r>
      <w:r>
        <w:rPr>
          <w:rFonts w:hint="eastAsia"/>
          <w:b/>
          <w:sz w:val="32"/>
        </w:rPr>
        <w:t>战略，打造</w:t>
      </w:r>
      <w:r>
        <w:rPr>
          <w:b/>
          <w:sz w:val="32"/>
        </w:rPr>
        <w:t>巴蜀文化旅游走廊重要</w:t>
      </w:r>
      <w:r>
        <w:rPr>
          <w:rFonts w:hint="eastAsia"/>
          <w:b/>
          <w:sz w:val="32"/>
        </w:rPr>
        <w:t>节</w:t>
      </w:r>
      <w:r>
        <w:rPr>
          <w:b/>
          <w:sz w:val="32"/>
        </w:rPr>
        <w:t>点</w:t>
      </w:r>
      <w:r>
        <w:rPr>
          <w:rFonts w:hint="eastAsia"/>
        </w:rPr>
        <w:t>。成渝地区双城经济圈国家战略是构建中国第四增长极、西部地区唯一增长极的重大举措，有利于成渝两地深化交通共建共享、产业互补联动、服务业分工协作、文化旅游体育联动发展。云阳文化旅游和体育发展要积极融入成渝地区双城经济圈，把握基础设施和重大产业投资向西部地区倾斜机会，充分发挥云阳自身优势，夯实文旅发展基础，</w:t>
      </w:r>
      <w:r>
        <w:rPr>
          <w:rFonts w:hint="eastAsia"/>
          <w:sz w:val="32"/>
        </w:rPr>
        <w:t>建成巴蜀文化旅游走廊重要节点</w:t>
      </w:r>
      <w:r>
        <w:rPr>
          <w:rFonts w:hint="eastAsia"/>
        </w:rPr>
        <w:t>。</w:t>
      </w:r>
    </w:p>
    <w:p>
      <w:pPr>
        <w:ind w:firstLine="602"/>
        <w:rPr>
          <w:sz w:val="32"/>
        </w:rPr>
      </w:pPr>
      <w:r>
        <w:rPr>
          <w:rFonts w:hint="eastAsia"/>
          <w:b/>
        </w:rPr>
        <w:t>——驱动万开云同城化发展战略。</w:t>
      </w:r>
      <w:r>
        <w:rPr>
          <w:rFonts w:hint="eastAsia"/>
        </w:rPr>
        <w:t>万开云板块是</w:t>
      </w:r>
      <w:r>
        <w:rPr>
          <w:rFonts w:ascii="Arial" w:hAnsi="Arial" w:cs="Arial"/>
          <w:color w:val="333333"/>
          <w:shd w:val="clear" w:color="auto" w:fill="FFFFFF"/>
        </w:rPr>
        <w:t>渝东北发展的引擎动力机，也是成渝地区双城经济圈的东向开放门户。万开</w:t>
      </w:r>
      <w:r>
        <w:rPr>
          <w:rFonts w:hint="eastAsia" w:ascii="Arial" w:hAnsi="Arial" w:cs="Arial"/>
          <w:color w:val="333333"/>
          <w:shd w:val="clear" w:color="auto" w:fill="FFFFFF"/>
        </w:rPr>
        <w:t>云</w:t>
      </w:r>
      <w:r>
        <w:rPr>
          <w:rFonts w:ascii="Arial" w:hAnsi="Arial" w:cs="Arial"/>
          <w:color w:val="333333"/>
          <w:shd w:val="clear" w:color="auto" w:fill="FFFFFF"/>
        </w:rPr>
        <w:t>板块要实现交通同城化、产业同城化、公共服务同城化</w:t>
      </w:r>
      <w:r>
        <w:rPr>
          <w:rFonts w:hint="eastAsia" w:ascii="Arial" w:hAnsi="Arial" w:cs="Arial"/>
          <w:color w:val="333333"/>
          <w:shd w:val="clear" w:color="auto" w:fill="FFFFFF"/>
        </w:rPr>
        <w:t>发展，云阳必须发挥驱动作用，</w:t>
      </w:r>
      <w:r>
        <w:rPr>
          <w:rFonts w:ascii="Arial" w:hAnsi="Arial" w:cs="Arial"/>
          <w:color w:val="333333"/>
          <w:shd w:val="clear" w:color="auto" w:fill="FFFFFF"/>
        </w:rPr>
        <w:t>实施“东拓北扩西进南跨”战略</w:t>
      </w:r>
      <w:r>
        <w:rPr>
          <w:rFonts w:hint="eastAsia"/>
        </w:rPr>
        <w:t>，推动三地</w:t>
      </w:r>
      <w:r>
        <w:rPr>
          <w:rFonts w:ascii="Arial" w:hAnsi="Arial" w:cs="Arial"/>
          <w:color w:val="333333"/>
          <w:shd w:val="clear" w:color="auto" w:fill="FFFFFF"/>
        </w:rPr>
        <w:t>共建三峡城市核心区</w:t>
      </w:r>
      <w:r>
        <w:rPr>
          <w:rFonts w:hint="eastAsia" w:ascii="Arial" w:hAnsi="Arial" w:cs="Arial"/>
          <w:color w:val="333333"/>
          <w:shd w:val="clear" w:color="auto" w:fill="FFFFFF"/>
        </w:rPr>
        <w:t>，</w:t>
      </w:r>
      <w:r>
        <w:rPr>
          <w:rFonts w:ascii="Arial" w:hAnsi="Arial" w:cs="Arial"/>
          <w:color w:val="333333"/>
          <w:shd w:val="clear" w:color="auto" w:fill="FFFFFF"/>
        </w:rPr>
        <w:t>共同打造成渝地区双城经济圈第三极</w:t>
      </w:r>
      <w:r>
        <w:rPr>
          <w:rFonts w:hint="eastAsia"/>
          <w:sz w:val="32"/>
        </w:rPr>
        <w:t>。</w:t>
      </w:r>
    </w:p>
    <w:p>
      <w:pPr>
        <w:ind w:firstLine="602"/>
        <w:rPr>
          <w:sz w:val="32"/>
          <w:szCs w:val="32"/>
        </w:rPr>
      </w:pPr>
      <w:r>
        <w:rPr>
          <w:rFonts w:hint="eastAsia"/>
          <w:b/>
        </w:rPr>
        <w:t>——建好长江三峡国际黄金旅游带战略支点。</w:t>
      </w:r>
      <w:r>
        <w:rPr>
          <w:rFonts w:hint="eastAsia"/>
        </w:rPr>
        <w:t>建设长江三峡国际黄金旅游带是</w:t>
      </w:r>
      <w:r>
        <w:rPr>
          <w:rFonts w:ascii="Arial" w:hAnsi="Arial" w:cs="Arial"/>
          <w:color w:val="333333"/>
          <w:shd w:val="clear" w:color="auto" w:fill="FFFFFF"/>
        </w:rPr>
        <w:t>打好“三峡”牌，加快推进三峡旅游由“一线游”向“一片游”转变</w:t>
      </w:r>
      <w:r>
        <w:rPr>
          <w:rFonts w:hint="eastAsia" w:ascii="Arial" w:hAnsi="Arial" w:cs="Arial"/>
          <w:color w:val="333333"/>
          <w:shd w:val="clear" w:color="auto" w:fill="FFFFFF"/>
        </w:rPr>
        <w:t>的必由之路</w:t>
      </w:r>
      <w:r>
        <w:rPr>
          <w:rFonts w:ascii="Arial" w:hAnsi="Arial" w:cs="Arial"/>
          <w:color w:val="333333"/>
          <w:shd w:val="clear" w:color="auto" w:fill="FFFFFF"/>
        </w:rPr>
        <w:t>。</w:t>
      </w:r>
      <w:r>
        <w:rPr>
          <w:rFonts w:hint="eastAsia" w:ascii="Arial" w:hAnsi="Arial" w:cs="Arial"/>
          <w:color w:val="333333"/>
          <w:shd w:val="clear" w:color="auto" w:fill="FFFFFF"/>
        </w:rPr>
        <w:t>云阳要主动融入长江三峡国际黄金旅游带建设，在</w:t>
      </w:r>
      <w:r>
        <w:rPr>
          <w:rFonts w:ascii="Arial" w:hAnsi="Arial" w:cs="Arial"/>
          <w:color w:val="333333"/>
          <w:shd w:val="clear" w:color="auto" w:fill="FFFFFF"/>
        </w:rPr>
        <w:t>旅游交通</w:t>
      </w:r>
      <w:r>
        <w:rPr>
          <w:rFonts w:hint="eastAsia" w:ascii="Arial" w:hAnsi="Arial" w:cs="Arial"/>
          <w:color w:val="333333"/>
          <w:shd w:val="clear" w:color="auto" w:fill="FFFFFF"/>
        </w:rPr>
        <w:t>、</w:t>
      </w:r>
      <w:r>
        <w:rPr>
          <w:rFonts w:ascii="Arial" w:hAnsi="Arial" w:cs="Arial"/>
          <w:color w:val="333333"/>
          <w:shd w:val="clear" w:color="auto" w:fill="FFFFFF"/>
        </w:rPr>
        <w:t>产品开发</w:t>
      </w:r>
      <w:r>
        <w:rPr>
          <w:rFonts w:hint="eastAsia" w:ascii="Arial" w:hAnsi="Arial" w:cs="Arial"/>
          <w:color w:val="333333"/>
          <w:shd w:val="clear" w:color="auto" w:fill="FFFFFF"/>
        </w:rPr>
        <w:t>、</w:t>
      </w:r>
      <w:r>
        <w:rPr>
          <w:rFonts w:ascii="Arial" w:hAnsi="Arial" w:cs="Arial"/>
          <w:color w:val="333333"/>
          <w:shd w:val="clear" w:color="auto" w:fill="FFFFFF"/>
        </w:rPr>
        <w:t>线路培育</w:t>
      </w:r>
      <w:r>
        <w:rPr>
          <w:rFonts w:hint="eastAsia" w:ascii="Arial" w:hAnsi="Arial" w:cs="Arial"/>
          <w:color w:val="333333"/>
          <w:shd w:val="clear" w:color="auto" w:fill="FFFFFF"/>
        </w:rPr>
        <w:t>、</w:t>
      </w:r>
      <w:r>
        <w:rPr>
          <w:rFonts w:ascii="Arial" w:hAnsi="Arial" w:cs="Arial"/>
          <w:color w:val="333333"/>
          <w:shd w:val="clear" w:color="auto" w:fill="FFFFFF"/>
        </w:rPr>
        <w:t>宣传推广</w:t>
      </w:r>
      <w:r>
        <w:rPr>
          <w:rFonts w:hint="eastAsia" w:ascii="Arial" w:hAnsi="Arial" w:cs="Arial"/>
          <w:color w:val="333333"/>
          <w:shd w:val="clear" w:color="auto" w:fill="FFFFFF"/>
        </w:rPr>
        <w:t>、</w:t>
      </w:r>
      <w:r>
        <w:rPr>
          <w:rFonts w:ascii="Arial" w:hAnsi="Arial" w:cs="Arial"/>
          <w:color w:val="333333"/>
          <w:shd w:val="clear" w:color="auto" w:fill="FFFFFF"/>
        </w:rPr>
        <w:t>公共服务</w:t>
      </w:r>
      <w:r>
        <w:rPr>
          <w:rFonts w:hint="eastAsia" w:ascii="Arial" w:hAnsi="Arial" w:cs="Arial"/>
          <w:color w:val="333333"/>
          <w:shd w:val="clear" w:color="auto" w:fill="FFFFFF"/>
        </w:rPr>
        <w:t>和</w:t>
      </w:r>
      <w:r>
        <w:rPr>
          <w:rFonts w:ascii="Arial" w:hAnsi="Arial" w:cs="Arial"/>
          <w:color w:val="333333"/>
          <w:shd w:val="clear" w:color="auto" w:fill="FFFFFF"/>
        </w:rPr>
        <w:t>市场管理</w:t>
      </w:r>
      <w:r>
        <w:rPr>
          <w:rFonts w:hint="eastAsia" w:ascii="Arial" w:hAnsi="Arial" w:cs="Arial"/>
          <w:color w:val="333333"/>
          <w:shd w:val="clear" w:color="auto" w:fill="FFFFFF"/>
        </w:rPr>
        <w:t>“六个一体化”发展中展现云阳担当，建好长江三峡国际黄金旅游带战略支点城市。</w:t>
      </w:r>
    </w:p>
    <w:p>
      <w:pPr>
        <w:ind w:firstLine="602"/>
        <w:rPr>
          <w:rFonts w:hAnsi="方正仿宋_GBK"/>
        </w:rPr>
      </w:pPr>
      <w:r>
        <w:rPr>
          <w:rFonts w:hint="eastAsia" w:hAnsi="方正仿宋_GBK"/>
          <w:b/>
        </w:rPr>
        <w:t>——落实云阳“五地一支撑”目标</w:t>
      </w:r>
      <w:r>
        <w:rPr>
          <w:rFonts w:hAnsi="方正仿宋_GBK"/>
        </w:rPr>
        <w:t>。</w:t>
      </w:r>
      <w:r>
        <w:rPr>
          <w:rFonts w:hint="eastAsia" w:hAnsi="方正仿宋_GBK"/>
        </w:rPr>
        <w:t>以改革创新为根本动力，以满足人民日益增长的美好生活需要为根本目的，实施“双100双1000”战略，实现“五地一支撑”目标。</w:t>
      </w:r>
      <w:r>
        <w:rPr>
          <w:rFonts w:hAnsi="方正仿宋_GBK"/>
        </w:rPr>
        <w:t>推动</w:t>
      </w:r>
      <w:r>
        <w:rPr>
          <w:rFonts w:hint="eastAsia" w:hAnsi="方正仿宋_GBK"/>
        </w:rPr>
        <w:t>文化</w:t>
      </w:r>
      <w:r>
        <w:rPr>
          <w:rFonts w:hAnsi="方正仿宋_GBK"/>
        </w:rPr>
        <w:t>发展</w:t>
      </w:r>
      <w:r>
        <w:rPr>
          <w:rFonts w:hint="eastAsia" w:hAnsi="方正仿宋_GBK"/>
        </w:rPr>
        <w:t>，</w:t>
      </w:r>
      <w:r>
        <w:rPr>
          <w:rFonts w:hAnsi="方正仿宋_GBK"/>
        </w:rPr>
        <w:t>创造云阳高品质文化生活</w:t>
      </w:r>
      <w:r>
        <w:rPr>
          <w:rFonts w:hint="eastAsia" w:hAnsi="方正仿宋_GBK"/>
        </w:rPr>
        <w:t>；</w:t>
      </w:r>
      <w:r>
        <w:rPr>
          <w:rFonts w:hAnsi="方正仿宋_GBK"/>
        </w:rPr>
        <w:t>推动</w:t>
      </w:r>
      <w:r>
        <w:rPr>
          <w:rFonts w:hint="eastAsia" w:hAnsi="方正仿宋_GBK"/>
        </w:rPr>
        <w:t>旅游</w:t>
      </w:r>
      <w:r>
        <w:rPr>
          <w:rFonts w:hAnsi="方正仿宋_GBK"/>
        </w:rPr>
        <w:t>发展，</w:t>
      </w:r>
      <w:r>
        <w:rPr>
          <w:rFonts w:hint="eastAsia" w:hAnsi="方正仿宋_GBK"/>
        </w:rPr>
        <w:t>将大旅游产业培育为全县支柱性产业；</w:t>
      </w:r>
      <w:r>
        <w:rPr>
          <w:rFonts w:hAnsi="方正仿宋_GBK"/>
        </w:rPr>
        <w:t>推动体育发展，</w:t>
      </w:r>
      <w:r>
        <w:rPr>
          <w:rFonts w:hint="eastAsia" w:hAnsi="方正仿宋_GBK"/>
        </w:rPr>
        <w:t>助推落实健康云阳战略。</w:t>
      </w:r>
    </w:p>
    <w:p>
      <w:pPr>
        <w:ind w:firstLine="602"/>
        <w:rPr>
          <w:b/>
          <w:color w:val="000000" w:themeColor="text1"/>
          <w14:textFill>
            <w14:solidFill>
              <w14:schemeClr w14:val="tx1"/>
            </w14:solidFill>
          </w14:textFill>
        </w:rPr>
      </w:pPr>
      <w:r>
        <w:rPr>
          <w:rFonts w:hint="eastAsia"/>
          <w:b/>
          <w:color w:val="000000" w:themeColor="text1"/>
          <w14:textFill>
            <w14:solidFill>
              <w14:schemeClr w14:val="tx1"/>
            </w14:solidFill>
          </w14:textFill>
        </w:rPr>
        <w:t>三</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需求</w:t>
      </w:r>
      <w:r>
        <w:rPr>
          <w:b/>
          <w:color w:val="000000" w:themeColor="text1"/>
          <w14:textFill>
            <w14:solidFill>
              <w14:schemeClr w14:val="tx1"/>
            </w14:solidFill>
          </w14:textFill>
        </w:rPr>
        <w:t>转型带来</w:t>
      </w:r>
      <w:r>
        <w:rPr>
          <w:rFonts w:hint="eastAsia"/>
          <w:b/>
          <w:color w:val="000000" w:themeColor="text1"/>
          <w14:textFill>
            <w14:solidFill>
              <w14:schemeClr w14:val="tx1"/>
            </w14:solidFill>
          </w14:textFill>
        </w:rPr>
        <w:t>关键</w:t>
      </w:r>
      <w:r>
        <w:rPr>
          <w:b/>
          <w:color w:val="000000" w:themeColor="text1"/>
          <w14:textFill>
            <w14:solidFill>
              <w14:schemeClr w14:val="tx1"/>
            </w14:solidFill>
          </w14:textFill>
        </w:rPr>
        <w:t>机遇</w:t>
      </w:r>
    </w:p>
    <w:p>
      <w:pPr>
        <w:ind w:firstLine="600"/>
        <w:rPr>
          <w:rFonts w:hAnsi="方正仿宋_GBK"/>
          <w:color w:val="000000" w:themeColor="text1"/>
          <w14:textFill>
            <w14:solidFill>
              <w14:schemeClr w14:val="tx1"/>
            </w14:solidFill>
          </w14:textFill>
        </w:rPr>
      </w:pPr>
      <w:r>
        <w:rPr>
          <w:rFonts w:hint="eastAsia" w:hAnsi="方正仿宋_GBK"/>
          <w:color w:val="000000" w:themeColor="text1"/>
          <w14:textFill>
            <w14:solidFill>
              <w14:schemeClr w14:val="tx1"/>
            </w14:solidFill>
          </w14:textFill>
        </w:rPr>
        <w:t>“十四五”是全面开启社会主义现代化强国建设的第一个五年，广大人民追求更高品质生活的愿望更加迫切。云阳“十四五”文化旅游体育发展要把握时代更迭下体验游、深度游、品质游等需求转变带来的关键机遇，推动文旅发展弯道超车。</w:t>
      </w:r>
    </w:p>
    <w:p>
      <w:pPr>
        <w:ind w:firstLine="600"/>
        <w:rPr>
          <w:b/>
        </w:rPr>
      </w:pPr>
      <w:r>
        <w:rPr>
          <w:rFonts w:hint="eastAsia" w:hAnsi="方正仿宋_GBK"/>
          <w:color w:val="000000" w:themeColor="text1"/>
          <w14:textFill>
            <w14:solidFill>
              <w14:schemeClr w14:val="tx1"/>
            </w14:solidFill>
          </w14:textFill>
        </w:rPr>
        <w:t>在后疫情时代“双循环”格局的叠加影响下，文化和旅游市场需求呈现“总量增加、需求多元和追求品质”的总体特征，更加注重体验和个性体验。云阳文旅发展必须瞄准市场需求转型和增长方向，注重弘扬地方文化品牌、注重文化旅游需求，构建独具云阳特色和适应市场方向的新产品、新业态和新模式，尤其要把握个性化的文旅体验和生态康养需求等重大市场机遇。</w:t>
      </w:r>
    </w:p>
    <w:p>
      <w:pPr>
        <w:ind w:firstLine="602"/>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四</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设施</w:t>
      </w:r>
      <w:r>
        <w:rPr>
          <w:b/>
          <w:color w:val="000000" w:themeColor="text1"/>
          <w14:textFill>
            <w14:solidFill>
              <w14:schemeClr w14:val="tx1"/>
            </w14:solidFill>
          </w14:textFill>
        </w:rPr>
        <w:t>升级夯实</w:t>
      </w:r>
      <w:r>
        <w:rPr>
          <w:rFonts w:hint="eastAsia"/>
          <w:b/>
          <w:color w:val="000000" w:themeColor="text1"/>
          <w14:textFill>
            <w14:solidFill>
              <w14:schemeClr w14:val="tx1"/>
            </w14:solidFill>
          </w14:textFill>
        </w:rPr>
        <w:t>基础</w:t>
      </w:r>
      <w:r>
        <w:rPr>
          <w:b/>
          <w:color w:val="000000" w:themeColor="text1"/>
          <w14:textFill>
            <w14:solidFill>
              <w14:schemeClr w14:val="tx1"/>
            </w14:solidFill>
          </w14:textFill>
        </w:rPr>
        <w:t>条件</w:t>
      </w:r>
    </w:p>
    <w:p>
      <w:pPr>
        <w:ind w:firstLine="600"/>
        <w:rPr>
          <w:rFonts w:ascii="仿宋" w:hAnsi="仿宋"/>
        </w:rPr>
      </w:pPr>
      <w:r>
        <w:rPr>
          <w:rFonts w:hint="eastAsia"/>
        </w:rPr>
        <w:t>“十四五”</w:t>
      </w:r>
      <w:r>
        <w:rPr>
          <w:rFonts w:hint="eastAsia" w:ascii="仿宋" w:hAnsi="仿宋"/>
        </w:rPr>
        <w:t>云阳</w:t>
      </w:r>
      <w:r>
        <w:rPr>
          <w:rFonts w:ascii="仿宋" w:hAnsi="仿宋"/>
        </w:rPr>
        <w:t>步入高铁时代</w:t>
      </w:r>
      <w:r>
        <w:rPr>
          <w:rFonts w:hint="eastAsia" w:ascii="仿宋" w:hAnsi="仿宋"/>
        </w:rPr>
        <w:t>。</w:t>
      </w:r>
      <w:r>
        <w:rPr>
          <w:rFonts w:ascii="仿宋" w:hAnsi="仿宋"/>
        </w:rPr>
        <w:t>利用形成</w:t>
      </w:r>
      <w:r>
        <w:rPr>
          <w:rFonts w:hint="eastAsia"/>
        </w:rPr>
        <w:t>“三横一纵两循环”高速网、“一高两普一货四环”铁路网、“一港五区一平台”水运网和“一心多点”航空体系的铁公水空“四位一体”交通体系。快速立体</w:t>
      </w:r>
      <w:r>
        <w:t>的交通变革</w:t>
      </w:r>
      <w:r>
        <w:rPr>
          <w:rFonts w:hint="eastAsia"/>
        </w:rPr>
        <w:t>拉近了三峡库区与成渝地区双城经济圈、长江中游城市群、中原城市群的交通距离。云阳将充分发挥“节点作用”，全面融入成渝地区双城经济圈建设，加速推动“一区两群”协调发展、“万开云”同城化，云阳战略地位更加凸显、区位优势更加明显，云阳休闲度假旅游的区位条件也将全面提升</w:t>
      </w:r>
      <w:r>
        <w:rPr>
          <w:rFonts w:hint="eastAsia" w:ascii="仿宋" w:hAnsi="仿宋"/>
        </w:rPr>
        <w:t>。</w:t>
      </w:r>
    </w:p>
    <w:p>
      <w:pPr>
        <w:pStyle w:val="4"/>
        <w:ind w:firstLine="640"/>
      </w:pPr>
      <w:bookmarkStart w:id="9" w:name="_Toc82624313"/>
      <w:r>
        <w:rPr>
          <w:rFonts w:hint="eastAsia"/>
        </w:rPr>
        <w:t>第三节 发展优势</w:t>
      </w:r>
      <w:bookmarkEnd w:id="9"/>
    </w:p>
    <w:p>
      <w:pPr>
        <w:ind w:firstLine="602"/>
        <w:rPr>
          <w:rFonts w:ascii="方正仿宋_GBK" w:hAnsi="方正仿宋_GBK"/>
          <w:szCs w:val="32"/>
        </w:rPr>
      </w:pPr>
      <w:r>
        <w:rPr>
          <w:rFonts w:hint="eastAsia"/>
          <w:b/>
        </w:rPr>
        <w:t>——发挥生态地质优势，</w:t>
      </w:r>
      <w:r>
        <w:rPr>
          <w:rFonts w:hint="eastAsia" w:ascii="方正仿宋_GBK" w:hAnsi="方正仿宋_GBK"/>
          <w:b/>
          <w:szCs w:val="32"/>
        </w:rPr>
        <w:t>升级自然体验、推进康养度假</w:t>
      </w:r>
      <w:r>
        <w:rPr>
          <w:rFonts w:hint="eastAsia" w:ascii="方正仿宋_GBK" w:hAnsi="方正仿宋_GBK"/>
          <w:szCs w:val="32"/>
        </w:rPr>
        <w:t>。</w:t>
      </w:r>
      <w:r>
        <w:rPr>
          <w:rFonts w:hint="eastAsia" w:eastAsia="仿宋" w:cs="仿宋"/>
        </w:rPr>
        <w:t>云阳县整体处于七曜山脉、巫山山脉交错地带，长江东西贯穿，南北各两条一级支流分割，拥有</w:t>
      </w:r>
      <w:r>
        <w:rPr>
          <w:rFonts w:eastAsia="仿宋" w:cs="仿宋"/>
        </w:rPr>
        <w:t>龙缸、</w:t>
      </w:r>
      <w:r>
        <w:rPr>
          <w:rFonts w:hint="eastAsia" w:eastAsia="仿宋" w:cs="仿宋"/>
        </w:rPr>
        <w:t>三峡、</w:t>
      </w:r>
      <w:r>
        <w:rPr>
          <w:rFonts w:eastAsia="仿宋" w:cs="仿宋"/>
        </w:rPr>
        <w:t>恐龙化石</w:t>
      </w:r>
      <w:r>
        <w:rPr>
          <w:rFonts w:hint="eastAsia" w:eastAsia="仿宋" w:cs="仿宋"/>
        </w:rPr>
        <w:t>三大世界级</w:t>
      </w:r>
      <w:r>
        <w:rPr>
          <w:rFonts w:eastAsia="仿宋" w:cs="仿宋"/>
        </w:rPr>
        <w:t>地质</w:t>
      </w:r>
      <w:r>
        <w:rPr>
          <w:rFonts w:hint="eastAsia" w:eastAsia="仿宋" w:cs="仿宋"/>
        </w:rPr>
        <w:t>奇观</w:t>
      </w:r>
      <w:r>
        <w:rPr>
          <w:rFonts w:eastAsia="仿宋" w:cs="仿宋"/>
        </w:rPr>
        <w:t>，</w:t>
      </w:r>
      <w:r>
        <w:rPr>
          <w:rFonts w:hint="eastAsia" w:ascii="方正仿宋_GBK" w:hAnsi="方正仿宋_GBK"/>
        </w:rPr>
        <w:t>具有</w:t>
      </w:r>
      <w:r>
        <w:rPr>
          <w:rFonts w:ascii="方正仿宋_GBK" w:hAnsi="方正仿宋_GBK"/>
        </w:rPr>
        <w:t>极强</w:t>
      </w:r>
      <w:r>
        <w:rPr>
          <w:rFonts w:hint="eastAsia" w:ascii="方正仿宋_GBK" w:hAnsi="方正仿宋_GBK"/>
        </w:rPr>
        <w:t>山地康养</w:t>
      </w:r>
      <w:r>
        <w:rPr>
          <w:rFonts w:ascii="方正仿宋_GBK" w:hAnsi="方正仿宋_GBK"/>
        </w:rPr>
        <w:t>开发价值</w:t>
      </w:r>
      <w:r>
        <w:rPr>
          <w:rFonts w:hint="eastAsia" w:ascii="方正仿宋_GBK" w:hAnsi="方正仿宋_GBK"/>
        </w:rPr>
        <w:t>，应升级康养体验、推进全域度假，</w:t>
      </w:r>
      <w:r>
        <w:rPr>
          <w:rFonts w:ascii="方正仿宋_GBK" w:hAnsi="方正仿宋_GBK"/>
        </w:rPr>
        <w:t>打造重庆康养度假品牌支撑</w:t>
      </w:r>
      <w:r>
        <w:rPr>
          <w:rFonts w:hint="eastAsia" w:eastAsia="仿宋" w:cs="仿宋"/>
        </w:rPr>
        <w:t>。</w:t>
      </w:r>
    </w:p>
    <w:p>
      <w:pPr>
        <w:ind w:firstLine="602"/>
        <w:rPr>
          <w:rFonts w:ascii="方正仿宋_GBK" w:hAnsi="方正仿宋_GBK"/>
          <w:b/>
          <w:szCs w:val="32"/>
        </w:rPr>
      </w:pPr>
      <w:r>
        <w:rPr>
          <w:rFonts w:hint="eastAsia" w:ascii="方正仿宋_GBK" w:hAnsi="方正仿宋_GBK"/>
          <w:b/>
          <w:szCs w:val="32"/>
        </w:rPr>
        <w:t>——发挥三峡人文优势，打造文化体验、建设文化支点。</w:t>
      </w:r>
      <w:r>
        <w:rPr>
          <w:rFonts w:hint="eastAsia"/>
        </w:rPr>
        <w:t>云阳独特的三峡山水</w:t>
      </w:r>
      <w:r>
        <w:rPr>
          <w:rFonts w:hint="eastAsia"/>
          <w:lang w:eastAsia="zh-CN"/>
        </w:rPr>
        <w:t>孕育了</w:t>
      </w:r>
      <w:r>
        <w:rPr>
          <w:rFonts w:hint="eastAsia"/>
        </w:rPr>
        <w:t>灿烂的农耕民俗文化、三峡历史文化、三国文化、龙文化、</w:t>
      </w:r>
      <w:r>
        <w:t>盐文化、梯城文化、</w:t>
      </w:r>
      <w:r>
        <w:rPr>
          <w:rFonts w:hint="eastAsia"/>
        </w:rPr>
        <w:t>移民文化等多种</w:t>
      </w:r>
      <w:r>
        <w:t>文化</w:t>
      </w:r>
      <w:r>
        <w:rPr>
          <w:rFonts w:hint="eastAsia"/>
        </w:rPr>
        <w:t>要素，</w:t>
      </w:r>
      <w:r>
        <w:rPr>
          <w:rFonts w:ascii="方正仿宋_GBK" w:hAnsi="方正仿宋_GBK"/>
        </w:rPr>
        <w:t>是</w:t>
      </w:r>
      <w:r>
        <w:rPr>
          <w:rFonts w:hint="eastAsia" w:ascii="方正仿宋_GBK" w:hAnsi="方正仿宋_GBK"/>
        </w:rPr>
        <w:t>三峡</w:t>
      </w:r>
      <w:r>
        <w:rPr>
          <w:rFonts w:ascii="方正仿宋_GBK" w:hAnsi="方正仿宋_GBK"/>
        </w:rPr>
        <w:t>文化的重要组成部分</w:t>
      </w:r>
      <w:r>
        <w:rPr>
          <w:rFonts w:hint="eastAsia" w:ascii="方正仿宋_GBK" w:hAnsi="方正仿宋_GBK"/>
        </w:rPr>
        <w:t>，具有</w:t>
      </w:r>
      <w:r>
        <w:rPr>
          <w:rFonts w:ascii="方正仿宋_GBK" w:hAnsi="方正仿宋_GBK"/>
        </w:rPr>
        <w:t>极强文旅融合开发价值</w:t>
      </w:r>
      <w:r>
        <w:rPr>
          <w:rFonts w:hint="eastAsia" w:ascii="方正仿宋_GBK" w:hAnsi="方正仿宋_GBK"/>
        </w:rPr>
        <w:t>，理应</w:t>
      </w:r>
      <w:r>
        <w:rPr>
          <w:rFonts w:ascii="方正仿宋_GBK" w:hAnsi="方正仿宋_GBK"/>
        </w:rPr>
        <w:t>建成市级文化支点、开发</w:t>
      </w:r>
      <w:r>
        <w:rPr>
          <w:rFonts w:hint="eastAsia" w:ascii="方正仿宋_GBK" w:hAnsi="方正仿宋_GBK"/>
        </w:rPr>
        <w:t>旅游</w:t>
      </w:r>
      <w:r>
        <w:rPr>
          <w:rFonts w:ascii="方正仿宋_GBK" w:hAnsi="方正仿宋_GBK"/>
        </w:rPr>
        <w:t>体验产品</w:t>
      </w:r>
      <w:r>
        <w:rPr>
          <w:rFonts w:hint="eastAsia"/>
        </w:rPr>
        <w:t>。</w:t>
      </w:r>
    </w:p>
    <w:p>
      <w:pPr>
        <w:ind w:firstLine="602"/>
      </w:pPr>
      <w:r>
        <w:rPr>
          <w:rFonts w:hint="eastAsia" w:ascii="方正仿宋_GBK" w:hAnsi="方正仿宋_GBK"/>
          <w:b/>
          <w:szCs w:val="32"/>
        </w:rPr>
        <w:t>——发挥乡村产业优势，深化农旅融合、构建田园乡村</w:t>
      </w:r>
      <w:r>
        <w:rPr>
          <w:rFonts w:hint="eastAsia" w:ascii="方正仿宋_GBK" w:hAnsi="方正仿宋_GBK"/>
          <w:szCs w:val="32"/>
        </w:rPr>
        <w:t>。聚力云阳山地特色高效农业产业优势，</w:t>
      </w:r>
      <w:r>
        <w:rPr>
          <w:shd w:val="clear" w:color="auto" w:fill="FFFFFF"/>
        </w:rPr>
        <w:t>发挥</w:t>
      </w:r>
      <w:r>
        <w:rPr>
          <w:rFonts w:hint="eastAsia"/>
          <w:shd w:val="clear" w:color="auto" w:fill="FFFFFF"/>
        </w:rPr>
        <w:t>“天生云阳”作为全市首个全产业、全门类、全品种的农产品区域公用品牌优势，围绕“产业融合化、园区景区化、乡村旅游化”，大力发展柑橘、菊花等优质特色</w:t>
      </w:r>
      <w:r>
        <w:rPr>
          <w:shd w:val="clear" w:color="auto" w:fill="FFFFFF"/>
        </w:rPr>
        <w:t>农业产业</w:t>
      </w:r>
      <w:r>
        <w:rPr>
          <w:rFonts w:hint="eastAsia"/>
          <w:shd w:val="clear" w:color="auto" w:fill="FFFFFF"/>
        </w:rPr>
        <w:t>，深入推进</w:t>
      </w:r>
      <w:r>
        <w:rPr>
          <w:rFonts w:hint="eastAsia"/>
        </w:rPr>
        <w:t>农旅融合</w:t>
      </w:r>
      <w:r>
        <w:t>发展</w:t>
      </w:r>
      <w:r>
        <w:rPr>
          <w:rFonts w:hint="eastAsia"/>
        </w:rPr>
        <w:t>，助推</w:t>
      </w:r>
      <w:r>
        <w:t>乡村振兴。</w:t>
      </w:r>
    </w:p>
    <w:p>
      <w:pPr>
        <w:pStyle w:val="3"/>
        <w:ind w:firstLine="720"/>
      </w:pPr>
      <w:bookmarkStart w:id="10" w:name="_Toc82624314"/>
      <w:r>
        <w:rPr>
          <w:rFonts w:hint="eastAsia"/>
        </w:rPr>
        <w:t>第二章 总体要求</w:t>
      </w:r>
      <w:bookmarkEnd w:id="10"/>
    </w:p>
    <w:p>
      <w:pPr>
        <w:pStyle w:val="4"/>
        <w:ind w:firstLine="640"/>
      </w:pPr>
      <w:bookmarkStart w:id="11" w:name="_Toc63420755"/>
      <w:bookmarkStart w:id="12" w:name="_Toc82624315"/>
      <w:r>
        <w:rPr>
          <w:rFonts w:hint="eastAsia"/>
        </w:rPr>
        <w:t>第一节 指导思想</w:t>
      </w:r>
      <w:bookmarkEnd w:id="11"/>
      <w:bookmarkEnd w:id="12"/>
    </w:p>
    <w:p>
      <w:pPr>
        <w:ind w:firstLine="600"/>
      </w:pPr>
      <w:bookmarkStart w:id="13" w:name="_Toc63420756"/>
      <w:r>
        <w:rPr>
          <w:rFonts w:hint="eastAsia"/>
        </w:rPr>
        <w:t>坚持以习近平新时代中国特色社会主义思想为指导，深入贯彻党的十九大和十九届二中、三中、四中、五中全会精神，统筹推进“五位一体”总体布局，协调推进“四个全面”战略布局，认真落实习近平总书记对重庆提出的营造良好政治生态，坚持“两点”定位、“两地”“两高”目标，发挥“三个作用”和推动成渝地区双城经济圈建设等重要指示精神，发挥云阳在成渝地区双城经济圈中的“节点作用”、万开云一体化的“驱动作用”、坚持“四化路径”、实施“双</w:t>
      </w:r>
      <w:r>
        <w:rPr>
          <w:rFonts w:cs="Times New Roman"/>
        </w:rPr>
        <w:t>100双1000”战略</w:t>
      </w:r>
      <w:r>
        <w:rPr>
          <w:rFonts w:hint="eastAsia"/>
        </w:rPr>
        <w:t>，迈向“五地一支撑”目标，统筹推进文化事业、文化产业和体育事业、体育产业繁荣发展，高效供给旅游产品、全面优化旅游服务，推动文化旅游体育高质量、深层次融合，建好巴蜀文化旅游走廊支点和长江三峡国际黄金旅游带重要节点，建设文化强县、国内外知名旅游目的地、全国全民运动健身模范县。</w:t>
      </w:r>
    </w:p>
    <w:p>
      <w:pPr>
        <w:pStyle w:val="4"/>
        <w:ind w:firstLine="640"/>
      </w:pPr>
      <w:bookmarkStart w:id="14" w:name="_Toc82624316"/>
      <w:r>
        <w:rPr>
          <w:rFonts w:hint="eastAsia"/>
        </w:rPr>
        <w:t>第二节 发展</w:t>
      </w:r>
      <w:r>
        <w:t>原则</w:t>
      </w:r>
      <w:bookmarkEnd w:id="14"/>
    </w:p>
    <w:p>
      <w:pPr>
        <w:ind w:firstLine="602"/>
        <w:rPr>
          <w:rFonts w:ascii="方正仿宋_GBK"/>
          <w:color w:val="000000" w:themeColor="text1"/>
          <w14:textFill>
            <w14:solidFill>
              <w14:schemeClr w14:val="tx1"/>
            </w14:solidFill>
          </w14:textFill>
        </w:rPr>
      </w:pPr>
      <w:r>
        <w:rPr>
          <w:rFonts w:hint="eastAsia" w:ascii="方正仿宋_GBK"/>
          <w:b/>
          <w:color w:val="000000" w:themeColor="text1"/>
          <w14:textFill>
            <w14:solidFill>
              <w14:schemeClr w14:val="tx1"/>
            </w14:solidFill>
          </w14:textFill>
        </w:rPr>
        <w:t>——坚持以人民为中心</w:t>
      </w:r>
      <w:r>
        <w:rPr>
          <w:rFonts w:hint="eastAsia" w:ascii="方正仿宋_GBK"/>
          <w:color w:val="000000" w:themeColor="text1"/>
          <w14:textFill>
            <w14:solidFill>
              <w14:schemeClr w14:val="tx1"/>
            </w14:solidFill>
          </w14:textFill>
        </w:rPr>
        <w:t>。坚持发展为了人民，提供高品质公共文化产品，保障人民基本文化权益。丰富文化旅游产品体系，提高服务品质，不断满足人民群众对美好生活的需要，不断增强人民群众的获得感和幸福感。</w:t>
      </w:r>
      <w:r>
        <w:rPr>
          <w:rFonts w:ascii="方正仿宋_GBK"/>
          <w:color w:val="000000" w:themeColor="text1"/>
          <w14:textFill>
            <w14:solidFill>
              <w14:schemeClr w14:val="tx1"/>
            </w14:solidFill>
          </w14:textFill>
        </w:rPr>
        <w:t>落实全民健身战略，</w:t>
      </w:r>
      <w:r>
        <w:rPr>
          <w:rFonts w:hint="eastAsia" w:ascii="方正仿宋_GBK"/>
          <w:color w:val="000000" w:themeColor="text1"/>
          <w14:textFill>
            <w14:solidFill>
              <w14:schemeClr w14:val="tx1"/>
            </w14:solidFill>
          </w14:textFill>
        </w:rPr>
        <w:t>推动</w:t>
      </w:r>
      <w:r>
        <w:rPr>
          <w:rFonts w:ascii="方正仿宋_GBK"/>
          <w:color w:val="000000" w:themeColor="text1"/>
          <w14:textFill>
            <w14:solidFill>
              <w14:schemeClr w14:val="tx1"/>
            </w14:solidFill>
          </w14:textFill>
        </w:rPr>
        <w:t>增强全民</w:t>
      </w:r>
      <w:r>
        <w:rPr>
          <w:rFonts w:hint="eastAsia" w:ascii="方正仿宋_GBK"/>
          <w:color w:val="000000" w:themeColor="text1"/>
          <w14:textFill>
            <w14:solidFill>
              <w14:schemeClr w14:val="tx1"/>
            </w14:solidFill>
          </w14:textFill>
        </w:rPr>
        <w:t>身体</w:t>
      </w:r>
      <w:r>
        <w:rPr>
          <w:rFonts w:ascii="方正仿宋_GBK"/>
          <w:color w:val="000000" w:themeColor="text1"/>
          <w14:textFill>
            <w14:solidFill>
              <w14:schemeClr w14:val="tx1"/>
            </w14:solidFill>
          </w14:textFill>
        </w:rPr>
        <w:t>素质</w:t>
      </w:r>
      <w:r>
        <w:rPr>
          <w:rFonts w:hint="eastAsia" w:ascii="方正仿宋_GBK"/>
          <w:color w:val="000000" w:themeColor="text1"/>
          <w14:textFill>
            <w14:solidFill>
              <w14:schemeClr w14:val="tx1"/>
            </w14:solidFill>
          </w14:textFill>
        </w:rPr>
        <w:t>。</w:t>
      </w:r>
    </w:p>
    <w:p>
      <w:pPr>
        <w:ind w:firstLine="602"/>
        <w:rPr>
          <w:rFonts w:ascii="方正仿宋_GBK"/>
          <w:color w:val="000000" w:themeColor="text1"/>
          <w14:textFill>
            <w14:solidFill>
              <w14:schemeClr w14:val="tx1"/>
            </w14:solidFill>
          </w14:textFill>
        </w:rPr>
      </w:pPr>
      <w:r>
        <w:rPr>
          <w:rFonts w:hint="eastAsia" w:ascii="方正仿宋_GBK"/>
          <w:b/>
          <w:color w:val="000000" w:themeColor="text1"/>
          <w14:textFill>
            <w14:solidFill>
              <w14:schemeClr w14:val="tx1"/>
            </w14:solidFill>
          </w14:textFill>
        </w:rPr>
        <w:t>——完整、准确、全面贯彻新发展理念，坚持高质量发展</w:t>
      </w:r>
      <w:r>
        <w:rPr>
          <w:rFonts w:hint="eastAsia" w:ascii="方正仿宋_GBK"/>
          <w:color w:val="000000" w:themeColor="text1"/>
          <w14:textFill>
            <w14:solidFill>
              <w14:schemeClr w14:val="tx1"/>
            </w14:solidFill>
          </w14:textFill>
        </w:rPr>
        <w:t>。把新发展理念贯彻文旅提发展全过程和各领域，积极主动融入新发展格局，切实转变发展方式，推动质量变革、效率变革、动力变革，实现更高质量、更有效率、更加公平、更为安全的发展。</w:t>
      </w:r>
    </w:p>
    <w:p>
      <w:pPr>
        <w:ind w:firstLine="602"/>
        <w:rPr>
          <w:rFonts w:ascii="方正仿宋_GBK"/>
          <w:color w:val="000000" w:themeColor="text1"/>
          <w14:textFill>
            <w14:solidFill>
              <w14:schemeClr w14:val="tx1"/>
            </w14:solidFill>
          </w14:textFill>
        </w:rPr>
      </w:pPr>
      <w:r>
        <w:rPr>
          <w:rFonts w:hint="eastAsia" w:ascii="方正仿宋_GBK"/>
          <w:b/>
          <w:color w:val="000000" w:themeColor="text1"/>
          <w14:textFill>
            <w14:solidFill>
              <w14:schemeClr w14:val="tx1"/>
            </w14:solidFill>
          </w14:textFill>
        </w:rPr>
        <w:t>——坚持区域统筹协调发展</w:t>
      </w:r>
      <w:r>
        <w:rPr>
          <w:rFonts w:hint="eastAsia" w:ascii="方正仿宋_GBK"/>
          <w:color w:val="000000" w:themeColor="text1"/>
          <w14:textFill>
            <w14:solidFill>
              <w14:schemeClr w14:val="tx1"/>
            </w14:solidFill>
          </w14:textFill>
        </w:rPr>
        <w:t>。主动融入成渝地区双城经济圈建设，打造巴蜀文化旅游走廊重要支点，加强长江三峡国际</w:t>
      </w:r>
      <w:r>
        <w:rPr>
          <w:rFonts w:ascii="方正仿宋_GBK"/>
          <w:color w:val="000000" w:themeColor="text1"/>
          <w14:textFill>
            <w14:solidFill>
              <w14:schemeClr w14:val="tx1"/>
            </w14:solidFill>
          </w14:textFill>
        </w:rPr>
        <w:t>黄金旅游带、</w:t>
      </w:r>
      <w:r>
        <w:rPr>
          <w:rFonts w:hint="eastAsia" w:ascii="方正仿宋_GBK"/>
          <w:color w:val="000000" w:themeColor="text1"/>
          <w14:textFill>
            <w14:solidFill>
              <w14:schemeClr w14:val="tx1"/>
            </w14:solidFill>
          </w14:textFill>
        </w:rPr>
        <w:t>三峡城市旅游合作推广、文化</w:t>
      </w:r>
      <w:r>
        <w:rPr>
          <w:rFonts w:ascii="方正仿宋_GBK"/>
          <w:color w:val="000000" w:themeColor="text1"/>
          <w14:textFill>
            <w14:solidFill>
              <w14:schemeClr w14:val="tx1"/>
            </w14:solidFill>
          </w14:textFill>
        </w:rPr>
        <w:t>和体育事业协作</w:t>
      </w:r>
      <w:r>
        <w:rPr>
          <w:rFonts w:hint="eastAsia" w:ascii="方正仿宋_GBK"/>
          <w:color w:val="000000" w:themeColor="text1"/>
          <w14:textFill>
            <w14:solidFill>
              <w14:schemeClr w14:val="tx1"/>
            </w14:solidFill>
          </w14:textFill>
        </w:rPr>
        <w:t>协作。强化区域协调、城乡一体，统筹规划、部门协同、社会参与，统筹文体</w:t>
      </w:r>
      <w:r>
        <w:rPr>
          <w:rFonts w:ascii="方正仿宋_GBK"/>
          <w:color w:val="000000" w:themeColor="text1"/>
          <w14:textFill>
            <w14:solidFill>
              <w14:schemeClr w14:val="tx1"/>
            </w14:solidFill>
          </w14:textFill>
        </w:rPr>
        <w:t>产事业和旅游业</w:t>
      </w:r>
      <w:r>
        <w:rPr>
          <w:rFonts w:hint="eastAsia" w:ascii="方正仿宋_GBK"/>
          <w:color w:val="000000" w:themeColor="text1"/>
          <w14:textFill>
            <w14:solidFill>
              <w14:schemeClr w14:val="tx1"/>
            </w14:solidFill>
          </w14:textFill>
        </w:rPr>
        <w:t>发展，扩大文旅体交流合作，形成共建共享新局面。</w:t>
      </w:r>
    </w:p>
    <w:p>
      <w:pPr>
        <w:ind w:firstLine="602"/>
        <w:rPr>
          <w:rFonts w:ascii="方正仿宋_GBK"/>
          <w:color w:val="000000" w:themeColor="text1"/>
          <w14:textFill>
            <w14:solidFill>
              <w14:schemeClr w14:val="tx1"/>
            </w14:solidFill>
          </w14:textFill>
        </w:rPr>
      </w:pPr>
      <w:r>
        <w:rPr>
          <w:rFonts w:hint="eastAsia" w:ascii="方正仿宋_GBK"/>
          <w:b/>
          <w:color w:val="000000" w:themeColor="text1"/>
          <w14:textFill>
            <w14:solidFill>
              <w14:schemeClr w14:val="tx1"/>
            </w14:solidFill>
          </w14:textFill>
        </w:rPr>
        <w:t>——坚持绿色发展</w:t>
      </w:r>
      <w:r>
        <w:rPr>
          <w:rFonts w:hint="eastAsia" w:ascii="方正仿宋_GBK"/>
          <w:color w:val="000000" w:themeColor="text1"/>
          <w14:textFill>
            <w14:solidFill>
              <w14:schemeClr w14:val="tx1"/>
            </w14:solidFill>
          </w14:textFill>
        </w:rPr>
        <w:t>。践行“绿水青山就是金山银山”发展理念，注重资源节约、环境友好，推进旅游资源绿色开发、旅游方式绿色转型、旅游生态环境保护，促进生态文明，形成以环境资源可持续利用为基础的文化、旅游和</w:t>
      </w:r>
      <w:r>
        <w:rPr>
          <w:rFonts w:ascii="方正仿宋_GBK"/>
          <w:color w:val="000000" w:themeColor="text1"/>
          <w14:textFill>
            <w14:solidFill>
              <w14:schemeClr w14:val="tx1"/>
            </w14:solidFill>
          </w14:textFill>
        </w:rPr>
        <w:t>体育</w:t>
      </w:r>
      <w:r>
        <w:rPr>
          <w:rFonts w:hint="eastAsia" w:ascii="方正仿宋_GBK"/>
          <w:color w:val="000000" w:themeColor="text1"/>
          <w14:textFill>
            <w14:solidFill>
              <w14:schemeClr w14:val="tx1"/>
            </w14:solidFill>
          </w14:textFill>
        </w:rPr>
        <w:t>经济发展方式，实现经济效益、社会效益、生态效益有机统一。</w:t>
      </w:r>
    </w:p>
    <w:p>
      <w:pPr>
        <w:ind w:firstLine="602"/>
        <w:rPr>
          <w:rFonts w:ascii="方正仿宋_GBK"/>
          <w:color w:val="000000" w:themeColor="text1"/>
          <w14:textFill>
            <w14:solidFill>
              <w14:schemeClr w14:val="tx1"/>
            </w14:solidFill>
          </w14:textFill>
        </w:rPr>
      </w:pPr>
      <w:r>
        <w:rPr>
          <w:rFonts w:hint="eastAsia" w:ascii="方正仿宋_GBK"/>
          <w:b/>
          <w:color w:val="000000" w:themeColor="text1"/>
          <w14:textFill>
            <w14:solidFill>
              <w14:schemeClr w14:val="tx1"/>
            </w14:solidFill>
          </w14:textFill>
        </w:rPr>
        <w:t>——坚持文旅融合发展</w:t>
      </w:r>
      <w:r>
        <w:rPr>
          <w:rFonts w:hint="eastAsia" w:ascii="方正仿宋_GBK"/>
          <w:color w:val="000000" w:themeColor="text1"/>
          <w14:textFill>
            <w14:solidFill>
              <w14:schemeClr w14:val="tx1"/>
            </w14:solidFill>
          </w14:textFill>
        </w:rPr>
        <w:t>。坚持“宜融则融、应融尽融，以文促旅、以旅彰文”基本思路，尊重文化和旅游的发展规律及客观差异，找准文化和旅游融合发展的切入点，因地制宜地推进文旅融合，注重文旅融合的效果，以文化为灵魂丰富旅游内涵促进旅游发展，以旅游为载体彰显文化魅力促进文化繁荣，推动文化和旅游资源共享、优势互补、协同共进。</w:t>
      </w:r>
    </w:p>
    <w:bookmarkEnd w:id="13"/>
    <w:p>
      <w:pPr>
        <w:pStyle w:val="4"/>
        <w:ind w:firstLine="640"/>
      </w:pPr>
      <w:bookmarkStart w:id="15" w:name="_Toc82624317"/>
      <w:r>
        <w:rPr>
          <w:rFonts w:hint="eastAsia"/>
        </w:rPr>
        <w:t>第三节 发展目标</w:t>
      </w:r>
      <w:bookmarkEnd w:id="15"/>
    </w:p>
    <w:p>
      <w:pPr>
        <w:ind w:firstLine="600"/>
        <w:jc w:val="left"/>
        <w:rPr>
          <w:rFonts w:ascii="方正仿宋_GBK"/>
        </w:rPr>
      </w:pPr>
      <w:r>
        <w:rPr>
          <w:rFonts w:hint="eastAsia" w:ascii="方正仿宋_GBK"/>
        </w:rPr>
        <w:t>“十四五”时期云阳县</w:t>
      </w:r>
      <w:r>
        <w:rPr>
          <w:rFonts w:ascii="方正仿宋_GBK"/>
        </w:rPr>
        <w:t>文化、旅游和体育</w:t>
      </w:r>
      <w:r>
        <w:rPr>
          <w:rFonts w:hint="eastAsia" w:ascii="方正仿宋_GBK"/>
        </w:rPr>
        <w:t>发展</w:t>
      </w:r>
      <w:r>
        <w:rPr>
          <w:rFonts w:ascii="方正仿宋_GBK"/>
        </w:rPr>
        <w:t>要</w:t>
      </w:r>
      <w:r>
        <w:rPr>
          <w:rFonts w:hint="eastAsia" w:ascii="方正仿宋_GBK"/>
        </w:rPr>
        <w:t>以</w:t>
      </w:r>
      <w:r>
        <w:rPr>
          <w:rFonts w:ascii="方正仿宋_GBK"/>
        </w:rPr>
        <w:t>推动</w:t>
      </w:r>
      <w:r>
        <w:rPr>
          <w:rFonts w:hint="eastAsia" w:ascii="方正仿宋_GBK"/>
        </w:rPr>
        <w:t>“文化强县、国内外知名旅游目的地、全国全民运动健身模范县”建设</w:t>
      </w:r>
      <w:r>
        <w:rPr>
          <w:rFonts w:ascii="方正仿宋_GBK"/>
        </w:rPr>
        <w:t>取得决定性进展</w:t>
      </w:r>
      <w:r>
        <w:rPr>
          <w:rFonts w:hint="eastAsia" w:ascii="方正仿宋_GBK"/>
        </w:rPr>
        <w:t>为总体目标，驱动万开云一体化发展、推动建好巴蜀文化旅游走廊支点和</w:t>
      </w:r>
      <w:r>
        <w:rPr>
          <w:rFonts w:ascii="仿宋" w:hAnsi="仿宋"/>
          <w:sz w:val="28"/>
          <w:szCs w:val="28"/>
        </w:rPr>
        <w:t>长江三峡国际黄金旅游带</w:t>
      </w:r>
      <w:r>
        <w:rPr>
          <w:rFonts w:hint="eastAsia" w:ascii="仿宋" w:hAnsi="仿宋"/>
          <w:sz w:val="28"/>
          <w:szCs w:val="28"/>
        </w:rPr>
        <w:t>战略支点</w:t>
      </w:r>
      <w:r>
        <w:rPr>
          <w:rFonts w:hint="eastAsia" w:ascii="方正仿宋_GBK"/>
        </w:rPr>
        <w:t>。</w:t>
      </w:r>
    </w:p>
    <w:p>
      <w:pPr>
        <w:ind w:firstLine="602"/>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文化发展</w:t>
      </w:r>
      <w:r>
        <w:rPr>
          <w:b/>
          <w:color w:val="000000" w:themeColor="text1"/>
          <w14:textFill>
            <w14:solidFill>
              <w14:schemeClr w14:val="tx1"/>
            </w14:solidFill>
          </w14:textFill>
        </w:rPr>
        <w:t>目标</w:t>
      </w:r>
    </w:p>
    <w:p>
      <w:pPr>
        <w:ind w:firstLine="600"/>
      </w:pPr>
      <w:r>
        <w:rPr>
          <w:rFonts w:hint="eastAsia"/>
        </w:rPr>
        <w:t>“十四五”时期，云阳要聚力“文化强县”建设目标，加快推进文化事业和文化产业繁荣发展。</w:t>
      </w:r>
    </w:p>
    <w:p>
      <w:pPr>
        <w:ind w:firstLine="602"/>
      </w:pPr>
      <w:r>
        <w:rPr>
          <w:rFonts w:hint="eastAsia"/>
          <w:b/>
          <w:bCs/>
        </w:rPr>
        <w:t>——公共文化服务体系更加完善。</w:t>
      </w:r>
      <w:r>
        <w:rPr>
          <w:rFonts w:hint="eastAsia"/>
        </w:rPr>
        <w:t>“城区-乡镇-村社”三级公共文化服务设施体系覆盖全域，万人拥有公共文化设施面积持续提升，年均开展各类文化服务活动达700次，文化设施智慧化率达80%以上。</w:t>
      </w:r>
    </w:p>
    <w:p>
      <w:pPr>
        <w:ind w:firstLine="602"/>
      </w:pPr>
      <w:r>
        <w:rPr>
          <w:rFonts w:hint="eastAsia"/>
          <w:b/>
          <w:bCs/>
        </w:rPr>
        <w:t>——文化保护和传承稳步推进</w:t>
      </w:r>
      <w:r>
        <w:rPr>
          <w:rFonts w:hint="eastAsia"/>
        </w:rPr>
        <w:t>。保证文物安全“零失误”，持续推进“三个十”文物保护修缮工程，力争新增市级及以上非物质文化遗产5项、国家级非物质文化遗产1项。</w:t>
      </w:r>
    </w:p>
    <w:p>
      <w:pPr>
        <w:ind w:firstLine="602"/>
      </w:pPr>
      <w:r>
        <w:rPr>
          <w:rFonts w:hint="eastAsia"/>
          <w:b/>
          <w:bCs/>
        </w:rPr>
        <w:t>——文艺发展更加繁荣。</w:t>
      </w:r>
      <w:r>
        <w:rPr>
          <w:rFonts w:hint="eastAsia"/>
        </w:rPr>
        <w:t>加强优秀文艺作品创作，市级及以上文艺作品奖项达20项，“文藻胜地”文化底蕴进一步丰富和拓展。</w:t>
      </w:r>
    </w:p>
    <w:p>
      <w:pPr>
        <w:ind w:firstLine="602"/>
        <w:rPr>
          <w:bCs/>
          <w:spacing w:val="4"/>
          <w:sz w:val="32"/>
          <w:szCs w:val="32"/>
        </w:rPr>
      </w:pPr>
      <w:r>
        <w:rPr>
          <w:rFonts w:hint="eastAsia"/>
          <w:b/>
          <w:bCs/>
        </w:rPr>
        <w:t>——文化产业体系更加完善。</w:t>
      </w:r>
      <w:r>
        <w:rPr>
          <w:rFonts w:hint="eastAsia"/>
        </w:rPr>
        <w:t>持续</w:t>
      </w:r>
      <w:r>
        <w:rPr>
          <w:rFonts w:hint="eastAsia"/>
          <w:bCs/>
          <w:spacing w:val="4"/>
          <w:szCs w:val="32"/>
        </w:rPr>
        <w:t>扩大优质文化产品供给，推动文化产业集聚协同发展</w:t>
      </w:r>
      <w:r>
        <w:rPr>
          <w:rFonts w:hint="eastAsia"/>
        </w:rPr>
        <w:t>，到2025年文化产业增加值占GDP比例达4.5%，规模以上文化企业50家以上。</w:t>
      </w:r>
    </w:p>
    <w:p>
      <w:pPr>
        <w:ind w:firstLine="602"/>
      </w:pPr>
      <w:r>
        <w:rPr>
          <w:rFonts w:hint="eastAsia"/>
          <w:b/>
          <w:bCs/>
        </w:rPr>
        <w:t>——广电建设和文化传播水平全面提升。</w:t>
      </w:r>
      <w:r>
        <w:rPr>
          <w:rFonts w:hint="eastAsia"/>
        </w:rPr>
        <w:t>建立完善现代化传播体系，推动广电产业转型升级，</w:t>
      </w:r>
      <w:r>
        <w:rPr>
          <w:rFonts w:hint="eastAsia" w:hAnsi="方正仿宋_GBK" w:cs="方正仿宋_GBK"/>
          <w:szCs w:val="32"/>
        </w:rPr>
        <w:t>广播电视覆盖率达99.9%。</w:t>
      </w:r>
    </w:p>
    <w:p>
      <w:pPr>
        <w:ind w:firstLine="602"/>
        <w:rPr>
          <w:b/>
        </w:rPr>
      </w:pPr>
      <w:r>
        <w:rPr>
          <w:rFonts w:hint="eastAsia"/>
          <w:b/>
        </w:rPr>
        <w:t>二、旅游发展目标</w:t>
      </w:r>
    </w:p>
    <w:p>
      <w:pPr>
        <w:ind w:firstLine="600"/>
        <w:rPr>
          <w:b/>
          <w:bCs/>
        </w:rPr>
      </w:pPr>
      <w:r>
        <w:rPr>
          <w:rFonts w:hint="eastAsia"/>
        </w:rPr>
        <w:t>“十四五”时期，云阳要聚力建设“国内知名旅游目的地”目标，加快推进旅游业高质量发展。</w:t>
      </w:r>
    </w:p>
    <w:p>
      <w:pPr>
        <w:ind w:firstLine="602"/>
      </w:pPr>
      <w:r>
        <w:rPr>
          <w:rFonts w:hint="eastAsia"/>
          <w:b/>
          <w:bCs/>
        </w:rPr>
        <w:t>——旅游经济指标全面提升</w:t>
      </w:r>
      <w:r>
        <w:rPr>
          <w:rFonts w:hint="eastAsia"/>
        </w:rPr>
        <w:t>。至2025年旅游产业增加值增至35亿元，占GDP比重达5.2%，接待国内外游客达3300万人次，其中公安住宿系统过夜游客达200万人次。</w:t>
      </w:r>
    </w:p>
    <w:p>
      <w:pPr>
        <w:ind w:firstLine="602"/>
      </w:pPr>
      <w:r>
        <w:rPr>
          <w:rFonts w:hint="eastAsia"/>
          <w:b/>
          <w:bCs/>
        </w:rPr>
        <w:t>——旅游吸引能力更强。</w:t>
      </w:r>
      <w:r>
        <w:rPr>
          <w:rFonts w:hint="eastAsia"/>
          <w:bCs/>
        </w:rPr>
        <w:t>新增市级及以上旅游度假区2个，力争建成国家级旅游度假区1个，</w:t>
      </w:r>
      <w:r>
        <w:rPr>
          <w:rFonts w:hint="eastAsia"/>
        </w:rPr>
        <w:t>新增国家AAAA级及以上景区4个。</w:t>
      </w:r>
    </w:p>
    <w:p>
      <w:pPr>
        <w:ind w:firstLine="602"/>
      </w:pPr>
      <w:r>
        <w:rPr>
          <w:rFonts w:hint="eastAsia"/>
          <w:b/>
          <w:bCs/>
        </w:rPr>
        <w:t>——旅游接待能力和品质全面提升</w:t>
      </w:r>
      <w:r>
        <w:rPr>
          <w:rFonts w:hint="eastAsia"/>
        </w:rPr>
        <w:t>。新增星级饭店5家，其中五星级饭店2家。完善旅游接待认证机制，级别以上非标住宿（民宿、农家乐）达100家。新增注册旅游企业200家、新增旅行社10家。</w:t>
      </w:r>
    </w:p>
    <w:p>
      <w:pPr>
        <w:ind w:firstLine="602"/>
        <w:rPr>
          <w:b/>
        </w:rPr>
      </w:pPr>
      <w:r>
        <w:rPr>
          <w:rFonts w:hint="eastAsia"/>
          <w:b/>
        </w:rPr>
        <w:t>三、体育发展目标</w:t>
      </w:r>
    </w:p>
    <w:p>
      <w:pPr>
        <w:ind w:firstLine="600"/>
        <w:rPr>
          <w:b/>
          <w:bCs/>
        </w:rPr>
      </w:pPr>
      <w:r>
        <w:rPr>
          <w:rFonts w:hint="eastAsia"/>
        </w:rPr>
        <w:t>“十四五”时期，云阳要聚力建设“全国全民运动健身模范县”目标，加快推进体育事业繁荣发展。</w:t>
      </w:r>
    </w:p>
    <w:p>
      <w:pPr>
        <w:ind w:firstLine="602"/>
      </w:pPr>
      <w:r>
        <w:rPr>
          <w:rFonts w:hint="eastAsia"/>
          <w:b/>
          <w:bCs/>
        </w:rPr>
        <w:t>——全民健身服务体系更加完善</w:t>
      </w:r>
      <w:r>
        <w:rPr>
          <w:rFonts w:hint="eastAsia"/>
        </w:rPr>
        <w:t>。“城区-乡镇-村社”全民健身设施网络全覆盖，新建乡镇标准化全民健身中心20个以上，年均开展全民健身活动60场次以上，人均体育场地面积超过2平方米。</w:t>
      </w:r>
    </w:p>
    <w:p>
      <w:pPr>
        <w:autoSpaceDE w:val="0"/>
        <w:autoSpaceDN w:val="0"/>
        <w:adjustRightInd w:val="0"/>
        <w:spacing w:line="360" w:lineRule="auto"/>
        <w:ind w:firstLine="442"/>
        <w:jc w:val="center"/>
        <w:rPr>
          <w:rFonts w:ascii="楷体" w:hAnsi="楷体" w:eastAsia="楷体" w:cs="仿宋_GB2312"/>
          <w:b/>
          <w:bCs/>
          <w:color w:val="000000" w:themeColor="text1"/>
          <w:kern w:val="0"/>
          <w:sz w:val="22"/>
          <w14:textFill>
            <w14:solidFill>
              <w14:schemeClr w14:val="tx1"/>
            </w14:solidFill>
          </w14:textFill>
        </w:rPr>
      </w:pPr>
      <w:r>
        <w:rPr>
          <w:rFonts w:hint="eastAsia" w:ascii="楷体" w:hAnsi="楷体" w:eastAsia="楷体" w:cs="仿宋_GB2312"/>
          <w:b/>
          <w:bCs/>
          <w:color w:val="000000" w:themeColor="text1"/>
          <w:kern w:val="0"/>
          <w:sz w:val="22"/>
          <w14:textFill>
            <w14:solidFill>
              <w14:schemeClr w14:val="tx1"/>
            </w14:solidFill>
          </w14:textFill>
        </w:rPr>
        <w:t>表</w:t>
      </w:r>
      <w:r>
        <w:rPr>
          <w:rFonts w:ascii="楷体" w:hAnsi="楷体" w:eastAsia="楷体" w:cs="仿宋_GB2312"/>
          <w:b/>
          <w:bCs/>
          <w:color w:val="000000" w:themeColor="text1"/>
          <w:kern w:val="0"/>
          <w:sz w:val="22"/>
          <w14:textFill>
            <w14:solidFill>
              <w14:schemeClr w14:val="tx1"/>
            </w14:solidFill>
          </w14:textFill>
        </w:rPr>
        <w:t xml:space="preserve">3-1 </w:t>
      </w:r>
      <w:r>
        <w:rPr>
          <w:rFonts w:hint="eastAsia" w:ascii="楷体" w:hAnsi="楷体" w:eastAsia="楷体" w:cs="仿宋_GB2312"/>
          <w:b/>
          <w:bCs/>
          <w:color w:val="000000" w:themeColor="text1"/>
          <w:kern w:val="0"/>
          <w:sz w:val="22"/>
          <w14:textFill>
            <w14:solidFill>
              <w14:schemeClr w14:val="tx1"/>
            </w14:solidFill>
          </w14:textFill>
        </w:rPr>
        <w:t>云阳“十四五”文化旅游体育发展主要指标</w:t>
      </w:r>
      <w:bookmarkEnd w:id="3"/>
    </w:p>
    <w:tbl>
      <w:tblPr>
        <w:tblStyle w:val="21"/>
        <w:tblW w:w="8505" w:type="dxa"/>
        <w:jc w:val="center"/>
        <w:tblLayout w:type="fixed"/>
        <w:tblCellMar>
          <w:top w:w="0" w:type="dxa"/>
          <w:left w:w="108" w:type="dxa"/>
          <w:bottom w:w="0" w:type="dxa"/>
          <w:right w:w="108" w:type="dxa"/>
        </w:tblCellMar>
      </w:tblPr>
      <w:tblGrid>
        <w:gridCol w:w="567"/>
        <w:gridCol w:w="142"/>
        <w:gridCol w:w="709"/>
        <w:gridCol w:w="567"/>
        <w:gridCol w:w="3260"/>
        <w:gridCol w:w="806"/>
        <w:gridCol w:w="741"/>
        <w:gridCol w:w="741"/>
        <w:gridCol w:w="972"/>
      </w:tblGrid>
      <w:tr>
        <w:trPr>
          <w:trHeight w:val="285" w:hRule="atLeast"/>
          <w:jc w:val="center"/>
        </w:trPr>
        <w:tc>
          <w:tcPr>
            <w:tcW w:w="1418" w:type="dxa"/>
            <w:gridSpan w:val="3"/>
            <w:vMerge w:val="restart"/>
            <w:tcBorders>
              <w:top w:val="single" w:color="auto" w:sz="8" w:space="0"/>
            </w:tcBorders>
            <w:shd w:val="clear" w:color="auto" w:fill="auto"/>
            <w:vAlign w:val="center"/>
          </w:tcPr>
          <w:p>
            <w:pPr>
              <w:pStyle w:val="42"/>
              <w:rPr>
                <w:b/>
              </w:rPr>
            </w:pPr>
            <w:r>
              <w:rPr>
                <w:rFonts w:hint="eastAsia"/>
                <w:b/>
              </w:rPr>
              <w:t>　指标分类</w:t>
            </w:r>
          </w:p>
        </w:tc>
        <w:tc>
          <w:tcPr>
            <w:tcW w:w="567" w:type="dxa"/>
            <w:vMerge w:val="restart"/>
            <w:tcBorders>
              <w:top w:val="single" w:color="auto" w:sz="8" w:space="0"/>
              <w:bottom w:val="single" w:color="auto" w:sz="4" w:space="0"/>
            </w:tcBorders>
            <w:shd w:val="clear" w:color="auto" w:fill="auto"/>
            <w:vAlign w:val="center"/>
          </w:tcPr>
          <w:p>
            <w:pPr>
              <w:pStyle w:val="42"/>
              <w:jc w:val="center"/>
              <w:rPr>
                <w:b/>
              </w:rPr>
            </w:pPr>
            <w:r>
              <w:rPr>
                <w:rFonts w:hint="eastAsia"/>
                <w:b/>
              </w:rPr>
              <w:t>序号</w:t>
            </w:r>
          </w:p>
        </w:tc>
        <w:tc>
          <w:tcPr>
            <w:tcW w:w="3260" w:type="dxa"/>
            <w:vMerge w:val="restart"/>
            <w:tcBorders>
              <w:top w:val="single" w:color="auto" w:sz="8" w:space="0"/>
              <w:bottom w:val="single" w:color="auto" w:sz="4" w:space="0"/>
            </w:tcBorders>
            <w:shd w:val="clear" w:color="auto" w:fill="auto"/>
            <w:vAlign w:val="center"/>
          </w:tcPr>
          <w:p>
            <w:pPr>
              <w:pStyle w:val="42"/>
              <w:jc w:val="center"/>
              <w:rPr>
                <w:b/>
              </w:rPr>
            </w:pPr>
            <w:r>
              <w:rPr>
                <w:rFonts w:hint="eastAsia"/>
                <w:b/>
              </w:rPr>
              <w:t>指标内容</w:t>
            </w:r>
          </w:p>
        </w:tc>
        <w:tc>
          <w:tcPr>
            <w:tcW w:w="806" w:type="dxa"/>
            <w:vMerge w:val="restart"/>
            <w:tcBorders>
              <w:top w:val="single" w:color="auto" w:sz="8" w:space="0"/>
              <w:bottom w:val="single" w:color="auto" w:sz="4" w:space="0"/>
            </w:tcBorders>
            <w:shd w:val="clear" w:color="auto" w:fill="auto"/>
            <w:vAlign w:val="center"/>
          </w:tcPr>
          <w:p>
            <w:pPr>
              <w:pStyle w:val="42"/>
              <w:jc w:val="center"/>
              <w:rPr>
                <w:b/>
              </w:rPr>
            </w:pPr>
            <w:r>
              <w:rPr>
                <w:rFonts w:hint="eastAsia"/>
                <w:b/>
              </w:rPr>
              <w:t>单位</w:t>
            </w:r>
          </w:p>
        </w:tc>
        <w:tc>
          <w:tcPr>
            <w:tcW w:w="741" w:type="dxa"/>
            <w:vMerge w:val="restart"/>
            <w:tcBorders>
              <w:top w:val="single" w:color="auto" w:sz="8" w:space="0"/>
              <w:bottom w:val="single" w:color="auto" w:sz="4" w:space="0"/>
            </w:tcBorders>
            <w:shd w:val="clear" w:color="auto" w:fill="auto"/>
            <w:vAlign w:val="center"/>
          </w:tcPr>
          <w:p>
            <w:pPr>
              <w:pStyle w:val="42"/>
              <w:jc w:val="center"/>
              <w:rPr>
                <w:b/>
              </w:rPr>
            </w:pPr>
            <w:r>
              <w:rPr>
                <w:rFonts w:hint="eastAsia"/>
                <w:b/>
              </w:rPr>
              <w:t>2020年</w:t>
            </w:r>
          </w:p>
        </w:tc>
        <w:tc>
          <w:tcPr>
            <w:tcW w:w="741" w:type="dxa"/>
            <w:vMerge w:val="restart"/>
            <w:tcBorders>
              <w:top w:val="single" w:color="auto" w:sz="8" w:space="0"/>
              <w:bottom w:val="single" w:color="auto" w:sz="4" w:space="0"/>
            </w:tcBorders>
            <w:shd w:val="clear" w:color="auto" w:fill="auto"/>
            <w:vAlign w:val="center"/>
          </w:tcPr>
          <w:p>
            <w:pPr>
              <w:pStyle w:val="42"/>
              <w:jc w:val="center"/>
              <w:rPr>
                <w:b/>
              </w:rPr>
            </w:pPr>
            <w:r>
              <w:rPr>
                <w:rFonts w:hint="eastAsia"/>
                <w:b/>
              </w:rPr>
              <w:t>2025年</w:t>
            </w:r>
          </w:p>
        </w:tc>
        <w:tc>
          <w:tcPr>
            <w:tcW w:w="972" w:type="dxa"/>
            <w:tcBorders>
              <w:top w:val="single" w:color="auto" w:sz="8" w:space="0"/>
            </w:tcBorders>
            <w:shd w:val="clear" w:color="auto" w:fill="auto"/>
            <w:vAlign w:val="center"/>
          </w:tcPr>
          <w:p>
            <w:pPr>
              <w:pStyle w:val="42"/>
              <w:jc w:val="center"/>
              <w:rPr>
                <w:b/>
              </w:rPr>
            </w:pPr>
            <w:r>
              <w:rPr>
                <w:rFonts w:hint="eastAsia"/>
                <w:b/>
              </w:rPr>
              <w:t>指标</w:t>
            </w:r>
          </w:p>
        </w:tc>
      </w:tr>
      <w:tr>
        <w:trPr>
          <w:trHeight w:val="300" w:hRule="atLeast"/>
          <w:jc w:val="center"/>
        </w:trPr>
        <w:tc>
          <w:tcPr>
            <w:tcW w:w="1418" w:type="dxa"/>
            <w:gridSpan w:val="3"/>
            <w:vMerge w:val="continue"/>
            <w:tcBorders>
              <w:bottom w:val="single" w:color="auto" w:sz="4" w:space="0"/>
            </w:tcBorders>
            <w:vAlign w:val="center"/>
          </w:tcPr>
          <w:p>
            <w:pPr>
              <w:pStyle w:val="42"/>
              <w:jc w:val="center"/>
              <w:rPr>
                <w:b/>
              </w:rPr>
            </w:pPr>
          </w:p>
        </w:tc>
        <w:tc>
          <w:tcPr>
            <w:tcW w:w="567" w:type="dxa"/>
            <w:vMerge w:val="continue"/>
            <w:tcBorders>
              <w:top w:val="single" w:color="auto" w:sz="4" w:space="0"/>
              <w:bottom w:val="single" w:color="auto" w:sz="4" w:space="0"/>
            </w:tcBorders>
            <w:vAlign w:val="center"/>
          </w:tcPr>
          <w:p>
            <w:pPr>
              <w:pStyle w:val="42"/>
              <w:jc w:val="center"/>
              <w:rPr>
                <w:b/>
              </w:rPr>
            </w:pPr>
          </w:p>
        </w:tc>
        <w:tc>
          <w:tcPr>
            <w:tcW w:w="3260" w:type="dxa"/>
            <w:vMerge w:val="continue"/>
            <w:tcBorders>
              <w:top w:val="single" w:color="auto" w:sz="4" w:space="0"/>
              <w:bottom w:val="single" w:color="auto" w:sz="4" w:space="0"/>
            </w:tcBorders>
            <w:vAlign w:val="center"/>
          </w:tcPr>
          <w:p>
            <w:pPr>
              <w:pStyle w:val="42"/>
              <w:jc w:val="center"/>
              <w:rPr>
                <w:b/>
              </w:rPr>
            </w:pPr>
          </w:p>
        </w:tc>
        <w:tc>
          <w:tcPr>
            <w:tcW w:w="806" w:type="dxa"/>
            <w:vMerge w:val="continue"/>
            <w:tcBorders>
              <w:top w:val="single" w:color="auto" w:sz="4" w:space="0"/>
              <w:bottom w:val="single" w:color="auto" w:sz="4" w:space="0"/>
            </w:tcBorders>
            <w:vAlign w:val="center"/>
          </w:tcPr>
          <w:p>
            <w:pPr>
              <w:pStyle w:val="42"/>
              <w:jc w:val="center"/>
              <w:rPr>
                <w:b/>
              </w:rPr>
            </w:pPr>
          </w:p>
        </w:tc>
        <w:tc>
          <w:tcPr>
            <w:tcW w:w="741" w:type="dxa"/>
            <w:vMerge w:val="continue"/>
            <w:tcBorders>
              <w:top w:val="single" w:color="auto" w:sz="4" w:space="0"/>
              <w:bottom w:val="single" w:color="auto" w:sz="4" w:space="0"/>
            </w:tcBorders>
            <w:vAlign w:val="center"/>
          </w:tcPr>
          <w:p>
            <w:pPr>
              <w:pStyle w:val="42"/>
              <w:jc w:val="center"/>
              <w:rPr>
                <w:b/>
              </w:rPr>
            </w:pPr>
          </w:p>
        </w:tc>
        <w:tc>
          <w:tcPr>
            <w:tcW w:w="741" w:type="dxa"/>
            <w:vMerge w:val="continue"/>
            <w:tcBorders>
              <w:top w:val="single" w:color="auto" w:sz="4" w:space="0"/>
              <w:bottom w:val="single" w:color="auto" w:sz="4" w:space="0"/>
            </w:tcBorders>
            <w:vAlign w:val="center"/>
          </w:tcPr>
          <w:p>
            <w:pPr>
              <w:pStyle w:val="42"/>
              <w:jc w:val="center"/>
              <w:rPr>
                <w:b/>
              </w:rPr>
            </w:pPr>
          </w:p>
        </w:tc>
        <w:tc>
          <w:tcPr>
            <w:tcW w:w="972" w:type="dxa"/>
            <w:tcBorders>
              <w:bottom w:val="single" w:color="auto" w:sz="4" w:space="0"/>
            </w:tcBorders>
            <w:shd w:val="clear" w:color="auto" w:fill="auto"/>
            <w:vAlign w:val="center"/>
          </w:tcPr>
          <w:p>
            <w:pPr>
              <w:pStyle w:val="42"/>
              <w:jc w:val="center"/>
              <w:rPr>
                <w:b/>
              </w:rPr>
            </w:pPr>
            <w:r>
              <w:rPr>
                <w:rFonts w:hint="eastAsia"/>
                <w:b/>
              </w:rPr>
              <w:t>属性</w:t>
            </w:r>
          </w:p>
        </w:tc>
      </w:tr>
      <w:tr>
        <w:trPr>
          <w:trHeight w:val="443" w:hRule="atLeast"/>
          <w:jc w:val="center"/>
        </w:trPr>
        <w:tc>
          <w:tcPr>
            <w:tcW w:w="709" w:type="dxa"/>
            <w:gridSpan w:val="2"/>
            <w:vMerge w:val="restart"/>
            <w:tcBorders>
              <w:top w:val="single" w:color="auto" w:sz="4" w:space="0"/>
              <w:bottom w:val="single" w:color="auto" w:sz="4" w:space="0"/>
            </w:tcBorders>
            <w:shd w:val="clear" w:color="auto" w:fill="auto"/>
            <w:vAlign w:val="center"/>
          </w:tcPr>
          <w:p>
            <w:pPr>
              <w:pStyle w:val="42"/>
            </w:pPr>
            <w:r>
              <w:rPr>
                <w:rFonts w:hint="eastAsia"/>
              </w:rPr>
              <w:t>文化发展</w:t>
            </w:r>
          </w:p>
        </w:tc>
        <w:tc>
          <w:tcPr>
            <w:tcW w:w="709" w:type="dxa"/>
            <w:vMerge w:val="restart"/>
            <w:tcBorders>
              <w:top w:val="single" w:color="auto" w:sz="4" w:space="0"/>
            </w:tcBorders>
            <w:shd w:val="clear" w:color="auto" w:fill="auto"/>
            <w:vAlign w:val="center"/>
          </w:tcPr>
          <w:p>
            <w:pPr>
              <w:pStyle w:val="42"/>
              <w:jc w:val="center"/>
            </w:pPr>
            <w:r>
              <w:rPr>
                <w:rFonts w:hint="eastAsia"/>
              </w:rPr>
              <w:t>公共文化服务</w:t>
            </w:r>
          </w:p>
        </w:tc>
        <w:tc>
          <w:tcPr>
            <w:tcW w:w="567" w:type="dxa"/>
            <w:tcBorders>
              <w:top w:val="single" w:color="auto" w:sz="4" w:space="0"/>
            </w:tcBorders>
            <w:shd w:val="clear" w:color="auto" w:fill="auto"/>
            <w:vAlign w:val="center"/>
          </w:tcPr>
          <w:p>
            <w:pPr>
              <w:pStyle w:val="42"/>
              <w:jc w:val="center"/>
            </w:pPr>
            <w:r>
              <w:rPr>
                <w:rFonts w:hint="eastAsia"/>
              </w:rPr>
              <w:t>1</w:t>
            </w:r>
          </w:p>
        </w:tc>
        <w:tc>
          <w:tcPr>
            <w:tcW w:w="3260" w:type="dxa"/>
            <w:tcBorders>
              <w:top w:val="single" w:color="auto" w:sz="4" w:space="0"/>
            </w:tcBorders>
            <w:shd w:val="clear" w:color="auto" w:fill="auto"/>
            <w:vAlign w:val="center"/>
          </w:tcPr>
          <w:p>
            <w:pPr>
              <w:pStyle w:val="42"/>
              <w:jc w:val="center"/>
            </w:pPr>
            <w:r>
              <w:rPr>
                <w:rFonts w:hint="eastAsia"/>
              </w:rPr>
              <w:t>万人拥有公共文化设施面积</w:t>
            </w:r>
          </w:p>
        </w:tc>
        <w:tc>
          <w:tcPr>
            <w:tcW w:w="806" w:type="dxa"/>
            <w:tcBorders>
              <w:top w:val="single" w:color="auto" w:sz="4" w:space="0"/>
            </w:tcBorders>
            <w:shd w:val="clear" w:color="auto" w:fill="auto"/>
            <w:vAlign w:val="center"/>
          </w:tcPr>
          <w:p>
            <w:pPr>
              <w:pStyle w:val="42"/>
              <w:jc w:val="center"/>
            </w:pPr>
            <w:r>
              <w:rPr>
                <w:rFonts w:hint="eastAsia"/>
              </w:rPr>
              <w:t>M</w:t>
            </w:r>
            <w:r>
              <w:rPr>
                <w:rFonts w:hint="eastAsia"/>
                <w:vertAlign w:val="superscript"/>
              </w:rPr>
              <w:t>2</w:t>
            </w:r>
          </w:p>
        </w:tc>
        <w:tc>
          <w:tcPr>
            <w:tcW w:w="741" w:type="dxa"/>
            <w:tcBorders>
              <w:top w:val="single" w:color="auto" w:sz="4" w:space="0"/>
            </w:tcBorders>
            <w:shd w:val="clear" w:color="auto" w:fill="auto"/>
            <w:vAlign w:val="center"/>
          </w:tcPr>
          <w:p>
            <w:pPr>
              <w:pStyle w:val="42"/>
              <w:jc w:val="center"/>
            </w:pPr>
            <w:r>
              <w:rPr>
                <w:rFonts w:hint="eastAsia"/>
              </w:rPr>
              <w:t>523</w:t>
            </w:r>
          </w:p>
        </w:tc>
        <w:tc>
          <w:tcPr>
            <w:tcW w:w="741" w:type="dxa"/>
            <w:tcBorders>
              <w:top w:val="single" w:color="auto" w:sz="4" w:space="0"/>
            </w:tcBorders>
            <w:shd w:val="clear" w:color="auto" w:fill="auto"/>
            <w:vAlign w:val="center"/>
          </w:tcPr>
          <w:p>
            <w:pPr>
              <w:pStyle w:val="42"/>
              <w:jc w:val="center"/>
            </w:pPr>
            <w:r>
              <w:rPr>
                <w:rFonts w:hint="eastAsia"/>
              </w:rPr>
              <w:t>660</w:t>
            </w:r>
          </w:p>
        </w:tc>
        <w:tc>
          <w:tcPr>
            <w:tcW w:w="972" w:type="dxa"/>
            <w:tcBorders>
              <w:top w:val="single" w:color="auto" w:sz="4" w:space="0"/>
            </w:tcBorders>
            <w:shd w:val="clear" w:color="auto" w:fill="auto"/>
            <w:vAlign w:val="center"/>
          </w:tcPr>
          <w:p>
            <w:pPr>
              <w:pStyle w:val="42"/>
              <w:jc w:val="center"/>
            </w:pPr>
            <w:r>
              <w:rPr>
                <w:rFonts w:hint="eastAsia"/>
              </w:rPr>
              <w:t>约束性</w:t>
            </w:r>
          </w:p>
        </w:tc>
      </w:tr>
      <w:tr>
        <w:trPr>
          <w:trHeight w:val="233"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vMerge w:val="continue"/>
            <w:tcBorders>
              <w:bottom w:val="single" w:color="auto" w:sz="4" w:space="0"/>
            </w:tcBorders>
            <w:vAlign w:val="center"/>
          </w:tcPr>
          <w:p>
            <w:pPr>
              <w:pStyle w:val="42"/>
              <w:jc w:val="center"/>
            </w:pPr>
          </w:p>
        </w:tc>
        <w:tc>
          <w:tcPr>
            <w:tcW w:w="567" w:type="dxa"/>
            <w:tcBorders>
              <w:bottom w:val="single" w:color="auto" w:sz="4" w:space="0"/>
            </w:tcBorders>
            <w:shd w:val="clear" w:color="auto" w:fill="auto"/>
            <w:vAlign w:val="center"/>
          </w:tcPr>
          <w:p>
            <w:pPr>
              <w:pStyle w:val="42"/>
              <w:jc w:val="center"/>
            </w:pPr>
            <w:r>
              <w:rPr>
                <w:rFonts w:hint="eastAsia"/>
              </w:rPr>
              <w:t>2</w:t>
            </w:r>
          </w:p>
        </w:tc>
        <w:tc>
          <w:tcPr>
            <w:tcW w:w="3260" w:type="dxa"/>
            <w:tcBorders>
              <w:bottom w:val="single" w:color="auto" w:sz="4" w:space="0"/>
            </w:tcBorders>
            <w:shd w:val="clear" w:color="auto" w:fill="auto"/>
            <w:vAlign w:val="center"/>
          </w:tcPr>
          <w:p>
            <w:pPr>
              <w:pStyle w:val="42"/>
              <w:jc w:val="center"/>
            </w:pPr>
            <w:r>
              <w:rPr>
                <w:rFonts w:hint="eastAsia"/>
              </w:rPr>
              <w:t>文化服务供给（活动）</w:t>
            </w:r>
          </w:p>
        </w:tc>
        <w:tc>
          <w:tcPr>
            <w:tcW w:w="806" w:type="dxa"/>
            <w:tcBorders>
              <w:bottom w:val="single" w:color="auto" w:sz="4" w:space="0"/>
            </w:tcBorders>
            <w:shd w:val="clear" w:color="auto" w:fill="auto"/>
            <w:vAlign w:val="center"/>
          </w:tcPr>
          <w:p>
            <w:pPr>
              <w:pStyle w:val="42"/>
              <w:jc w:val="center"/>
            </w:pPr>
            <w:r>
              <w:rPr>
                <w:rFonts w:hint="eastAsia"/>
              </w:rPr>
              <w:t>场</w:t>
            </w:r>
          </w:p>
        </w:tc>
        <w:tc>
          <w:tcPr>
            <w:tcW w:w="741" w:type="dxa"/>
            <w:tcBorders>
              <w:bottom w:val="single" w:color="auto" w:sz="4" w:space="0"/>
            </w:tcBorders>
            <w:shd w:val="clear" w:color="auto" w:fill="auto"/>
            <w:vAlign w:val="center"/>
          </w:tcPr>
          <w:p>
            <w:pPr>
              <w:pStyle w:val="42"/>
              <w:jc w:val="center"/>
            </w:pPr>
            <w:r>
              <w:rPr>
                <w:rFonts w:hint="eastAsia"/>
                <w:color w:val="000000" w:themeColor="text1"/>
                <w14:textFill>
                  <w14:solidFill>
                    <w14:schemeClr w14:val="tx1"/>
                  </w14:solidFill>
                </w14:textFill>
              </w:rPr>
              <w:t>522</w:t>
            </w:r>
          </w:p>
        </w:tc>
        <w:tc>
          <w:tcPr>
            <w:tcW w:w="741" w:type="dxa"/>
            <w:tcBorders>
              <w:bottom w:val="single" w:color="auto" w:sz="4" w:space="0"/>
            </w:tcBorders>
            <w:shd w:val="clear" w:color="auto" w:fill="auto"/>
            <w:vAlign w:val="center"/>
          </w:tcPr>
          <w:p>
            <w:pPr>
              <w:pStyle w:val="42"/>
              <w:jc w:val="center"/>
            </w:pPr>
            <w:r>
              <w:rPr>
                <w:rFonts w:hint="eastAsia"/>
              </w:rPr>
              <w:t>600</w:t>
            </w:r>
          </w:p>
        </w:tc>
        <w:tc>
          <w:tcPr>
            <w:tcW w:w="972" w:type="dxa"/>
            <w:tcBorders>
              <w:bottom w:val="single" w:color="auto" w:sz="4" w:space="0"/>
            </w:tcBorders>
            <w:shd w:val="clear" w:color="auto" w:fill="auto"/>
            <w:vAlign w:val="center"/>
          </w:tcPr>
          <w:p>
            <w:pPr>
              <w:pStyle w:val="42"/>
              <w:jc w:val="center"/>
            </w:pPr>
            <w:r>
              <w:rPr>
                <w:rFonts w:hint="eastAsia"/>
              </w:rPr>
              <w:t>预期性</w:t>
            </w:r>
          </w:p>
        </w:tc>
      </w:tr>
      <w:tr>
        <w:trPr>
          <w:trHeight w:val="260"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vMerge w:val="restart"/>
            <w:tcBorders>
              <w:top w:val="single" w:color="auto" w:sz="4" w:space="0"/>
              <w:bottom w:val="single" w:color="auto" w:sz="4" w:space="0"/>
            </w:tcBorders>
            <w:shd w:val="clear" w:color="auto" w:fill="auto"/>
            <w:vAlign w:val="center"/>
          </w:tcPr>
          <w:p>
            <w:pPr>
              <w:pStyle w:val="42"/>
              <w:jc w:val="center"/>
            </w:pPr>
            <w:r>
              <w:rPr>
                <w:rFonts w:hint="eastAsia"/>
              </w:rPr>
              <w:t>文化保护</w:t>
            </w:r>
            <w:r>
              <w:t>传承</w:t>
            </w:r>
          </w:p>
        </w:tc>
        <w:tc>
          <w:tcPr>
            <w:tcW w:w="567" w:type="dxa"/>
            <w:tcBorders>
              <w:top w:val="single" w:color="auto" w:sz="4" w:space="0"/>
            </w:tcBorders>
            <w:shd w:val="clear" w:color="auto" w:fill="auto"/>
            <w:vAlign w:val="center"/>
          </w:tcPr>
          <w:p>
            <w:pPr>
              <w:pStyle w:val="42"/>
              <w:jc w:val="center"/>
            </w:pPr>
            <w:r>
              <w:rPr>
                <w:rFonts w:hint="eastAsia"/>
              </w:rPr>
              <w:t>3</w:t>
            </w:r>
          </w:p>
        </w:tc>
        <w:tc>
          <w:tcPr>
            <w:tcW w:w="3260" w:type="dxa"/>
            <w:tcBorders>
              <w:top w:val="single" w:color="auto" w:sz="4" w:space="0"/>
            </w:tcBorders>
            <w:shd w:val="clear" w:color="auto" w:fill="auto"/>
            <w:vAlign w:val="center"/>
          </w:tcPr>
          <w:p>
            <w:pPr>
              <w:pStyle w:val="42"/>
              <w:jc w:val="center"/>
            </w:pPr>
            <w:r>
              <w:rPr>
                <w:rFonts w:hint="eastAsia"/>
              </w:rPr>
              <w:t>国家级非遗个数</w:t>
            </w:r>
          </w:p>
        </w:tc>
        <w:tc>
          <w:tcPr>
            <w:tcW w:w="806" w:type="dxa"/>
            <w:tcBorders>
              <w:top w:val="single" w:color="auto" w:sz="4" w:space="0"/>
            </w:tcBorders>
            <w:shd w:val="clear" w:color="auto" w:fill="auto"/>
            <w:vAlign w:val="center"/>
          </w:tcPr>
          <w:p>
            <w:pPr>
              <w:pStyle w:val="42"/>
              <w:jc w:val="center"/>
            </w:pPr>
            <w:r>
              <w:rPr>
                <w:rFonts w:hint="eastAsia"/>
              </w:rPr>
              <w:t>个</w:t>
            </w:r>
          </w:p>
        </w:tc>
        <w:tc>
          <w:tcPr>
            <w:tcW w:w="741" w:type="dxa"/>
            <w:tcBorders>
              <w:top w:val="single" w:color="auto" w:sz="4" w:space="0"/>
            </w:tcBorders>
            <w:shd w:val="clear" w:color="auto" w:fill="auto"/>
            <w:vAlign w:val="center"/>
          </w:tcPr>
          <w:p>
            <w:pPr>
              <w:pStyle w:val="42"/>
              <w:jc w:val="center"/>
            </w:pPr>
            <w:r>
              <w:rPr>
                <w:rFonts w:hint="eastAsia"/>
              </w:rPr>
              <w:t>0</w:t>
            </w:r>
          </w:p>
        </w:tc>
        <w:tc>
          <w:tcPr>
            <w:tcW w:w="741" w:type="dxa"/>
            <w:tcBorders>
              <w:top w:val="single" w:color="auto" w:sz="4" w:space="0"/>
            </w:tcBorders>
            <w:shd w:val="clear" w:color="auto" w:fill="auto"/>
            <w:vAlign w:val="center"/>
          </w:tcPr>
          <w:p>
            <w:pPr>
              <w:pStyle w:val="42"/>
              <w:jc w:val="center"/>
            </w:pPr>
            <w:r>
              <w:rPr>
                <w:rFonts w:hint="eastAsia"/>
              </w:rPr>
              <w:t>1</w:t>
            </w:r>
          </w:p>
        </w:tc>
        <w:tc>
          <w:tcPr>
            <w:tcW w:w="972" w:type="dxa"/>
            <w:tcBorders>
              <w:top w:val="single" w:color="auto" w:sz="4" w:space="0"/>
            </w:tcBorders>
            <w:shd w:val="clear" w:color="auto" w:fill="auto"/>
            <w:vAlign w:val="center"/>
          </w:tcPr>
          <w:p>
            <w:pPr>
              <w:pStyle w:val="42"/>
              <w:jc w:val="center"/>
            </w:pPr>
            <w:r>
              <w:rPr>
                <w:rFonts w:hint="eastAsia"/>
              </w:rPr>
              <w:t>预期性</w:t>
            </w:r>
          </w:p>
        </w:tc>
      </w:tr>
      <w:tr>
        <w:trPr>
          <w:trHeight w:val="221"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vMerge w:val="continue"/>
            <w:tcBorders>
              <w:top w:val="single" w:color="auto" w:sz="4" w:space="0"/>
              <w:bottom w:val="single" w:color="auto" w:sz="4" w:space="0"/>
            </w:tcBorders>
            <w:vAlign w:val="center"/>
          </w:tcPr>
          <w:p>
            <w:pPr>
              <w:pStyle w:val="42"/>
              <w:jc w:val="center"/>
            </w:pPr>
          </w:p>
        </w:tc>
        <w:tc>
          <w:tcPr>
            <w:tcW w:w="567" w:type="dxa"/>
            <w:shd w:val="clear" w:color="auto" w:fill="auto"/>
            <w:vAlign w:val="center"/>
          </w:tcPr>
          <w:p>
            <w:pPr>
              <w:pStyle w:val="42"/>
              <w:jc w:val="center"/>
            </w:pPr>
            <w:r>
              <w:rPr>
                <w:rFonts w:hint="eastAsia"/>
              </w:rPr>
              <w:t>4</w:t>
            </w:r>
          </w:p>
        </w:tc>
        <w:tc>
          <w:tcPr>
            <w:tcW w:w="3260" w:type="dxa"/>
            <w:shd w:val="clear" w:color="auto" w:fill="auto"/>
            <w:vAlign w:val="center"/>
          </w:tcPr>
          <w:p>
            <w:pPr>
              <w:pStyle w:val="42"/>
              <w:jc w:val="center"/>
            </w:pPr>
            <w:r>
              <w:rPr>
                <w:rFonts w:hint="eastAsia"/>
              </w:rPr>
              <w:t>市级及以上非遗个数</w:t>
            </w:r>
          </w:p>
        </w:tc>
        <w:tc>
          <w:tcPr>
            <w:tcW w:w="806" w:type="dxa"/>
            <w:shd w:val="clear" w:color="auto" w:fill="auto"/>
            <w:vAlign w:val="center"/>
          </w:tcPr>
          <w:p>
            <w:pPr>
              <w:pStyle w:val="42"/>
              <w:jc w:val="center"/>
            </w:pPr>
            <w:r>
              <w:rPr>
                <w:rFonts w:hint="eastAsia"/>
              </w:rPr>
              <w:t>个</w:t>
            </w:r>
          </w:p>
        </w:tc>
        <w:tc>
          <w:tcPr>
            <w:tcW w:w="741" w:type="dxa"/>
            <w:shd w:val="clear" w:color="auto" w:fill="auto"/>
            <w:vAlign w:val="center"/>
          </w:tcPr>
          <w:p>
            <w:pPr>
              <w:pStyle w:val="42"/>
              <w:jc w:val="center"/>
            </w:pPr>
            <w:r>
              <w:rPr>
                <w:rFonts w:hint="eastAsia"/>
              </w:rPr>
              <w:t>14</w:t>
            </w:r>
          </w:p>
        </w:tc>
        <w:tc>
          <w:tcPr>
            <w:tcW w:w="741" w:type="dxa"/>
            <w:shd w:val="clear" w:color="auto" w:fill="auto"/>
            <w:vAlign w:val="center"/>
          </w:tcPr>
          <w:p>
            <w:pPr>
              <w:pStyle w:val="42"/>
              <w:jc w:val="center"/>
            </w:pPr>
            <w:r>
              <w:rPr>
                <w:rFonts w:hint="eastAsia"/>
              </w:rPr>
              <w:t>19</w:t>
            </w:r>
          </w:p>
        </w:tc>
        <w:tc>
          <w:tcPr>
            <w:tcW w:w="972" w:type="dxa"/>
            <w:shd w:val="clear" w:color="auto" w:fill="auto"/>
            <w:vAlign w:val="center"/>
          </w:tcPr>
          <w:p>
            <w:pPr>
              <w:pStyle w:val="42"/>
              <w:jc w:val="center"/>
            </w:pPr>
            <w:r>
              <w:rPr>
                <w:rFonts w:hint="eastAsia"/>
              </w:rPr>
              <w:t>预期性</w:t>
            </w:r>
          </w:p>
        </w:tc>
      </w:tr>
      <w:tr>
        <w:trPr>
          <w:trHeight w:val="156"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vMerge w:val="continue"/>
            <w:tcBorders>
              <w:top w:val="single" w:color="auto" w:sz="4" w:space="0"/>
              <w:bottom w:val="single" w:color="auto" w:sz="4" w:space="0"/>
            </w:tcBorders>
            <w:vAlign w:val="center"/>
          </w:tcPr>
          <w:p>
            <w:pPr>
              <w:pStyle w:val="42"/>
              <w:jc w:val="center"/>
            </w:pPr>
          </w:p>
        </w:tc>
        <w:tc>
          <w:tcPr>
            <w:tcW w:w="567" w:type="dxa"/>
            <w:tcBorders>
              <w:bottom w:val="single" w:color="auto" w:sz="4" w:space="0"/>
            </w:tcBorders>
            <w:shd w:val="clear" w:color="auto" w:fill="auto"/>
            <w:vAlign w:val="center"/>
          </w:tcPr>
          <w:p>
            <w:pPr>
              <w:pStyle w:val="42"/>
              <w:jc w:val="center"/>
            </w:pPr>
            <w:r>
              <w:rPr>
                <w:rFonts w:hint="eastAsia"/>
              </w:rPr>
              <w:t>5</w:t>
            </w:r>
          </w:p>
        </w:tc>
        <w:tc>
          <w:tcPr>
            <w:tcW w:w="3260" w:type="dxa"/>
            <w:tcBorders>
              <w:bottom w:val="single" w:color="auto" w:sz="4" w:space="0"/>
            </w:tcBorders>
            <w:shd w:val="clear" w:color="auto" w:fill="auto"/>
            <w:vAlign w:val="center"/>
          </w:tcPr>
          <w:p>
            <w:pPr>
              <w:pStyle w:val="42"/>
              <w:jc w:val="center"/>
            </w:pPr>
            <w:r>
              <w:rPr>
                <w:rFonts w:hint="eastAsia"/>
              </w:rPr>
              <w:t>市级及以上文保单位个数</w:t>
            </w:r>
          </w:p>
        </w:tc>
        <w:tc>
          <w:tcPr>
            <w:tcW w:w="806" w:type="dxa"/>
            <w:tcBorders>
              <w:bottom w:val="single" w:color="auto" w:sz="4" w:space="0"/>
            </w:tcBorders>
            <w:shd w:val="clear" w:color="auto" w:fill="auto"/>
            <w:vAlign w:val="center"/>
          </w:tcPr>
          <w:p>
            <w:pPr>
              <w:pStyle w:val="42"/>
              <w:jc w:val="center"/>
            </w:pPr>
            <w:r>
              <w:rPr>
                <w:rFonts w:hint="eastAsia"/>
              </w:rPr>
              <w:t>个</w:t>
            </w:r>
          </w:p>
        </w:tc>
        <w:tc>
          <w:tcPr>
            <w:tcW w:w="741" w:type="dxa"/>
            <w:tcBorders>
              <w:bottom w:val="single" w:color="auto" w:sz="4" w:space="0"/>
            </w:tcBorders>
            <w:shd w:val="clear" w:color="auto" w:fill="auto"/>
            <w:vAlign w:val="center"/>
          </w:tcPr>
          <w:p>
            <w:pPr>
              <w:pStyle w:val="42"/>
              <w:jc w:val="center"/>
            </w:pPr>
            <w:r>
              <w:rPr>
                <w:rFonts w:hint="eastAsia"/>
              </w:rPr>
              <w:t>11</w:t>
            </w:r>
          </w:p>
        </w:tc>
        <w:tc>
          <w:tcPr>
            <w:tcW w:w="741" w:type="dxa"/>
            <w:tcBorders>
              <w:bottom w:val="single" w:color="auto" w:sz="4" w:space="0"/>
            </w:tcBorders>
            <w:shd w:val="clear" w:color="auto" w:fill="auto"/>
            <w:vAlign w:val="center"/>
          </w:tcPr>
          <w:p>
            <w:pPr>
              <w:pStyle w:val="42"/>
              <w:jc w:val="center"/>
            </w:pPr>
            <w:r>
              <w:rPr>
                <w:rFonts w:hint="eastAsia"/>
              </w:rPr>
              <w:t>13</w:t>
            </w:r>
          </w:p>
        </w:tc>
        <w:tc>
          <w:tcPr>
            <w:tcW w:w="972" w:type="dxa"/>
            <w:tcBorders>
              <w:bottom w:val="single" w:color="auto" w:sz="4" w:space="0"/>
            </w:tcBorders>
            <w:shd w:val="clear" w:color="auto" w:fill="auto"/>
            <w:vAlign w:val="center"/>
          </w:tcPr>
          <w:p>
            <w:pPr>
              <w:pStyle w:val="42"/>
              <w:jc w:val="center"/>
            </w:pPr>
            <w:r>
              <w:rPr>
                <w:rFonts w:hint="eastAsia"/>
              </w:rPr>
              <w:t>预期性</w:t>
            </w:r>
          </w:p>
        </w:tc>
      </w:tr>
      <w:tr>
        <w:trPr>
          <w:trHeight w:val="599"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tcBorders>
              <w:top w:val="single" w:color="auto" w:sz="4" w:space="0"/>
              <w:bottom w:val="single" w:color="auto" w:sz="4" w:space="0"/>
            </w:tcBorders>
            <w:shd w:val="clear" w:color="auto" w:fill="auto"/>
            <w:vAlign w:val="center"/>
          </w:tcPr>
          <w:p>
            <w:pPr>
              <w:pStyle w:val="42"/>
              <w:jc w:val="center"/>
            </w:pPr>
            <w:r>
              <w:rPr>
                <w:rFonts w:hint="eastAsia"/>
              </w:rPr>
              <w:t>文艺创作</w:t>
            </w:r>
          </w:p>
        </w:tc>
        <w:tc>
          <w:tcPr>
            <w:tcW w:w="567" w:type="dxa"/>
            <w:tcBorders>
              <w:top w:val="single" w:color="auto" w:sz="4" w:space="0"/>
              <w:bottom w:val="single" w:color="auto" w:sz="4" w:space="0"/>
            </w:tcBorders>
            <w:shd w:val="clear" w:color="auto" w:fill="auto"/>
            <w:vAlign w:val="center"/>
          </w:tcPr>
          <w:p>
            <w:pPr>
              <w:pStyle w:val="42"/>
              <w:jc w:val="center"/>
            </w:pPr>
            <w:r>
              <w:rPr>
                <w:rFonts w:hint="eastAsia"/>
              </w:rPr>
              <w:t>6</w:t>
            </w:r>
          </w:p>
        </w:tc>
        <w:tc>
          <w:tcPr>
            <w:tcW w:w="3260" w:type="dxa"/>
            <w:tcBorders>
              <w:top w:val="single" w:color="auto" w:sz="4" w:space="0"/>
              <w:bottom w:val="single" w:color="auto" w:sz="4" w:space="0"/>
            </w:tcBorders>
            <w:shd w:val="clear" w:color="auto" w:fill="auto"/>
            <w:vAlign w:val="center"/>
          </w:tcPr>
          <w:p>
            <w:pPr>
              <w:pStyle w:val="42"/>
              <w:jc w:val="center"/>
            </w:pPr>
            <w:r>
              <w:rPr>
                <w:rFonts w:hint="eastAsia"/>
              </w:rPr>
              <w:t>获市级及以上奖励文艺作品数</w:t>
            </w:r>
          </w:p>
        </w:tc>
        <w:tc>
          <w:tcPr>
            <w:tcW w:w="806" w:type="dxa"/>
            <w:tcBorders>
              <w:top w:val="single" w:color="auto" w:sz="4" w:space="0"/>
              <w:bottom w:val="single" w:color="auto" w:sz="4" w:space="0"/>
            </w:tcBorders>
            <w:shd w:val="clear" w:color="auto" w:fill="auto"/>
            <w:vAlign w:val="center"/>
          </w:tcPr>
          <w:p>
            <w:pPr>
              <w:pStyle w:val="42"/>
              <w:jc w:val="center"/>
            </w:pPr>
            <w:r>
              <w:rPr>
                <w:rFonts w:hint="eastAsia"/>
              </w:rPr>
              <w:t>个</w:t>
            </w:r>
          </w:p>
        </w:tc>
        <w:tc>
          <w:tcPr>
            <w:tcW w:w="741" w:type="dxa"/>
            <w:tcBorders>
              <w:top w:val="single" w:color="auto" w:sz="4" w:space="0"/>
              <w:bottom w:val="single" w:color="auto" w:sz="4" w:space="0"/>
            </w:tcBorders>
            <w:shd w:val="clear" w:color="auto" w:fill="auto"/>
            <w:vAlign w:val="center"/>
          </w:tcPr>
          <w:p>
            <w:pPr>
              <w:pStyle w:val="42"/>
              <w:jc w:val="center"/>
            </w:pPr>
            <w:r>
              <w:rPr>
                <w:rFonts w:hint="eastAsia"/>
              </w:rPr>
              <w:t>10</w:t>
            </w:r>
          </w:p>
        </w:tc>
        <w:tc>
          <w:tcPr>
            <w:tcW w:w="741" w:type="dxa"/>
            <w:tcBorders>
              <w:top w:val="single" w:color="auto" w:sz="4" w:space="0"/>
              <w:bottom w:val="single" w:color="auto" w:sz="4" w:space="0"/>
            </w:tcBorders>
            <w:shd w:val="clear" w:color="auto" w:fill="auto"/>
            <w:vAlign w:val="center"/>
          </w:tcPr>
          <w:p>
            <w:pPr>
              <w:pStyle w:val="42"/>
              <w:jc w:val="center"/>
            </w:pPr>
            <w:r>
              <w:rPr>
                <w:rFonts w:hint="eastAsia"/>
              </w:rPr>
              <w:t>15</w:t>
            </w:r>
          </w:p>
        </w:tc>
        <w:tc>
          <w:tcPr>
            <w:tcW w:w="972" w:type="dxa"/>
            <w:tcBorders>
              <w:top w:val="single" w:color="auto" w:sz="4" w:space="0"/>
              <w:bottom w:val="single" w:color="auto" w:sz="4" w:space="0"/>
            </w:tcBorders>
            <w:shd w:val="clear" w:color="auto" w:fill="auto"/>
            <w:vAlign w:val="center"/>
          </w:tcPr>
          <w:p>
            <w:pPr>
              <w:pStyle w:val="42"/>
              <w:jc w:val="center"/>
            </w:pPr>
            <w:r>
              <w:rPr>
                <w:rFonts w:hint="eastAsia"/>
              </w:rPr>
              <w:t>预期性</w:t>
            </w:r>
          </w:p>
        </w:tc>
      </w:tr>
      <w:tr>
        <w:trPr>
          <w:trHeight w:val="60"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vMerge w:val="restart"/>
            <w:tcBorders>
              <w:top w:val="single" w:color="auto" w:sz="4" w:space="0"/>
              <w:bottom w:val="single" w:color="auto" w:sz="4" w:space="0"/>
            </w:tcBorders>
            <w:shd w:val="clear" w:color="auto" w:fill="auto"/>
            <w:vAlign w:val="center"/>
          </w:tcPr>
          <w:p>
            <w:pPr>
              <w:pStyle w:val="42"/>
              <w:jc w:val="center"/>
            </w:pPr>
            <w:r>
              <w:rPr>
                <w:rFonts w:hint="eastAsia"/>
              </w:rPr>
              <w:t>文化产业</w:t>
            </w:r>
          </w:p>
        </w:tc>
        <w:tc>
          <w:tcPr>
            <w:tcW w:w="567" w:type="dxa"/>
            <w:tcBorders>
              <w:top w:val="single" w:color="auto" w:sz="4" w:space="0"/>
            </w:tcBorders>
            <w:shd w:val="clear" w:color="auto" w:fill="auto"/>
            <w:vAlign w:val="center"/>
          </w:tcPr>
          <w:p>
            <w:pPr>
              <w:pStyle w:val="42"/>
              <w:jc w:val="center"/>
            </w:pPr>
            <w:r>
              <w:rPr>
                <w:rFonts w:hint="eastAsia"/>
              </w:rPr>
              <w:t>7</w:t>
            </w:r>
          </w:p>
        </w:tc>
        <w:tc>
          <w:tcPr>
            <w:tcW w:w="3260" w:type="dxa"/>
            <w:tcBorders>
              <w:top w:val="single" w:color="auto" w:sz="4" w:space="0"/>
            </w:tcBorders>
            <w:shd w:val="clear" w:color="auto" w:fill="auto"/>
            <w:vAlign w:val="center"/>
          </w:tcPr>
          <w:p>
            <w:pPr>
              <w:pStyle w:val="42"/>
              <w:jc w:val="center"/>
            </w:pPr>
            <w:r>
              <w:rPr>
                <w:rFonts w:hint="eastAsia"/>
              </w:rPr>
              <w:t>文化产业增加值</w:t>
            </w:r>
          </w:p>
        </w:tc>
        <w:tc>
          <w:tcPr>
            <w:tcW w:w="806" w:type="dxa"/>
            <w:tcBorders>
              <w:top w:val="single" w:color="auto" w:sz="4" w:space="0"/>
            </w:tcBorders>
            <w:shd w:val="clear" w:color="auto" w:fill="auto"/>
            <w:vAlign w:val="center"/>
          </w:tcPr>
          <w:p>
            <w:pPr>
              <w:pStyle w:val="42"/>
              <w:jc w:val="center"/>
            </w:pPr>
            <w:r>
              <w:rPr>
                <w:rFonts w:hint="eastAsia"/>
              </w:rPr>
              <w:t>亿元</w:t>
            </w:r>
          </w:p>
        </w:tc>
        <w:tc>
          <w:tcPr>
            <w:tcW w:w="741" w:type="dxa"/>
            <w:tcBorders>
              <w:top w:val="single" w:color="auto" w:sz="4" w:space="0"/>
            </w:tcBorders>
            <w:shd w:val="clear" w:color="auto" w:fill="auto"/>
            <w:vAlign w:val="center"/>
          </w:tcPr>
          <w:p>
            <w:pPr>
              <w:pStyle w:val="42"/>
              <w:jc w:val="center"/>
            </w:pPr>
            <w:r>
              <w:rPr>
                <w:rFonts w:hint="eastAsia"/>
                <w:color w:val="000000" w:themeColor="text1"/>
                <w14:textFill>
                  <w14:solidFill>
                    <w14:schemeClr w14:val="tx1"/>
                  </w14:solidFill>
                </w14:textFill>
              </w:rPr>
              <w:t>9.07</w:t>
            </w:r>
          </w:p>
        </w:tc>
        <w:tc>
          <w:tcPr>
            <w:tcW w:w="741" w:type="dxa"/>
            <w:tcBorders>
              <w:top w:val="single" w:color="auto" w:sz="4" w:space="0"/>
            </w:tcBorders>
            <w:shd w:val="clear" w:color="auto" w:fill="auto"/>
            <w:vAlign w:val="center"/>
          </w:tcPr>
          <w:p>
            <w:pPr>
              <w:pStyle w:val="42"/>
              <w:jc w:val="center"/>
            </w:pPr>
            <w:r>
              <w:rPr>
                <w:rFonts w:hint="eastAsia"/>
              </w:rPr>
              <w:t>15</w:t>
            </w:r>
          </w:p>
        </w:tc>
        <w:tc>
          <w:tcPr>
            <w:tcW w:w="972" w:type="dxa"/>
            <w:tcBorders>
              <w:top w:val="single" w:color="auto" w:sz="4" w:space="0"/>
            </w:tcBorders>
            <w:shd w:val="clear" w:color="auto" w:fill="auto"/>
            <w:vAlign w:val="center"/>
          </w:tcPr>
          <w:p>
            <w:pPr>
              <w:pStyle w:val="42"/>
              <w:jc w:val="center"/>
            </w:pPr>
            <w:r>
              <w:rPr>
                <w:rFonts w:hint="eastAsia"/>
              </w:rPr>
              <w:t>预期性</w:t>
            </w:r>
          </w:p>
        </w:tc>
      </w:tr>
      <w:tr>
        <w:trPr>
          <w:trHeight w:val="132"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vMerge w:val="continue"/>
            <w:tcBorders>
              <w:top w:val="single" w:color="auto" w:sz="4" w:space="0"/>
              <w:bottom w:val="single" w:color="auto" w:sz="4" w:space="0"/>
            </w:tcBorders>
            <w:vAlign w:val="center"/>
          </w:tcPr>
          <w:p>
            <w:pPr>
              <w:pStyle w:val="42"/>
              <w:jc w:val="center"/>
            </w:pPr>
          </w:p>
        </w:tc>
        <w:tc>
          <w:tcPr>
            <w:tcW w:w="567" w:type="dxa"/>
            <w:tcBorders>
              <w:bottom w:val="single" w:color="auto" w:sz="4" w:space="0"/>
            </w:tcBorders>
            <w:shd w:val="clear" w:color="auto" w:fill="auto"/>
            <w:vAlign w:val="center"/>
          </w:tcPr>
          <w:p>
            <w:pPr>
              <w:pStyle w:val="42"/>
              <w:jc w:val="center"/>
            </w:pPr>
            <w:r>
              <w:rPr>
                <w:rFonts w:hint="eastAsia"/>
              </w:rPr>
              <w:t>8</w:t>
            </w:r>
          </w:p>
        </w:tc>
        <w:tc>
          <w:tcPr>
            <w:tcW w:w="3260" w:type="dxa"/>
            <w:tcBorders>
              <w:bottom w:val="single" w:color="auto" w:sz="4" w:space="0"/>
            </w:tcBorders>
            <w:shd w:val="clear" w:color="auto" w:fill="auto"/>
            <w:vAlign w:val="center"/>
          </w:tcPr>
          <w:p>
            <w:pPr>
              <w:pStyle w:val="42"/>
              <w:jc w:val="center"/>
            </w:pPr>
            <w:r>
              <w:rPr>
                <w:rFonts w:hint="eastAsia"/>
              </w:rPr>
              <w:t>规模以上文化企业个数</w:t>
            </w:r>
          </w:p>
        </w:tc>
        <w:tc>
          <w:tcPr>
            <w:tcW w:w="806" w:type="dxa"/>
            <w:tcBorders>
              <w:bottom w:val="single" w:color="auto" w:sz="4" w:space="0"/>
            </w:tcBorders>
            <w:shd w:val="clear" w:color="auto" w:fill="auto"/>
            <w:vAlign w:val="center"/>
          </w:tcPr>
          <w:p>
            <w:pPr>
              <w:pStyle w:val="42"/>
              <w:jc w:val="center"/>
            </w:pPr>
            <w:r>
              <w:rPr>
                <w:rFonts w:hint="eastAsia"/>
              </w:rPr>
              <w:t>个</w:t>
            </w:r>
          </w:p>
        </w:tc>
        <w:tc>
          <w:tcPr>
            <w:tcW w:w="741" w:type="dxa"/>
            <w:tcBorders>
              <w:bottom w:val="single" w:color="auto" w:sz="4" w:space="0"/>
            </w:tcBorders>
            <w:shd w:val="clear" w:color="auto" w:fill="auto"/>
            <w:vAlign w:val="center"/>
          </w:tcPr>
          <w:p>
            <w:pPr>
              <w:pStyle w:val="42"/>
              <w:jc w:val="center"/>
            </w:pPr>
            <w:r>
              <w:rPr>
                <w:rFonts w:hint="eastAsia"/>
              </w:rPr>
              <w:t>25</w:t>
            </w:r>
          </w:p>
        </w:tc>
        <w:tc>
          <w:tcPr>
            <w:tcW w:w="741" w:type="dxa"/>
            <w:tcBorders>
              <w:bottom w:val="single" w:color="auto" w:sz="4" w:space="0"/>
            </w:tcBorders>
            <w:shd w:val="clear" w:color="auto" w:fill="auto"/>
            <w:vAlign w:val="center"/>
          </w:tcPr>
          <w:p>
            <w:pPr>
              <w:pStyle w:val="42"/>
              <w:jc w:val="center"/>
            </w:pPr>
            <w:r>
              <w:rPr>
                <w:rFonts w:hint="eastAsia"/>
              </w:rPr>
              <w:t>50</w:t>
            </w:r>
          </w:p>
        </w:tc>
        <w:tc>
          <w:tcPr>
            <w:tcW w:w="972" w:type="dxa"/>
            <w:tcBorders>
              <w:bottom w:val="single" w:color="auto" w:sz="4" w:space="0"/>
            </w:tcBorders>
            <w:shd w:val="clear" w:color="auto" w:fill="auto"/>
            <w:vAlign w:val="center"/>
          </w:tcPr>
          <w:p>
            <w:pPr>
              <w:pStyle w:val="42"/>
              <w:jc w:val="center"/>
            </w:pPr>
            <w:r>
              <w:rPr>
                <w:rFonts w:hint="eastAsia"/>
              </w:rPr>
              <w:t>预期性</w:t>
            </w:r>
          </w:p>
        </w:tc>
      </w:tr>
      <w:tr>
        <w:trPr>
          <w:trHeight w:val="473"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vMerge w:val="restart"/>
            <w:tcBorders>
              <w:top w:val="single" w:color="auto" w:sz="4" w:space="0"/>
              <w:bottom w:val="single" w:color="auto" w:sz="4" w:space="0"/>
            </w:tcBorders>
            <w:shd w:val="clear" w:color="auto" w:fill="auto"/>
            <w:vAlign w:val="center"/>
          </w:tcPr>
          <w:p>
            <w:pPr>
              <w:pStyle w:val="42"/>
              <w:jc w:val="center"/>
            </w:pPr>
            <w:r>
              <w:rPr>
                <w:rFonts w:hint="eastAsia"/>
              </w:rPr>
              <w:t>广电文化传播</w:t>
            </w:r>
          </w:p>
        </w:tc>
        <w:tc>
          <w:tcPr>
            <w:tcW w:w="567" w:type="dxa"/>
            <w:tcBorders>
              <w:top w:val="single" w:color="auto" w:sz="4" w:space="0"/>
            </w:tcBorders>
            <w:shd w:val="clear" w:color="auto" w:fill="auto"/>
            <w:vAlign w:val="center"/>
          </w:tcPr>
          <w:p>
            <w:pPr>
              <w:pStyle w:val="42"/>
              <w:jc w:val="center"/>
            </w:pPr>
            <w:r>
              <w:rPr>
                <w:rFonts w:hint="eastAsia"/>
              </w:rPr>
              <w:t>9</w:t>
            </w:r>
          </w:p>
        </w:tc>
        <w:tc>
          <w:tcPr>
            <w:tcW w:w="3260" w:type="dxa"/>
            <w:tcBorders>
              <w:top w:val="single" w:color="auto" w:sz="4" w:space="0"/>
            </w:tcBorders>
            <w:shd w:val="clear" w:color="auto" w:fill="auto"/>
            <w:vAlign w:val="center"/>
          </w:tcPr>
          <w:p>
            <w:pPr>
              <w:pStyle w:val="42"/>
              <w:jc w:val="center"/>
            </w:pPr>
            <w:r>
              <w:rPr>
                <w:rFonts w:hint="eastAsia"/>
              </w:rPr>
              <w:t>广电覆盖率</w:t>
            </w:r>
          </w:p>
        </w:tc>
        <w:tc>
          <w:tcPr>
            <w:tcW w:w="806" w:type="dxa"/>
            <w:tcBorders>
              <w:top w:val="single" w:color="auto" w:sz="4" w:space="0"/>
            </w:tcBorders>
            <w:shd w:val="clear" w:color="auto" w:fill="auto"/>
            <w:vAlign w:val="center"/>
          </w:tcPr>
          <w:p>
            <w:pPr>
              <w:pStyle w:val="42"/>
              <w:jc w:val="center"/>
            </w:pPr>
            <w:r>
              <w:rPr>
                <w:rFonts w:hint="eastAsia"/>
              </w:rPr>
              <w:t>%</w:t>
            </w:r>
          </w:p>
        </w:tc>
        <w:tc>
          <w:tcPr>
            <w:tcW w:w="741" w:type="dxa"/>
            <w:tcBorders>
              <w:top w:val="single" w:color="auto" w:sz="4" w:space="0"/>
            </w:tcBorders>
            <w:shd w:val="clear" w:color="auto" w:fill="auto"/>
            <w:vAlign w:val="center"/>
          </w:tcPr>
          <w:p>
            <w:pPr>
              <w:pStyle w:val="42"/>
              <w:jc w:val="center"/>
            </w:pPr>
            <w:r>
              <w:rPr>
                <w:rFonts w:hint="eastAsia"/>
              </w:rPr>
              <w:t>99.8</w:t>
            </w:r>
          </w:p>
        </w:tc>
        <w:tc>
          <w:tcPr>
            <w:tcW w:w="741" w:type="dxa"/>
            <w:tcBorders>
              <w:top w:val="single" w:color="auto" w:sz="4" w:space="0"/>
            </w:tcBorders>
            <w:shd w:val="clear" w:color="auto" w:fill="auto"/>
            <w:vAlign w:val="center"/>
          </w:tcPr>
          <w:p>
            <w:pPr>
              <w:pStyle w:val="42"/>
              <w:jc w:val="center"/>
            </w:pPr>
            <w:r>
              <w:rPr>
                <w:rFonts w:hint="eastAsia"/>
              </w:rPr>
              <w:t>99.9</w:t>
            </w:r>
          </w:p>
        </w:tc>
        <w:tc>
          <w:tcPr>
            <w:tcW w:w="972" w:type="dxa"/>
            <w:tcBorders>
              <w:top w:val="single" w:color="auto" w:sz="4" w:space="0"/>
            </w:tcBorders>
            <w:shd w:val="clear" w:color="auto" w:fill="auto"/>
            <w:vAlign w:val="center"/>
          </w:tcPr>
          <w:p>
            <w:pPr>
              <w:pStyle w:val="42"/>
              <w:jc w:val="center"/>
            </w:pPr>
            <w:r>
              <w:rPr>
                <w:rFonts w:hint="eastAsia"/>
              </w:rPr>
              <w:t>约束性</w:t>
            </w:r>
          </w:p>
        </w:tc>
      </w:tr>
      <w:tr>
        <w:trPr>
          <w:trHeight w:val="406" w:hRule="atLeast"/>
          <w:jc w:val="center"/>
        </w:trPr>
        <w:tc>
          <w:tcPr>
            <w:tcW w:w="709" w:type="dxa"/>
            <w:gridSpan w:val="2"/>
            <w:vMerge w:val="continue"/>
            <w:tcBorders>
              <w:top w:val="single" w:color="auto" w:sz="4" w:space="0"/>
              <w:bottom w:val="single" w:color="auto" w:sz="4" w:space="0"/>
            </w:tcBorders>
            <w:vAlign w:val="center"/>
          </w:tcPr>
          <w:p>
            <w:pPr>
              <w:pStyle w:val="42"/>
            </w:pPr>
          </w:p>
        </w:tc>
        <w:tc>
          <w:tcPr>
            <w:tcW w:w="709" w:type="dxa"/>
            <w:vMerge w:val="continue"/>
            <w:tcBorders>
              <w:top w:val="single" w:color="auto" w:sz="4" w:space="0"/>
              <w:bottom w:val="single" w:color="auto" w:sz="4" w:space="0"/>
            </w:tcBorders>
            <w:vAlign w:val="center"/>
          </w:tcPr>
          <w:p>
            <w:pPr>
              <w:pStyle w:val="42"/>
              <w:jc w:val="center"/>
            </w:pPr>
          </w:p>
        </w:tc>
        <w:tc>
          <w:tcPr>
            <w:tcW w:w="567" w:type="dxa"/>
            <w:tcBorders>
              <w:bottom w:val="single" w:color="auto" w:sz="4" w:space="0"/>
            </w:tcBorders>
            <w:shd w:val="clear" w:color="auto" w:fill="auto"/>
            <w:vAlign w:val="center"/>
          </w:tcPr>
          <w:p>
            <w:pPr>
              <w:pStyle w:val="42"/>
              <w:jc w:val="center"/>
            </w:pPr>
            <w:r>
              <w:rPr>
                <w:rFonts w:hint="eastAsia"/>
              </w:rPr>
              <w:t>10</w:t>
            </w:r>
          </w:p>
        </w:tc>
        <w:tc>
          <w:tcPr>
            <w:tcW w:w="3260" w:type="dxa"/>
            <w:tcBorders>
              <w:bottom w:val="single" w:color="auto" w:sz="4" w:space="0"/>
            </w:tcBorders>
            <w:shd w:val="clear" w:color="auto" w:fill="auto"/>
            <w:vAlign w:val="center"/>
          </w:tcPr>
          <w:p>
            <w:pPr>
              <w:pStyle w:val="42"/>
              <w:jc w:val="center"/>
            </w:pPr>
            <w:r>
              <w:rPr>
                <w:rFonts w:hint="eastAsia"/>
              </w:rPr>
              <w:t>宣传内容生成团队</w:t>
            </w:r>
          </w:p>
        </w:tc>
        <w:tc>
          <w:tcPr>
            <w:tcW w:w="806" w:type="dxa"/>
            <w:tcBorders>
              <w:bottom w:val="single" w:color="auto" w:sz="4" w:space="0"/>
            </w:tcBorders>
            <w:shd w:val="clear" w:color="auto" w:fill="auto"/>
            <w:vAlign w:val="center"/>
          </w:tcPr>
          <w:p>
            <w:pPr>
              <w:pStyle w:val="42"/>
              <w:jc w:val="center"/>
            </w:pPr>
            <w:r>
              <w:rPr>
                <w:rFonts w:hint="eastAsia"/>
              </w:rPr>
              <w:t>个</w:t>
            </w:r>
          </w:p>
        </w:tc>
        <w:tc>
          <w:tcPr>
            <w:tcW w:w="741" w:type="dxa"/>
            <w:tcBorders>
              <w:bottom w:val="single" w:color="auto" w:sz="4" w:space="0"/>
            </w:tcBorders>
            <w:shd w:val="clear" w:color="auto" w:fill="auto"/>
            <w:vAlign w:val="center"/>
          </w:tcPr>
          <w:p>
            <w:pPr>
              <w:pStyle w:val="42"/>
              <w:jc w:val="center"/>
            </w:pPr>
            <w:r>
              <w:rPr>
                <w:rFonts w:hint="eastAsia"/>
              </w:rPr>
              <w:t>1</w:t>
            </w:r>
          </w:p>
        </w:tc>
        <w:tc>
          <w:tcPr>
            <w:tcW w:w="741" w:type="dxa"/>
            <w:tcBorders>
              <w:bottom w:val="single" w:color="auto" w:sz="4" w:space="0"/>
            </w:tcBorders>
            <w:shd w:val="clear" w:color="auto" w:fill="auto"/>
            <w:vAlign w:val="center"/>
          </w:tcPr>
          <w:p>
            <w:pPr>
              <w:pStyle w:val="42"/>
              <w:jc w:val="center"/>
            </w:pPr>
            <w:r>
              <w:rPr>
                <w:rFonts w:hint="eastAsia"/>
              </w:rPr>
              <w:t>2</w:t>
            </w:r>
          </w:p>
        </w:tc>
        <w:tc>
          <w:tcPr>
            <w:tcW w:w="972" w:type="dxa"/>
            <w:tcBorders>
              <w:bottom w:val="single" w:color="auto" w:sz="4" w:space="0"/>
            </w:tcBorders>
            <w:shd w:val="clear" w:color="auto" w:fill="auto"/>
            <w:vAlign w:val="center"/>
          </w:tcPr>
          <w:p>
            <w:pPr>
              <w:pStyle w:val="42"/>
              <w:jc w:val="center"/>
            </w:pPr>
            <w:r>
              <w:rPr>
                <w:rFonts w:hint="eastAsia"/>
              </w:rPr>
              <w:t>预期性</w:t>
            </w:r>
          </w:p>
        </w:tc>
      </w:tr>
      <w:tr>
        <w:trPr>
          <w:trHeight w:val="107" w:hRule="atLeast"/>
          <w:jc w:val="center"/>
        </w:trPr>
        <w:tc>
          <w:tcPr>
            <w:tcW w:w="567" w:type="dxa"/>
            <w:vMerge w:val="restart"/>
            <w:tcBorders>
              <w:top w:val="single" w:color="auto" w:sz="4" w:space="0"/>
              <w:bottom w:val="single" w:color="auto" w:sz="4" w:space="0"/>
            </w:tcBorders>
            <w:shd w:val="clear" w:color="auto" w:fill="auto"/>
            <w:vAlign w:val="center"/>
          </w:tcPr>
          <w:p>
            <w:pPr>
              <w:pStyle w:val="42"/>
            </w:pPr>
            <w:r>
              <w:rPr>
                <w:rFonts w:hint="eastAsia"/>
              </w:rPr>
              <w:t>旅游发展</w:t>
            </w:r>
          </w:p>
        </w:tc>
        <w:tc>
          <w:tcPr>
            <w:tcW w:w="851" w:type="dxa"/>
            <w:gridSpan w:val="2"/>
            <w:vMerge w:val="restart"/>
            <w:tcBorders>
              <w:top w:val="single" w:color="auto" w:sz="4" w:space="0"/>
              <w:bottom w:val="single" w:color="auto" w:sz="4" w:space="0"/>
            </w:tcBorders>
            <w:shd w:val="clear" w:color="auto" w:fill="auto"/>
            <w:vAlign w:val="center"/>
          </w:tcPr>
          <w:p>
            <w:pPr>
              <w:pStyle w:val="42"/>
              <w:jc w:val="center"/>
            </w:pPr>
            <w:r>
              <w:rPr>
                <w:rFonts w:hint="eastAsia"/>
              </w:rPr>
              <w:t>旅游经济总量</w:t>
            </w:r>
          </w:p>
        </w:tc>
        <w:tc>
          <w:tcPr>
            <w:tcW w:w="567" w:type="dxa"/>
            <w:tcBorders>
              <w:top w:val="single" w:color="auto" w:sz="4" w:space="0"/>
            </w:tcBorders>
            <w:shd w:val="clear" w:color="auto" w:fill="auto"/>
            <w:vAlign w:val="center"/>
          </w:tcPr>
          <w:p>
            <w:pPr>
              <w:pStyle w:val="42"/>
              <w:jc w:val="center"/>
            </w:pPr>
            <w:r>
              <w:rPr>
                <w:rFonts w:hint="eastAsia"/>
              </w:rPr>
              <w:t>11</w:t>
            </w:r>
          </w:p>
        </w:tc>
        <w:tc>
          <w:tcPr>
            <w:tcW w:w="3260" w:type="dxa"/>
            <w:tcBorders>
              <w:top w:val="single" w:color="auto" w:sz="4" w:space="0"/>
            </w:tcBorders>
            <w:shd w:val="clear" w:color="auto" w:fill="auto"/>
            <w:vAlign w:val="center"/>
          </w:tcPr>
          <w:p>
            <w:pPr>
              <w:pStyle w:val="42"/>
              <w:jc w:val="center"/>
            </w:pPr>
            <w:r>
              <w:rPr>
                <w:rFonts w:hint="eastAsia"/>
              </w:rPr>
              <w:t>旅游产业增加值</w:t>
            </w:r>
          </w:p>
        </w:tc>
        <w:tc>
          <w:tcPr>
            <w:tcW w:w="806" w:type="dxa"/>
            <w:tcBorders>
              <w:top w:val="single" w:color="auto" w:sz="4" w:space="0"/>
            </w:tcBorders>
            <w:shd w:val="clear" w:color="auto" w:fill="auto"/>
            <w:vAlign w:val="center"/>
          </w:tcPr>
          <w:p>
            <w:pPr>
              <w:pStyle w:val="42"/>
              <w:jc w:val="center"/>
            </w:pPr>
            <w:r>
              <w:rPr>
                <w:rFonts w:hint="eastAsia"/>
              </w:rPr>
              <w:t>亿元</w:t>
            </w:r>
          </w:p>
        </w:tc>
        <w:tc>
          <w:tcPr>
            <w:tcW w:w="741" w:type="dxa"/>
            <w:tcBorders>
              <w:top w:val="single" w:color="auto" w:sz="4" w:space="0"/>
            </w:tcBorders>
            <w:shd w:val="clear" w:color="auto" w:fill="auto"/>
            <w:vAlign w:val="center"/>
          </w:tcPr>
          <w:p>
            <w:pPr>
              <w:pStyle w:val="42"/>
              <w:jc w:val="center"/>
            </w:pPr>
            <w:r>
              <w:rPr>
                <w:rFonts w:hint="eastAsia"/>
              </w:rPr>
              <w:t>22.8</w:t>
            </w:r>
          </w:p>
        </w:tc>
        <w:tc>
          <w:tcPr>
            <w:tcW w:w="741" w:type="dxa"/>
            <w:tcBorders>
              <w:top w:val="single" w:color="auto" w:sz="4" w:space="0"/>
            </w:tcBorders>
            <w:shd w:val="clear" w:color="auto" w:fill="auto"/>
            <w:vAlign w:val="center"/>
          </w:tcPr>
          <w:p>
            <w:pPr>
              <w:pStyle w:val="42"/>
              <w:jc w:val="center"/>
            </w:pPr>
            <w:r>
              <w:rPr>
                <w:rFonts w:hint="eastAsia"/>
              </w:rPr>
              <w:t>35</w:t>
            </w:r>
          </w:p>
        </w:tc>
        <w:tc>
          <w:tcPr>
            <w:tcW w:w="972" w:type="dxa"/>
            <w:tcBorders>
              <w:top w:val="single" w:color="auto" w:sz="4" w:space="0"/>
            </w:tcBorders>
            <w:shd w:val="clear" w:color="auto" w:fill="auto"/>
            <w:vAlign w:val="center"/>
          </w:tcPr>
          <w:p>
            <w:pPr>
              <w:pStyle w:val="42"/>
              <w:jc w:val="center"/>
            </w:pPr>
            <w:r>
              <w:rPr>
                <w:rFonts w:hint="eastAsia"/>
              </w:rPr>
              <w:t>预期性</w:t>
            </w:r>
          </w:p>
        </w:tc>
      </w:tr>
      <w:tr>
        <w:trPr>
          <w:trHeight w:val="73"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shd w:val="clear" w:color="auto" w:fill="auto"/>
            <w:vAlign w:val="center"/>
          </w:tcPr>
          <w:p>
            <w:pPr>
              <w:pStyle w:val="42"/>
              <w:jc w:val="center"/>
            </w:pPr>
            <w:r>
              <w:rPr>
                <w:rFonts w:hint="eastAsia"/>
              </w:rPr>
              <w:t>12</w:t>
            </w:r>
          </w:p>
        </w:tc>
        <w:tc>
          <w:tcPr>
            <w:tcW w:w="3260" w:type="dxa"/>
            <w:shd w:val="clear" w:color="auto" w:fill="auto"/>
            <w:vAlign w:val="center"/>
          </w:tcPr>
          <w:p>
            <w:pPr>
              <w:pStyle w:val="42"/>
              <w:jc w:val="center"/>
            </w:pPr>
            <w:r>
              <w:rPr>
                <w:rFonts w:hint="eastAsia"/>
              </w:rPr>
              <w:t>旅游增加值占全县</w:t>
            </w:r>
            <w:r>
              <w:rPr>
                <w:rFonts w:hint="eastAsia"/>
                <w:color w:val="000000" w:themeColor="text1"/>
                <w14:textFill>
                  <w14:solidFill>
                    <w14:schemeClr w14:val="tx1"/>
                  </w14:solidFill>
                </w14:textFill>
              </w:rPr>
              <w:t>GDP</w:t>
            </w:r>
            <w:r>
              <w:rPr>
                <w:rFonts w:hint="eastAsia"/>
              </w:rPr>
              <w:t>比重</w:t>
            </w:r>
          </w:p>
        </w:tc>
        <w:tc>
          <w:tcPr>
            <w:tcW w:w="806" w:type="dxa"/>
            <w:shd w:val="clear" w:color="auto" w:fill="auto"/>
            <w:vAlign w:val="center"/>
          </w:tcPr>
          <w:p>
            <w:pPr>
              <w:pStyle w:val="42"/>
              <w:jc w:val="center"/>
            </w:pPr>
            <w:r>
              <w:rPr>
                <w:rFonts w:hint="eastAsia"/>
              </w:rPr>
              <w:t>%</w:t>
            </w:r>
          </w:p>
        </w:tc>
        <w:tc>
          <w:tcPr>
            <w:tcW w:w="741" w:type="dxa"/>
            <w:shd w:val="clear" w:color="auto" w:fill="auto"/>
            <w:vAlign w:val="center"/>
          </w:tcPr>
          <w:p>
            <w:pPr>
              <w:pStyle w:val="42"/>
              <w:jc w:val="center"/>
            </w:pPr>
            <w:r>
              <w:rPr>
                <w:rFonts w:hint="eastAsia"/>
              </w:rPr>
              <w:t>4.7</w:t>
            </w:r>
          </w:p>
        </w:tc>
        <w:tc>
          <w:tcPr>
            <w:tcW w:w="741" w:type="dxa"/>
            <w:shd w:val="clear" w:color="auto" w:fill="auto"/>
            <w:vAlign w:val="center"/>
          </w:tcPr>
          <w:p>
            <w:pPr>
              <w:pStyle w:val="42"/>
              <w:jc w:val="center"/>
            </w:pPr>
            <w:r>
              <w:rPr>
                <w:rFonts w:hint="eastAsia"/>
              </w:rPr>
              <w:t>5.2</w:t>
            </w:r>
          </w:p>
        </w:tc>
        <w:tc>
          <w:tcPr>
            <w:tcW w:w="972" w:type="dxa"/>
            <w:shd w:val="clear" w:color="auto" w:fill="auto"/>
            <w:vAlign w:val="center"/>
          </w:tcPr>
          <w:p>
            <w:pPr>
              <w:pStyle w:val="42"/>
              <w:jc w:val="center"/>
            </w:pPr>
            <w:r>
              <w:rPr>
                <w:rFonts w:hint="eastAsia"/>
              </w:rPr>
              <w:t>预期性</w:t>
            </w:r>
          </w:p>
        </w:tc>
      </w:tr>
      <w:tr>
        <w:trPr>
          <w:trHeight w:val="159"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shd w:val="clear" w:color="auto" w:fill="auto"/>
            <w:vAlign w:val="center"/>
          </w:tcPr>
          <w:p>
            <w:pPr>
              <w:pStyle w:val="42"/>
              <w:jc w:val="center"/>
            </w:pPr>
            <w:r>
              <w:rPr>
                <w:rFonts w:hint="eastAsia"/>
              </w:rPr>
              <w:t>13</w:t>
            </w:r>
          </w:p>
        </w:tc>
        <w:tc>
          <w:tcPr>
            <w:tcW w:w="3260" w:type="dxa"/>
            <w:shd w:val="clear" w:color="auto" w:fill="auto"/>
            <w:vAlign w:val="center"/>
          </w:tcPr>
          <w:p>
            <w:pPr>
              <w:pStyle w:val="42"/>
              <w:jc w:val="center"/>
            </w:pPr>
            <w:r>
              <w:rPr>
                <w:rFonts w:hint="eastAsia"/>
              </w:rPr>
              <w:t>接待国内外游客数量</w:t>
            </w:r>
          </w:p>
        </w:tc>
        <w:tc>
          <w:tcPr>
            <w:tcW w:w="806" w:type="dxa"/>
            <w:shd w:val="clear" w:color="auto" w:fill="auto"/>
            <w:vAlign w:val="center"/>
          </w:tcPr>
          <w:p>
            <w:pPr>
              <w:pStyle w:val="42"/>
              <w:jc w:val="center"/>
            </w:pPr>
            <w:r>
              <w:rPr>
                <w:rFonts w:hint="eastAsia"/>
              </w:rPr>
              <w:t>万人</w:t>
            </w:r>
          </w:p>
        </w:tc>
        <w:tc>
          <w:tcPr>
            <w:tcW w:w="741" w:type="dxa"/>
            <w:shd w:val="clear" w:color="auto" w:fill="auto"/>
            <w:vAlign w:val="center"/>
          </w:tcPr>
          <w:p>
            <w:pPr>
              <w:pStyle w:val="42"/>
              <w:jc w:val="center"/>
            </w:pPr>
            <w:r>
              <w:rPr>
                <w:rFonts w:hint="eastAsia"/>
              </w:rPr>
              <w:t>1892</w:t>
            </w:r>
          </w:p>
        </w:tc>
        <w:tc>
          <w:tcPr>
            <w:tcW w:w="741" w:type="dxa"/>
            <w:shd w:val="clear" w:color="auto" w:fill="auto"/>
            <w:vAlign w:val="center"/>
          </w:tcPr>
          <w:p>
            <w:pPr>
              <w:pStyle w:val="42"/>
              <w:jc w:val="center"/>
            </w:pPr>
            <w:r>
              <w:rPr>
                <w:rFonts w:hint="eastAsia"/>
              </w:rPr>
              <w:t>3300</w:t>
            </w:r>
          </w:p>
        </w:tc>
        <w:tc>
          <w:tcPr>
            <w:tcW w:w="972" w:type="dxa"/>
            <w:shd w:val="clear" w:color="auto" w:fill="auto"/>
            <w:vAlign w:val="center"/>
          </w:tcPr>
          <w:p>
            <w:pPr>
              <w:pStyle w:val="42"/>
              <w:jc w:val="center"/>
            </w:pPr>
            <w:r>
              <w:rPr>
                <w:rFonts w:hint="eastAsia"/>
              </w:rPr>
              <w:t>预期性</w:t>
            </w:r>
          </w:p>
        </w:tc>
      </w:tr>
      <w:tr>
        <w:trPr>
          <w:trHeight w:val="108"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tcBorders>
              <w:bottom w:val="single" w:color="auto" w:sz="4" w:space="0"/>
            </w:tcBorders>
            <w:shd w:val="clear" w:color="auto" w:fill="auto"/>
            <w:vAlign w:val="center"/>
          </w:tcPr>
          <w:p>
            <w:pPr>
              <w:pStyle w:val="42"/>
              <w:jc w:val="center"/>
            </w:pPr>
            <w:r>
              <w:rPr>
                <w:rFonts w:hint="eastAsia"/>
              </w:rPr>
              <w:t>14</w:t>
            </w:r>
          </w:p>
        </w:tc>
        <w:tc>
          <w:tcPr>
            <w:tcW w:w="3260" w:type="dxa"/>
            <w:tcBorders>
              <w:bottom w:val="single" w:color="auto" w:sz="4" w:space="0"/>
            </w:tcBorders>
            <w:shd w:val="clear" w:color="auto" w:fill="auto"/>
            <w:vAlign w:val="center"/>
          </w:tcPr>
          <w:p>
            <w:pPr>
              <w:pStyle w:val="42"/>
              <w:jc w:val="center"/>
            </w:pPr>
            <w:r>
              <w:rPr>
                <w:rFonts w:hint="eastAsia"/>
              </w:rPr>
              <w:t>过夜游客总人数</w:t>
            </w:r>
          </w:p>
        </w:tc>
        <w:tc>
          <w:tcPr>
            <w:tcW w:w="806" w:type="dxa"/>
            <w:tcBorders>
              <w:bottom w:val="single" w:color="auto" w:sz="4" w:space="0"/>
            </w:tcBorders>
            <w:shd w:val="clear" w:color="auto" w:fill="auto"/>
            <w:vAlign w:val="center"/>
          </w:tcPr>
          <w:p>
            <w:pPr>
              <w:pStyle w:val="42"/>
              <w:jc w:val="center"/>
            </w:pPr>
            <w:r>
              <w:rPr>
                <w:rFonts w:hint="eastAsia"/>
              </w:rPr>
              <w:t>万人</w:t>
            </w:r>
          </w:p>
        </w:tc>
        <w:tc>
          <w:tcPr>
            <w:tcW w:w="741" w:type="dxa"/>
            <w:tcBorders>
              <w:bottom w:val="single" w:color="auto" w:sz="4" w:space="0"/>
            </w:tcBorders>
            <w:shd w:val="clear" w:color="auto" w:fill="auto"/>
            <w:vAlign w:val="center"/>
          </w:tcPr>
          <w:p>
            <w:pPr>
              <w:pStyle w:val="42"/>
              <w:jc w:val="center"/>
            </w:pPr>
            <w:r>
              <w:rPr>
                <w:rFonts w:hint="eastAsia"/>
              </w:rPr>
              <w:t>88.26</w:t>
            </w:r>
          </w:p>
        </w:tc>
        <w:tc>
          <w:tcPr>
            <w:tcW w:w="741" w:type="dxa"/>
            <w:tcBorders>
              <w:bottom w:val="single" w:color="auto" w:sz="4" w:space="0"/>
            </w:tcBorders>
            <w:shd w:val="clear" w:color="auto" w:fill="auto"/>
            <w:vAlign w:val="center"/>
          </w:tcPr>
          <w:p>
            <w:pPr>
              <w:pStyle w:val="42"/>
              <w:jc w:val="center"/>
            </w:pPr>
            <w:r>
              <w:rPr>
                <w:rFonts w:hint="eastAsia"/>
              </w:rPr>
              <w:t>200</w:t>
            </w:r>
          </w:p>
        </w:tc>
        <w:tc>
          <w:tcPr>
            <w:tcW w:w="972" w:type="dxa"/>
            <w:tcBorders>
              <w:bottom w:val="single" w:color="auto" w:sz="4" w:space="0"/>
            </w:tcBorders>
            <w:shd w:val="clear" w:color="auto" w:fill="auto"/>
            <w:vAlign w:val="center"/>
          </w:tcPr>
          <w:p>
            <w:pPr>
              <w:pStyle w:val="42"/>
              <w:jc w:val="center"/>
            </w:pPr>
            <w:r>
              <w:rPr>
                <w:rFonts w:hint="eastAsia"/>
              </w:rPr>
              <w:t>预期性</w:t>
            </w:r>
          </w:p>
        </w:tc>
      </w:tr>
      <w:tr>
        <w:trPr>
          <w:trHeight w:val="212"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restart"/>
            <w:tcBorders>
              <w:top w:val="single" w:color="auto" w:sz="4" w:space="0"/>
            </w:tcBorders>
            <w:shd w:val="clear" w:color="auto" w:fill="auto"/>
            <w:vAlign w:val="center"/>
          </w:tcPr>
          <w:p>
            <w:pPr>
              <w:pStyle w:val="42"/>
              <w:jc w:val="center"/>
            </w:pPr>
            <w:r>
              <w:rPr>
                <w:rFonts w:hint="eastAsia"/>
              </w:rPr>
              <w:t>旅游吸引能力</w:t>
            </w:r>
          </w:p>
        </w:tc>
        <w:tc>
          <w:tcPr>
            <w:tcW w:w="567" w:type="dxa"/>
            <w:tcBorders>
              <w:top w:val="single" w:color="auto" w:sz="4" w:space="0"/>
            </w:tcBorders>
            <w:shd w:val="clear" w:color="auto" w:fill="auto"/>
            <w:vAlign w:val="center"/>
          </w:tcPr>
          <w:p>
            <w:pPr>
              <w:pStyle w:val="42"/>
              <w:jc w:val="center"/>
            </w:pPr>
            <w:r>
              <w:rPr>
                <w:rFonts w:hint="eastAsia"/>
              </w:rPr>
              <w:t>15</w:t>
            </w:r>
          </w:p>
        </w:tc>
        <w:tc>
          <w:tcPr>
            <w:tcW w:w="3260" w:type="dxa"/>
            <w:tcBorders>
              <w:top w:val="single" w:color="auto" w:sz="4" w:space="0"/>
            </w:tcBorders>
            <w:shd w:val="clear" w:color="auto" w:fill="auto"/>
            <w:vAlign w:val="center"/>
          </w:tcPr>
          <w:p>
            <w:pPr>
              <w:pStyle w:val="42"/>
              <w:jc w:val="center"/>
            </w:pPr>
            <w:r>
              <w:rPr>
                <w:rFonts w:hint="eastAsia"/>
              </w:rPr>
              <w:t>市级以上旅游度假区数量</w:t>
            </w:r>
          </w:p>
        </w:tc>
        <w:tc>
          <w:tcPr>
            <w:tcW w:w="806" w:type="dxa"/>
            <w:tcBorders>
              <w:top w:val="single" w:color="auto" w:sz="4" w:space="0"/>
            </w:tcBorders>
            <w:shd w:val="clear" w:color="auto" w:fill="auto"/>
            <w:vAlign w:val="center"/>
          </w:tcPr>
          <w:p>
            <w:pPr>
              <w:pStyle w:val="42"/>
              <w:jc w:val="center"/>
            </w:pPr>
            <w:r>
              <w:rPr>
                <w:rFonts w:hint="eastAsia"/>
              </w:rPr>
              <w:t>个</w:t>
            </w:r>
          </w:p>
        </w:tc>
        <w:tc>
          <w:tcPr>
            <w:tcW w:w="741" w:type="dxa"/>
            <w:tcBorders>
              <w:top w:val="single" w:color="auto" w:sz="4" w:space="0"/>
            </w:tcBorders>
            <w:shd w:val="clear" w:color="auto" w:fill="auto"/>
            <w:vAlign w:val="center"/>
          </w:tcPr>
          <w:p>
            <w:pPr>
              <w:pStyle w:val="42"/>
              <w:jc w:val="center"/>
            </w:pPr>
            <w:r>
              <w:rPr>
                <w:rFonts w:hint="eastAsia"/>
              </w:rPr>
              <w:t>1</w:t>
            </w:r>
          </w:p>
        </w:tc>
        <w:tc>
          <w:tcPr>
            <w:tcW w:w="741" w:type="dxa"/>
            <w:tcBorders>
              <w:top w:val="single" w:color="auto" w:sz="4" w:space="0"/>
            </w:tcBorders>
            <w:shd w:val="clear" w:color="auto" w:fill="auto"/>
            <w:vAlign w:val="center"/>
          </w:tcPr>
          <w:p>
            <w:pPr>
              <w:pStyle w:val="42"/>
              <w:jc w:val="center"/>
            </w:pPr>
            <w:r>
              <w:rPr>
                <w:rFonts w:hint="eastAsia"/>
              </w:rPr>
              <w:t>3</w:t>
            </w:r>
          </w:p>
        </w:tc>
        <w:tc>
          <w:tcPr>
            <w:tcW w:w="972" w:type="dxa"/>
            <w:tcBorders>
              <w:top w:val="single" w:color="auto" w:sz="4" w:space="0"/>
            </w:tcBorders>
            <w:shd w:val="clear" w:color="auto" w:fill="auto"/>
            <w:vAlign w:val="center"/>
          </w:tcPr>
          <w:p>
            <w:pPr>
              <w:pStyle w:val="42"/>
              <w:jc w:val="center"/>
            </w:pPr>
            <w:r>
              <w:rPr>
                <w:rFonts w:hint="eastAsia"/>
              </w:rPr>
              <w:t>预期性</w:t>
            </w:r>
          </w:p>
        </w:tc>
      </w:tr>
      <w:tr>
        <w:trPr>
          <w:trHeight w:val="160"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bottom w:val="single" w:color="auto" w:sz="4" w:space="0"/>
            </w:tcBorders>
            <w:vAlign w:val="center"/>
          </w:tcPr>
          <w:p>
            <w:pPr>
              <w:pStyle w:val="42"/>
              <w:jc w:val="center"/>
            </w:pPr>
          </w:p>
        </w:tc>
        <w:tc>
          <w:tcPr>
            <w:tcW w:w="567" w:type="dxa"/>
            <w:shd w:val="clear" w:color="auto" w:fill="auto"/>
            <w:vAlign w:val="center"/>
          </w:tcPr>
          <w:p>
            <w:pPr>
              <w:pStyle w:val="42"/>
              <w:jc w:val="center"/>
            </w:pPr>
            <w:r>
              <w:rPr>
                <w:rFonts w:hint="eastAsia"/>
              </w:rPr>
              <w:t>16</w:t>
            </w:r>
          </w:p>
        </w:tc>
        <w:tc>
          <w:tcPr>
            <w:tcW w:w="3260" w:type="dxa"/>
            <w:shd w:val="clear" w:color="auto" w:fill="auto"/>
            <w:vAlign w:val="center"/>
          </w:tcPr>
          <w:p>
            <w:pPr>
              <w:pStyle w:val="42"/>
              <w:jc w:val="center"/>
            </w:pPr>
            <w:r>
              <w:rPr>
                <w:rFonts w:hint="eastAsia"/>
              </w:rPr>
              <w:t>国家4A级及其以上景区数量</w:t>
            </w:r>
          </w:p>
        </w:tc>
        <w:tc>
          <w:tcPr>
            <w:tcW w:w="806" w:type="dxa"/>
            <w:shd w:val="clear" w:color="auto" w:fill="auto"/>
            <w:vAlign w:val="center"/>
          </w:tcPr>
          <w:p>
            <w:pPr>
              <w:pStyle w:val="42"/>
              <w:jc w:val="center"/>
            </w:pPr>
            <w:r>
              <w:rPr>
                <w:rFonts w:hint="eastAsia"/>
              </w:rPr>
              <w:t>个</w:t>
            </w:r>
          </w:p>
        </w:tc>
        <w:tc>
          <w:tcPr>
            <w:tcW w:w="741" w:type="dxa"/>
            <w:shd w:val="clear" w:color="auto" w:fill="auto"/>
            <w:vAlign w:val="center"/>
          </w:tcPr>
          <w:p>
            <w:pPr>
              <w:pStyle w:val="42"/>
              <w:jc w:val="center"/>
            </w:pPr>
            <w:r>
              <w:rPr>
                <w:rFonts w:hint="eastAsia"/>
              </w:rPr>
              <w:t>4</w:t>
            </w:r>
          </w:p>
        </w:tc>
        <w:tc>
          <w:tcPr>
            <w:tcW w:w="741" w:type="dxa"/>
            <w:shd w:val="clear" w:color="auto" w:fill="auto"/>
            <w:vAlign w:val="center"/>
          </w:tcPr>
          <w:p>
            <w:pPr>
              <w:pStyle w:val="42"/>
              <w:jc w:val="center"/>
            </w:pPr>
            <w:r>
              <w:rPr>
                <w:rFonts w:hint="eastAsia"/>
              </w:rPr>
              <w:t>8</w:t>
            </w:r>
          </w:p>
        </w:tc>
        <w:tc>
          <w:tcPr>
            <w:tcW w:w="972" w:type="dxa"/>
            <w:shd w:val="clear" w:color="auto" w:fill="auto"/>
            <w:vAlign w:val="center"/>
          </w:tcPr>
          <w:p>
            <w:pPr>
              <w:pStyle w:val="42"/>
              <w:jc w:val="center"/>
            </w:pPr>
            <w:r>
              <w:rPr>
                <w:rFonts w:hint="eastAsia"/>
              </w:rPr>
              <w:t>预期性</w:t>
            </w:r>
          </w:p>
        </w:tc>
      </w:tr>
      <w:tr>
        <w:trPr>
          <w:trHeight w:val="60"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tcBorders>
              <w:bottom w:val="single" w:color="auto" w:sz="4" w:space="0"/>
            </w:tcBorders>
            <w:shd w:val="clear" w:color="auto" w:fill="auto"/>
            <w:vAlign w:val="center"/>
          </w:tcPr>
          <w:p>
            <w:pPr>
              <w:pStyle w:val="42"/>
              <w:jc w:val="center"/>
            </w:pPr>
            <w:r>
              <w:rPr>
                <w:rFonts w:hint="eastAsia"/>
              </w:rPr>
              <w:t>17</w:t>
            </w:r>
          </w:p>
        </w:tc>
        <w:tc>
          <w:tcPr>
            <w:tcW w:w="3260" w:type="dxa"/>
            <w:tcBorders>
              <w:bottom w:val="single" w:color="auto" w:sz="4" w:space="0"/>
            </w:tcBorders>
            <w:shd w:val="clear" w:color="auto" w:fill="auto"/>
            <w:vAlign w:val="center"/>
          </w:tcPr>
          <w:p>
            <w:pPr>
              <w:pStyle w:val="42"/>
              <w:jc w:val="center"/>
            </w:pPr>
            <w:r>
              <w:rPr>
                <w:rFonts w:hint="eastAsia"/>
              </w:rPr>
              <w:t>国家级旅游度假区</w:t>
            </w:r>
          </w:p>
        </w:tc>
        <w:tc>
          <w:tcPr>
            <w:tcW w:w="806" w:type="dxa"/>
            <w:tcBorders>
              <w:bottom w:val="single" w:color="auto" w:sz="4" w:space="0"/>
            </w:tcBorders>
            <w:shd w:val="clear" w:color="auto" w:fill="auto"/>
            <w:vAlign w:val="center"/>
          </w:tcPr>
          <w:p>
            <w:pPr>
              <w:pStyle w:val="42"/>
              <w:jc w:val="center"/>
            </w:pPr>
            <w:r>
              <w:rPr>
                <w:rFonts w:hint="eastAsia"/>
              </w:rPr>
              <w:t>个</w:t>
            </w:r>
          </w:p>
        </w:tc>
        <w:tc>
          <w:tcPr>
            <w:tcW w:w="741" w:type="dxa"/>
            <w:tcBorders>
              <w:bottom w:val="single" w:color="auto" w:sz="4" w:space="0"/>
            </w:tcBorders>
            <w:shd w:val="clear" w:color="auto" w:fill="auto"/>
            <w:vAlign w:val="center"/>
          </w:tcPr>
          <w:p>
            <w:pPr>
              <w:pStyle w:val="42"/>
              <w:jc w:val="center"/>
            </w:pPr>
            <w:r>
              <w:rPr>
                <w:rFonts w:hint="eastAsia"/>
              </w:rPr>
              <w:t>0</w:t>
            </w:r>
          </w:p>
        </w:tc>
        <w:tc>
          <w:tcPr>
            <w:tcW w:w="741" w:type="dxa"/>
            <w:tcBorders>
              <w:bottom w:val="single" w:color="auto" w:sz="4" w:space="0"/>
            </w:tcBorders>
            <w:shd w:val="clear" w:color="auto" w:fill="auto"/>
            <w:vAlign w:val="center"/>
          </w:tcPr>
          <w:p>
            <w:pPr>
              <w:pStyle w:val="42"/>
              <w:jc w:val="center"/>
            </w:pPr>
            <w:r>
              <w:rPr>
                <w:rFonts w:hint="eastAsia"/>
              </w:rPr>
              <w:t>1</w:t>
            </w:r>
          </w:p>
        </w:tc>
        <w:tc>
          <w:tcPr>
            <w:tcW w:w="972" w:type="dxa"/>
            <w:tcBorders>
              <w:bottom w:val="single" w:color="auto" w:sz="4" w:space="0"/>
            </w:tcBorders>
            <w:shd w:val="clear" w:color="auto" w:fill="auto"/>
            <w:vAlign w:val="center"/>
          </w:tcPr>
          <w:p>
            <w:pPr>
              <w:pStyle w:val="42"/>
              <w:jc w:val="center"/>
            </w:pPr>
            <w:r>
              <w:rPr>
                <w:rFonts w:hint="eastAsia"/>
              </w:rPr>
              <w:t>预期性</w:t>
            </w:r>
          </w:p>
        </w:tc>
      </w:tr>
      <w:tr>
        <w:trPr>
          <w:trHeight w:val="197"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restart"/>
            <w:tcBorders>
              <w:top w:val="single" w:color="auto" w:sz="4" w:space="0"/>
              <w:bottom w:val="single" w:color="auto" w:sz="4" w:space="0"/>
            </w:tcBorders>
            <w:shd w:val="clear" w:color="auto" w:fill="auto"/>
            <w:vAlign w:val="center"/>
          </w:tcPr>
          <w:p>
            <w:pPr>
              <w:pStyle w:val="42"/>
              <w:jc w:val="center"/>
            </w:pPr>
            <w:r>
              <w:rPr>
                <w:rFonts w:hint="eastAsia"/>
              </w:rPr>
              <w:t>旅游接待服务</w:t>
            </w:r>
          </w:p>
        </w:tc>
        <w:tc>
          <w:tcPr>
            <w:tcW w:w="567" w:type="dxa"/>
            <w:tcBorders>
              <w:top w:val="single" w:color="auto" w:sz="4" w:space="0"/>
            </w:tcBorders>
            <w:shd w:val="clear" w:color="auto" w:fill="auto"/>
            <w:vAlign w:val="center"/>
          </w:tcPr>
          <w:p>
            <w:pPr>
              <w:pStyle w:val="42"/>
              <w:jc w:val="center"/>
            </w:pPr>
            <w:r>
              <w:rPr>
                <w:rFonts w:hint="eastAsia"/>
              </w:rPr>
              <w:t>18</w:t>
            </w:r>
          </w:p>
        </w:tc>
        <w:tc>
          <w:tcPr>
            <w:tcW w:w="3260" w:type="dxa"/>
            <w:tcBorders>
              <w:top w:val="single" w:color="auto" w:sz="4" w:space="0"/>
            </w:tcBorders>
            <w:shd w:val="clear" w:color="auto" w:fill="auto"/>
            <w:vAlign w:val="center"/>
          </w:tcPr>
          <w:p>
            <w:pPr>
              <w:pStyle w:val="42"/>
              <w:jc w:val="center"/>
            </w:pPr>
            <w:r>
              <w:rPr>
                <w:rFonts w:hint="eastAsia"/>
              </w:rPr>
              <w:t>五星级标准建设的旅游饭店</w:t>
            </w:r>
          </w:p>
        </w:tc>
        <w:tc>
          <w:tcPr>
            <w:tcW w:w="806" w:type="dxa"/>
            <w:tcBorders>
              <w:top w:val="single" w:color="auto" w:sz="4" w:space="0"/>
            </w:tcBorders>
            <w:shd w:val="clear" w:color="auto" w:fill="auto"/>
            <w:vAlign w:val="center"/>
          </w:tcPr>
          <w:p>
            <w:pPr>
              <w:pStyle w:val="42"/>
              <w:jc w:val="center"/>
            </w:pPr>
            <w:r>
              <w:rPr>
                <w:rFonts w:hint="eastAsia"/>
              </w:rPr>
              <w:t>家</w:t>
            </w:r>
          </w:p>
        </w:tc>
        <w:tc>
          <w:tcPr>
            <w:tcW w:w="741" w:type="dxa"/>
            <w:tcBorders>
              <w:top w:val="single" w:color="auto" w:sz="4" w:space="0"/>
            </w:tcBorders>
            <w:shd w:val="clear" w:color="auto" w:fill="auto"/>
            <w:vAlign w:val="center"/>
          </w:tcPr>
          <w:p>
            <w:pPr>
              <w:pStyle w:val="42"/>
              <w:jc w:val="center"/>
            </w:pPr>
            <w:r>
              <w:rPr>
                <w:rFonts w:hint="eastAsia"/>
              </w:rPr>
              <w:t>1</w:t>
            </w:r>
          </w:p>
        </w:tc>
        <w:tc>
          <w:tcPr>
            <w:tcW w:w="741" w:type="dxa"/>
            <w:tcBorders>
              <w:top w:val="single" w:color="auto" w:sz="4" w:space="0"/>
            </w:tcBorders>
            <w:shd w:val="clear" w:color="auto" w:fill="auto"/>
            <w:vAlign w:val="center"/>
          </w:tcPr>
          <w:p>
            <w:pPr>
              <w:pStyle w:val="42"/>
              <w:jc w:val="center"/>
            </w:pPr>
            <w:r>
              <w:rPr>
                <w:rFonts w:hint="eastAsia"/>
              </w:rPr>
              <w:t>3</w:t>
            </w:r>
          </w:p>
        </w:tc>
        <w:tc>
          <w:tcPr>
            <w:tcW w:w="972" w:type="dxa"/>
            <w:tcBorders>
              <w:top w:val="single" w:color="auto" w:sz="4" w:space="0"/>
            </w:tcBorders>
            <w:shd w:val="clear" w:color="auto" w:fill="auto"/>
            <w:vAlign w:val="center"/>
          </w:tcPr>
          <w:p>
            <w:pPr>
              <w:pStyle w:val="42"/>
              <w:jc w:val="center"/>
            </w:pPr>
            <w:r>
              <w:rPr>
                <w:rFonts w:hint="eastAsia"/>
              </w:rPr>
              <w:t>约束性</w:t>
            </w:r>
          </w:p>
        </w:tc>
      </w:tr>
      <w:tr>
        <w:trPr>
          <w:trHeight w:val="146"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shd w:val="clear" w:color="auto" w:fill="auto"/>
            <w:vAlign w:val="center"/>
          </w:tcPr>
          <w:p>
            <w:pPr>
              <w:pStyle w:val="42"/>
              <w:jc w:val="center"/>
            </w:pPr>
            <w:r>
              <w:rPr>
                <w:rFonts w:hint="eastAsia"/>
              </w:rPr>
              <w:t>19</w:t>
            </w:r>
          </w:p>
        </w:tc>
        <w:tc>
          <w:tcPr>
            <w:tcW w:w="3260" w:type="dxa"/>
            <w:shd w:val="clear" w:color="auto" w:fill="auto"/>
            <w:vAlign w:val="center"/>
          </w:tcPr>
          <w:p>
            <w:pPr>
              <w:pStyle w:val="42"/>
              <w:jc w:val="center"/>
            </w:pPr>
            <w:r>
              <w:rPr>
                <w:rFonts w:hint="eastAsia"/>
              </w:rPr>
              <w:t>级别以上非标住宿量（民宿等）</w:t>
            </w:r>
          </w:p>
        </w:tc>
        <w:tc>
          <w:tcPr>
            <w:tcW w:w="806" w:type="dxa"/>
            <w:shd w:val="clear" w:color="auto" w:fill="auto"/>
            <w:vAlign w:val="center"/>
          </w:tcPr>
          <w:p>
            <w:pPr>
              <w:pStyle w:val="42"/>
              <w:jc w:val="center"/>
            </w:pPr>
            <w:r>
              <w:rPr>
                <w:rFonts w:hint="eastAsia"/>
              </w:rPr>
              <w:t>个</w:t>
            </w:r>
          </w:p>
        </w:tc>
        <w:tc>
          <w:tcPr>
            <w:tcW w:w="741" w:type="dxa"/>
            <w:shd w:val="clear" w:color="auto" w:fill="auto"/>
            <w:vAlign w:val="center"/>
          </w:tcPr>
          <w:p>
            <w:pPr>
              <w:pStyle w:val="42"/>
              <w:jc w:val="center"/>
            </w:pPr>
            <w:r>
              <w:rPr>
                <w:rFonts w:hint="eastAsia"/>
              </w:rPr>
              <w:t>3</w:t>
            </w:r>
          </w:p>
        </w:tc>
        <w:tc>
          <w:tcPr>
            <w:tcW w:w="741" w:type="dxa"/>
            <w:shd w:val="clear" w:color="auto" w:fill="auto"/>
            <w:vAlign w:val="center"/>
          </w:tcPr>
          <w:p>
            <w:pPr>
              <w:pStyle w:val="42"/>
              <w:jc w:val="center"/>
            </w:pPr>
            <w:r>
              <w:rPr>
                <w:rFonts w:hint="eastAsia"/>
              </w:rPr>
              <w:t>200</w:t>
            </w:r>
          </w:p>
        </w:tc>
        <w:tc>
          <w:tcPr>
            <w:tcW w:w="972" w:type="dxa"/>
            <w:shd w:val="clear" w:color="auto" w:fill="auto"/>
            <w:vAlign w:val="center"/>
          </w:tcPr>
          <w:p>
            <w:pPr>
              <w:pStyle w:val="42"/>
              <w:jc w:val="center"/>
            </w:pPr>
            <w:r>
              <w:rPr>
                <w:rFonts w:hint="eastAsia"/>
              </w:rPr>
              <w:t>预期性</w:t>
            </w:r>
          </w:p>
        </w:tc>
      </w:tr>
      <w:tr>
        <w:trPr>
          <w:trHeight w:val="108"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shd w:val="clear" w:color="auto" w:fill="auto"/>
            <w:vAlign w:val="center"/>
          </w:tcPr>
          <w:p>
            <w:pPr>
              <w:pStyle w:val="42"/>
              <w:jc w:val="center"/>
            </w:pPr>
            <w:r>
              <w:rPr>
                <w:rFonts w:hint="eastAsia"/>
              </w:rPr>
              <w:t>20</w:t>
            </w:r>
          </w:p>
        </w:tc>
        <w:tc>
          <w:tcPr>
            <w:tcW w:w="3260" w:type="dxa"/>
            <w:shd w:val="clear" w:color="auto" w:fill="auto"/>
            <w:vAlign w:val="center"/>
          </w:tcPr>
          <w:p>
            <w:pPr>
              <w:pStyle w:val="42"/>
              <w:jc w:val="center"/>
            </w:pPr>
            <w:r>
              <w:rPr>
                <w:rFonts w:hint="eastAsia"/>
              </w:rPr>
              <w:t>特色旅游餐饮店</w:t>
            </w:r>
          </w:p>
        </w:tc>
        <w:tc>
          <w:tcPr>
            <w:tcW w:w="806" w:type="dxa"/>
            <w:shd w:val="clear" w:color="auto" w:fill="auto"/>
            <w:vAlign w:val="center"/>
          </w:tcPr>
          <w:p>
            <w:pPr>
              <w:pStyle w:val="42"/>
              <w:jc w:val="center"/>
            </w:pPr>
            <w:r>
              <w:rPr>
                <w:rFonts w:hint="eastAsia"/>
              </w:rPr>
              <w:t>个</w:t>
            </w:r>
          </w:p>
        </w:tc>
        <w:tc>
          <w:tcPr>
            <w:tcW w:w="741" w:type="dxa"/>
            <w:shd w:val="clear" w:color="auto" w:fill="auto"/>
            <w:vAlign w:val="center"/>
          </w:tcPr>
          <w:p>
            <w:pPr>
              <w:pStyle w:val="42"/>
              <w:jc w:val="center"/>
            </w:pPr>
            <w:r>
              <w:rPr>
                <w:rFonts w:hint="eastAsia"/>
              </w:rPr>
              <w:t>/</w:t>
            </w:r>
          </w:p>
        </w:tc>
        <w:tc>
          <w:tcPr>
            <w:tcW w:w="741" w:type="dxa"/>
            <w:shd w:val="clear" w:color="auto" w:fill="auto"/>
            <w:vAlign w:val="center"/>
          </w:tcPr>
          <w:p>
            <w:pPr>
              <w:pStyle w:val="42"/>
              <w:jc w:val="center"/>
            </w:pPr>
            <w:r>
              <w:rPr>
                <w:rFonts w:hint="eastAsia"/>
              </w:rPr>
              <w:t>/</w:t>
            </w:r>
          </w:p>
        </w:tc>
        <w:tc>
          <w:tcPr>
            <w:tcW w:w="972" w:type="dxa"/>
            <w:shd w:val="clear" w:color="auto" w:fill="auto"/>
            <w:vAlign w:val="center"/>
          </w:tcPr>
          <w:p>
            <w:pPr>
              <w:pStyle w:val="42"/>
              <w:jc w:val="center"/>
            </w:pPr>
            <w:r>
              <w:rPr>
                <w:rFonts w:hint="eastAsia"/>
              </w:rPr>
              <w:t>预期性</w:t>
            </w:r>
          </w:p>
        </w:tc>
      </w:tr>
      <w:tr>
        <w:trPr>
          <w:trHeight w:val="60"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tcBorders>
              <w:bottom w:val="single" w:color="auto" w:sz="4" w:space="0"/>
            </w:tcBorders>
            <w:shd w:val="clear" w:color="auto" w:fill="auto"/>
            <w:vAlign w:val="center"/>
          </w:tcPr>
          <w:p>
            <w:pPr>
              <w:pStyle w:val="42"/>
              <w:jc w:val="center"/>
            </w:pPr>
            <w:r>
              <w:rPr>
                <w:rFonts w:hint="eastAsia"/>
              </w:rPr>
              <w:t>21</w:t>
            </w:r>
          </w:p>
        </w:tc>
        <w:tc>
          <w:tcPr>
            <w:tcW w:w="3260" w:type="dxa"/>
            <w:tcBorders>
              <w:bottom w:val="single" w:color="auto" w:sz="4" w:space="0"/>
            </w:tcBorders>
            <w:shd w:val="clear" w:color="auto" w:fill="auto"/>
            <w:vAlign w:val="center"/>
          </w:tcPr>
          <w:p>
            <w:pPr>
              <w:pStyle w:val="42"/>
              <w:jc w:val="center"/>
            </w:pPr>
            <w:r>
              <w:rPr>
                <w:rFonts w:hint="eastAsia"/>
              </w:rPr>
              <w:t>旅行社数量</w:t>
            </w:r>
          </w:p>
        </w:tc>
        <w:tc>
          <w:tcPr>
            <w:tcW w:w="806" w:type="dxa"/>
            <w:tcBorders>
              <w:bottom w:val="single" w:color="auto" w:sz="4" w:space="0"/>
            </w:tcBorders>
            <w:shd w:val="clear" w:color="auto" w:fill="auto"/>
            <w:vAlign w:val="center"/>
          </w:tcPr>
          <w:p>
            <w:pPr>
              <w:pStyle w:val="42"/>
              <w:jc w:val="center"/>
            </w:pPr>
            <w:r>
              <w:rPr>
                <w:rFonts w:hint="eastAsia"/>
              </w:rPr>
              <w:t>家</w:t>
            </w:r>
          </w:p>
        </w:tc>
        <w:tc>
          <w:tcPr>
            <w:tcW w:w="741" w:type="dxa"/>
            <w:tcBorders>
              <w:bottom w:val="single" w:color="auto" w:sz="4" w:space="0"/>
            </w:tcBorders>
            <w:shd w:val="clear" w:color="auto" w:fill="auto"/>
            <w:vAlign w:val="center"/>
          </w:tcPr>
          <w:p>
            <w:pPr>
              <w:pStyle w:val="42"/>
              <w:jc w:val="center"/>
            </w:pPr>
            <w:r>
              <w:rPr>
                <w:rFonts w:hint="eastAsia"/>
              </w:rPr>
              <w:t>/</w:t>
            </w:r>
          </w:p>
        </w:tc>
        <w:tc>
          <w:tcPr>
            <w:tcW w:w="741" w:type="dxa"/>
            <w:tcBorders>
              <w:bottom w:val="single" w:color="auto" w:sz="4" w:space="0"/>
            </w:tcBorders>
            <w:shd w:val="clear" w:color="auto" w:fill="auto"/>
            <w:vAlign w:val="center"/>
          </w:tcPr>
          <w:p>
            <w:pPr>
              <w:pStyle w:val="42"/>
              <w:jc w:val="center"/>
            </w:pPr>
            <w:r>
              <w:rPr>
                <w:rFonts w:hint="eastAsia"/>
              </w:rPr>
              <w:t>20</w:t>
            </w:r>
          </w:p>
        </w:tc>
        <w:tc>
          <w:tcPr>
            <w:tcW w:w="972" w:type="dxa"/>
            <w:tcBorders>
              <w:bottom w:val="single" w:color="auto" w:sz="4" w:space="0"/>
            </w:tcBorders>
            <w:shd w:val="clear" w:color="auto" w:fill="auto"/>
            <w:vAlign w:val="center"/>
          </w:tcPr>
          <w:p>
            <w:pPr>
              <w:pStyle w:val="42"/>
              <w:jc w:val="center"/>
            </w:pPr>
            <w:r>
              <w:rPr>
                <w:rFonts w:hint="eastAsia"/>
              </w:rPr>
              <w:t>预期性</w:t>
            </w:r>
          </w:p>
        </w:tc>
      </w:tr>
      <w:tr>
        <w:trPr>
          <w:trHeight w:val="122" w:hRule="atLeast"/>
          <w:jc w:val="center"/>
        </w:trPr>
        <w:tc>
          <w:tcPr>
            <w:tcW w:w="567" w:type="dxa"/>
            <w:vMerge w:val="restart"/>
            <w:tcBorders>
              <w:top w:val="single" w:color="auto" w:sz="4" w:space="0"/>
              <w:bottom w:val="single" w:color="auto" w:sz="4" w:space="0"/>
            </w:tcBorders>
            <w:shd w:val="clear" w:color="auto" w:fill="auto"/>
            <w:vAlign w:val="center"/>
          </w:tcPr>
          <w:p>
            <w:pPr>
              <w:pStyle w:val="42"/>
            </w:pPr>
            <w:r>
              <w:rPr>
                <w:rFonts w:hint="eastAsia"/>
              </w:rPr>
              <w:t>体育发展</w:t>
            </w:r>
          </w:p>
        </w:tc>
        <w:tc>
          <w:tcPr>
            <w:tcW w:w="851" w:type="dxa"/>
            <w:gridSpan w:val="2"/>
            <w:vMerge w:val="restart"/>
            <w:tcBorders>
              <w:top w:val="single" w:color="auto" w:sz="4" w:space="0"/>
              <w:bottom w:val="single" w:color="auto" w:sz="4" w:space="0"/>
            </w:tcBorders>
            <w:shd w:val="clear" w:color="auto" w:fill="auto"/>
            <w:vAlign w:val="center"/>
          </w:tcPr>
          <w:p>
            <w:pPr>
              <w:pStyle w:val="42"/>
              <w:jc w:val="center"/>
            </w:pPr>
            <w:r>
              <w:rPr>
                <w:rFonts w:hint="eastAsia"/>
              </w:rPr>
              <w:t>全民</w:t>
            </w:r>
          </w:p>
          <w:p>
            <w:pPr>
              <w:pStyle w:val="42"/>
              <w:jc w:val="center"/>
            </w:pPr>
            <w:r>
              <w:rPr>
                <w:rFonts w:hint="eastAsia"/>
              </w:rPr>
              <w:t>健身</w:t>
            </w:r>
          </w:p>
        </w:tc>
        <w:tc>
          <w:tcPr>
            <w:tcW w:w="567" w:type="dxa"/>
            <w:tcBorders>
              <w:top w:val="single" w:color="auto" w:sz="4" w:space="0"/>
            </w:tcBorders>
            <w:shd w:val="clear" w:color="auto" w:fill="auto"/>
            <w:vAlign w:val="center"/>
          </w:tcPr>
          <w:p>
            <w:pPr>
              <w:pStyle w:val="42"/>
              <w:jc w:val="center"/>
            </w:pPr>
            <w:r>
              <w:rPr>
                <w:rFonts w:hint="eastAsia"/>
              </w:rPr>
              <w:t>22</w:t>
            </w:r>
          </w:p>
        </w:tc>
        <w:tc>
          <w:tcPr>
            <w:tcW w:w="3260" w:type="dxa"/>
            <w:tcBorders>
              <w:top w:val="single" w:color="auto" w:sz="4" w:space="0"/>
            </w:tcBorders>
            <w:shd w:val="clear" w:color="auto" w:fill="auto"/>
            <w:vAlign w:val="center"/>
          </w:tcPr>
          <w:p>
            <w:pPr>
              <w:pStyle w:val="42"/>
              <w:jc w:val="center"/>
            </w:pPr>
            <w:r>
              <w:rPr>
                <w:rFonts w:hint="eastAsia"/>
              </w:rPr>
              <w:t>人均体育场地面积</w:t>
            </w:r>
          </w:p>
        </w:tc>
        <w:tc>
          <w:tcPr>
            <w:tcW w:w="806" w:type="dxa"/>
            <w:tcBorders>
              <w:top w:val="single" w:color="auto" w:sz="4" w:space="0"/>
            </w:tcBorders>
            <w:shd w:val="clear" w:color="auto" w:fill="auto"/>
            <w:vAlign w:val="center"/>
          </w:tcPr>
          <w:p>
            <w:pPr>
              <w:pStyle w:val="42"/>
              <w:jc w:val="center"/>
            </w:pPr>
            <w:r>
              <w:rPr>
                <w:rFonts w:hint="eastAsia"/>
              </w:rPr>
              <w:t>M</w:t>
            </w:r>
            <w:r>
              <w:rPr>
                <w:rFonts w:hint="eastAsia"/>
                <w:vertAlign w:val="superscript"/>
              </w:rPr>
              <w:t>2</w:t>
            </w:r>
          </w:p>
        </w:tc>
        <w:tc>
          <w:tcPr>
            <w:tcW w:w="741" w:type="dxa"/>
            <w:tcBorders>
              <w:top w:val="single" w:color="auto" w:sz="4" w:space="0"/>
            </w:tcBorders>
            <w:shd w:val="clear" w:color="auto" w:fill="auto"/>
            <w:vAlign w:val="center"/>
          </w:tcPr>
          <w:p>
            <w:pPr>
              <w:pStyle w:val="42"/>
              <w:jc w:val="center"/>
            </w:pPr>
            <w:r>
              <w:rPr>
                <w:rFonts w:hint="eastAsia"/>
              </w:rPr>
              <w:t>1.81</w:t>
            </w:r>
          </w:p>
        </w:tc>
        <w:tc>
          <w:tcPr>
            <w:tcW w:w="741" w:type="dxa"/>
            <w:tcBorders>
              <w:top w:val="single" w:color="auto" w:sz="4" w:space="0"/>
            </w:tcBorders>
            <w:shd w:val="clear" w:color="auto" w:fill="auto"/>
            <w:vAlign w:val="center"/>
          </w:tcPr>
          <w:p>
            <w:pPr>
              <w:pStyle w:val="42"/>
              <w:jc w:val="center"/>
            </w:pPr>
            <w:r>
              <w:rPr>
                <w:rFonts w:hint="eastAsia"/>
              </w:rPr>
              <w:t>&gt;2</w:t>
            </w:r>
          </w:p>
        </w:tc>
        <w:tc>
          <w:tcPr>
            <w:tcW w:w="972" w:type="dxa"/>
            <w:tcBorders>
              <w:top w:val="single" w:color="auto" w:sz="4" w:space="0"/>
            </w:tcBorders>
            <w:shd w:val="clear" w:color="auto" w:fill="auto"/>
            <w:vAlign w:val="center"/>
          </w:tcPr>
          <w:p>
            <w:pPr>
              <w:pStyle w:val="42"/>
              <w:jc w:val="center"/>
            </w:pPr>
            <w:r>
              <w:rPr>
                <w:rFonts w:hint="eastAsia"/>
              </w:rPr>
              <w:t>约束性</w:t>
            </w:r>
          </w:p>
        </w:tc>
      </w:tr>
      <w:tr>
        <w:trPr>
          <w:trHeight w:val="177"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shd w:val="clear" w:color="auto" w:fill="auto"/>
            <w:vAlign w:val="center"/>
          </w:tcPr>
          <w:p>
            <w:pPr>
              <w:pStyle w:val="42"/>
              <w:jc w:val="center"/>
            </w:pPr>
            <w:r>
              <w:rPr>
                <w:rFonts w:hint="eastAsia"/>
              </w:rPr>
              <w:t>23</w:t>
            </w:r>
          </w:p>
        </w:tc>
        <w:tc>
          <w:tcPr>
            <w:tcW w:w="3260" w:type="dxa"/>
            <w:shd w:val="clear" w:color="auto" w:fill="auto"/>
            <w:vAlign w:val="center"/>
          </w:tcPr>
          <w:p>
            <w:pPr>
              <w:pStyle w:val="42"/>
              <w:jc w:val="center"/>
            </w:pPr>
            <w:r>
              <w:rPr>
                <w:rFonts w:hint="eastAsia"/>
              </w:rPr>
              <w:t>村（社区）标准健身场地覆盖率</w:t>
            </w:r>
          </w:p>
        </w:tc>
        <w:tc>
          <w:tcPr>
            <w:tcW w:w="806" w:type="dxa"/>
            <w:shd w:val="clear" w:color="auto" w:fill="auto"/>
            <w:vAlign w:val="center"/>
          </w:tcPr>
          <w:p>
            <w:pPr>
              <w:pStyle w:val="42"/>
              <w:jc w:val="center"/>
            </w:pPr>
            <w:r>
              <w:rPr>
                <w:rFonts w:hint="eastAsia"/>
              </w:rPr>
              <w:t>%</w:t>
            </w:r>
          </w:p>
        </w:tc>
        <w:tc>
          <w:tcPr>
            <w:tcW w:w="741" w:type="dxa"/>
            <w:shd w:val="clear" w:color="auto" w:fill="auto"/>
            <w:vAlign w:val="center"/>
          </w:tcPr>
          <w:p>
            <w:pPr>
              <w:pStyle w:val="42"/>
              <w:jc w:val="center"/>
            </w:pPr>
            <w:r>
              <w:rPr>
                <w:rFonts w:hint="eastAsia"/>
              </w:rPr>
              <w:t>100</w:t>
            </w:r>
          </w:p>
        </w:tc>
        <w:tc>
          <w:tcPr>
            <w:tcW w:w="741" w:type="dxa"/>
            <w:shd w:val="clear" w:color="auto" w:fill="auto"/>
            <w:vAlign w:val="center"/>
          </w:tcPr>
          <w:p>
            <w:pPr>
              <w:pStyle w:val="42"/>
              <w:jc w:val="center"/>
            </w:pPr>
            <w:r>
              <w:rPr>
                <w:rFonts w:hint="eastAsia"/>
              </w:rPr>
              <w:t>100</w:t>
            </w:r>
          </w:p>
        </w:tc>
        <w:tc>
          <w:tcPr>
            <w:tcW w:w="972" w:type="dxa"/>
            <w:shd w:val="clear" w:color="auto" w:fill="auto"/>
            <w:vAlign w:val="center"/>
          </w:tcPr>
          <w:p>
            <w:pPr>
              <w:pStyle w:val="42"/>
              <w:jc w:val="center"/>
            </w:pPr>
            <w:r>
              <w:rPr>
                <w:rFonts w:hint="eastAsia"/>
              </w:rPr>
              <w:t>预期性</w:t>
            </w:r>
          </w:p>
        </w:tc>
      </w:tr>
      <w:tr>
        <w:trPr>
          <w:trHeight w:val="60" w:hRule="atLeast"/>
          <w:jc w:val="center"/>
        </w:trPr>
        <w:tc>
          <w:tcPr>
            <w:tcW w:w="567" w:type="dxa"/>
            <w:vMerge w:val="continue"/>
            <w:tcBorders>
              <w:top w:val="single" w:color="auto" w:sz="4" w:space="0"/>
              <w:bottom w:val="single" w:color="auto" w:sz="4" w:space="0"/>
            </w:tcBorders>
            <w:vAlign w:val="center"/>
          </w:tcPr>
          <w:p>
            <w:pPr>
              <w:pStyle w:val="42"/>
            </w:pPr>
          </w:p>
        </w:tc>
        <w:tc>
          <w:tcPr>
            <w:tcW w:w="851" w:type="dxa"/>
            <w:gridSpan w:val="2"/>
            <w:vMerge w:val="continue"/>
            <w:tcBorders>
              <w:top w:val="single" w:color="auto" w:sz="4" w:space="0"/>
              <w:bottom w:val="single" w:color="auto" w:sz="4" w:space="0"/>
            </w:tcBorders>
            <w:vAlign w:val="center"/>
          </w:tcPr>
          <w:p>
            <w:pPr>
              <w:pStyle w:val="42"/>
              <w:jc w:val="center"/>
            </w:pPr>
          </w:p>
        </w:tc>
        <w:tc>
          <w:tcPr>
            <w:tcW w:w="567" w:type="dxa"/>
            <w:shd w:val="clear" w:color="auto" w:fill="auto"/>
            <w:vAlign w:val="center"/>
          </w:tcPr>
          <w:p>
            <w:pPr>
              <w:pStyle w:val="42"/>
              <w:jc w:val="center"/>
            </w:pPr>
            <w:r>
              <w:rPr>
                <w:rFonts w:hint="eastAsia"/>
              </w:rPr>
              <w:t>24</w:t>
            </w:r>
          </w:p>
        </w:tc>
        <w:tc>
          <w:tcPr>
            <w:tcW w:w="3260" w:type="dxa"/>
            <w:shd w:val="clear" w:color="auto" w:fill="auto"/>
            <w:vAlign w:val="center"/>
          </w:tcPr>
          <w:p>
            <w:pPr>
              <w:pStyle w:val="42"/>
              <w:jc w:val="center"/>
            </w:pPr>
            <w:r>
              <w:rPr>
                <w:rFonts w:hint="eastAsia"/>
              </w:rPr>
              <w:t>经常性参加体育锻炼人口比例</w:t>
            </w:r>
          </w:p>
        </w:tc>
        <w:tc>
          <w:tcPr>
            <w:tcW w:w="806" w:type="dxa"/>
            <w:shd w:val="clear" w:color="auto" w:fill="auto"/>
            <w:vAlign w:val="center"/>
          </w:tcPr>
          <w:p>
            <w:pPr>
              <w:pStyle w:val="42"/>
              <w:jc w:val="center"/>
            </w:pPr>
            <w:r>
              <w:rPr>
                <w:rFonts w:hint="eastAsia"/>
              </w:rPr>
              <w:t>%</w:t>
            </w:r>
          </w:p>
        </w:tc>
        <w:tc>
          <w:tcPr>
            <w:tcW w:w="741" w:type="dxa"/>
            <w:shd w:val="clear" w:color="auto" w:fill="auto"/>
            <w:vAlign w:val="center"/>
          </w:tcPr>
          <w:p>
            <w:pPr>
              <w:pStyle w:val="42"/>
              <w:jc w:val="center"/>
            </w:pPr>
            <w:r>
              <w:rPr>
                <w:rFonts w:hint="eastAsia"/>
              </w:rPr>
              <w:t>47.2</w:t>
            </w:r>
          </w:p>
        </w:tc>
        <w:tc>
          <w:tcPr>
            <w:tcW w:w="741" w:type="dxa"/>
            <w:shd w:val="clear" w:color="auto" w:fill="auto"/>
            <w:vAlign w:val="center"/>
          </w:tcPr>
          <w:p>
            <w:pPr>
              <w:pStyle w:val="42"/>
              <w:jc w:val="center"/>
            </w:pPr>
            <w:r>
              <w:rPr>
                <w:rFonts w:hint="eastAsia"/>
              </w:rPr>
              <w:t>48</w:t>
            </w:r>
          </w:p>
        </w:tc>
        <w:tc>
          <w:tcPr>
            <w:tcW w:w="972" w:type="dxa"/>
            <w:shd w:val="clear" w:color="auto" w:fill="auto"/>
            <w:vAlign w:val="center"/>
          </w:tcPr>
          <w:p>
            <w:pPr>
              <w:pStyle w:val="42"/>
              <w:jc w:val="center"/>
            </w:pPr>
            <w:r>
              <w:rPr>
                <w:rFonts w:hint="eastAsia"/>
              </w:rPr>
              <w:t>预期性</w:t>
            </w:r>
          </w:p>
        </w:tc>
      </w:tr>
      <w:tr>
        <w:trPr>
          <w:trHeight w:val="60" w:hRule="atLeast"/>
          <w:jc w:val="center"/>
        </w:trPr>
        <w:tc>
          <w:tcPr>
            <w:tcW w:w="567" w:type="dxa"/>
            <w:vMerge w:val="continue"/>
            <w:tcBorders>
              <w:top w:val="single" w:color="auto" w:sz="4" w:space="0"/>
              <w:bottom w:val="single" w:color="000000" w:sz="8" w:space="0"/>
            </w:tcBorders>
            <w:vAlign w:val="center"/>
          </w:tcPr>
          <w:p>
            <w:pPr>
              <w:pStyle w:val="42"/>
            </w:pPr>
          </w:p>
        </w:tc>
        <w:tc>
          <w:tcPr>
            <w:tcW w:w="851" w:type="dxa"/>
            <w:gridSpan w:val="2"/>
            <w:vMerge w:val="continue"/>
            <w:tcBorders>
              <w:top w:val="single" w:color="auto" w:sz="4" w:space="0"/>
              <w:bottom w:val="single" w:color="000000" w:sz="8" w:space="0"/>
            </w:tcBorders>
            <w:vAlign w:val="center"/>
          </w:tcPr>
          <w:p>
            <w:pPr>
              <w:pStyle w:val="42"/>
              <w:jc w:val="center"/>
            </w:pPr>
          </w:p>
        </w:tc>
        <w:tc>
          <w:tcPr>
            <w:tcW w:w="567" w:type="dxa"/>
            <w:tcBorders>
              <w:bottom w:val="single" w:color="auto" w:sz="8" w:space="0"/>
            </w:tcBorders>
            <w:shd w:val="clear" w:color="auto" w:fill="auto"/>
            <w:vAlign w:val="center"/>
          </w:tcPr>
          <w:p>
            <w:pPr>
              <w:pStyle w:val="42"/>
              <w:jc w:val="center"/>
            </w:pPr>
            <w:r>
              <w:rPr>
                <w:rFonts w:hint="eastAsia"/>
              </w:rPr>
              <w:t>25</w:t>
            </w:r>
          </w:p>
        </w:tc>
        <w:tc>
          <w:tcPr>
            <w:tcW w:w="3260" w:type="dxa"/>
            <w:tcBorders>
              <w:bottom w:val="single" w:color="auto" w:sz="8" w:space="0"/>
            </w:tcBorders>
            <w:shd w:val="clear" w:color="auto" w:fill="auto"/>
            <w:vAlign w:val="center"/>
          </w:tcPr>
          <w:p>
            <w:pPr>
              <w:pStyle w:val="42"/>
              <w:jc w:val="center"/>
            </w:pPr>
            <w:r>
              <w:rPr>
                <w:rFonts w:hint="eastAsia"/>
              </w:rPr>
              <w:t>国民体质监测合格率</w:t>
            </w:r>
          </w:p>
        </w:tc>
        <w:tc>
          <w:tcPr>
            <w:tcW w:w="806" w:type="dxa"/>
            <w:tcBorders>
              <w:bottom w:val="single" w:color="auto" w:sz="8" w:space="0"/>
            </w:tcBorders>
            <w:shd w:val="clear" w:color="auto" w:fill="auto"/>
            <w:vAlign w:val="center"/>
          </w:tcPr>
          <w:p>
            <w:pPr>
              <w:pStyle w:val="42"/>
              <w:jc w:val="center"/>
            </w:pPr>
            <w:r>
              <w:rPr>
                <w:rFonts w:hint="eastAsia"/>
              </w:rPr>
              <w:t>%</w:t>
            </w:r>
          </w:p>
        </w:tc>
        <w:tc>
          <w:tcPr>
            <w:tcW w:w="741" w:type="dxa"/>
            <w:tcBorders>
              <w:bottom w:val="single" w:color="auto" w:sz="8" w:space="0"/>
            </w:tcBorders>
            <w:shd w:val="clear" w:color="auto" w:fill="auto"/>
            <w:vAlign w:val="center"/>
          </w:tcPr>
          <w:p>
            <w:pPr>
              <w:pStyle w:val="42"/>
              <w:jc w:val="center"/>
            </w:pPr>
            <w:r>
              <w:rPr>
                <w:rFonts w:hint="eastAsia"/>
              </w:rPr>
              <w:t>93.2</w:t>
            </w:r>
          </w:p>
        </w:tc>
        <w:tc>
          <w:tcPr>
            <w:tcW w:w="741" w:type="dxa"/>
            <w:tcBorders>
              <w:bottom w:val="single" w:color="auto" w:sz="8" w:space="0"/>
            </w:tcBorders>
            <w:shd w:val="clear" w:color="auto" w:fill="auto"/>
            <w:vAlign w:val="center"/>
          </w:tcPr>
          <w:p>
            <w:pPr>
              <w:pStyle w:val="42"/>
              <w:jc w:val="center"/>
            </w:pPr>
            <w:r>
              <w:rPr>
                <w:rFonts w:hint="eastAsia"/>
              </w:rPr>
              <w:t>93.6</w:t>
            </w:r>
          </w:p>
        </w:tc>
        <w:tc>
          <w:tcPr>
            <w:tcW w:w="972" w:type="dxa"/>
            <w:tcBorders>
              <w:bottom w:val="single" w:color="auto" w:sz="8" w:space="0"/>
            </w:tcBorders>
            <w:shd w:val="clear" w:color="auto" w:fill="auto"/>
            <w:vAlign w:val="center"/>
          </w:tcPr>
          <w:p>
            <w:pPr>
              <w:pStyle w:val="42"/>
              <w:jc w:val="center"/>
            </w:pPr>
            <w:r>
              <w:rPr>
                <w:rFonts w:hint="eastAsia"/>
              </w:rPr>
              <w:t>预期性</w:t>
            </w:r>
          </w:p>
        </w:tc>
      </w:tr>
    </w:tbl>
    <w:p>
      <w:pPr>
        <w:pStyle w:val="4"/>
        <w:ind w:firstLine="640"/>
      </w:pPr>
      <w:bookmarkStart w:id="16" w:name="_Toc82624318"/>
      <w:r>
        <w:t>第四节</w:t>
      </w:r>
      <w:r>
        <w:rPr>
          <w:rFonts w:hint="eastAsia"/>
        </w:rPr>
        <w:t xml:space="preserve"> 空间布局</w:t>
      </w:r>
      <w:bookmarkEnd w:id="16"/>
    </w:p>
    <w:p>
      <w:pPr>
        <w:ind w:firstLine="600"/>
      </w:pPr>
      <w:r>
        <w:rPr>
          <w:rFonts w:hint="eastAsia"/>
        </w:rPr>
        <w:t>立足云阳县地处大巴山、云峰山、七曜山余脉交叉和长江水系切割破碎地带，呈“一江四河六大块、五向四背四大山”的基本地理特征，必须强化依托“一心两极三片”城镇格局和“四位一体”立体交通，构建文旅空间结构为：</w:t>
      </w:r>
    </w:p>
    <w:p>
      <w:pPr>
        <w:ind w:firstLine="602"/>
        <w:jc w:val="center"/>
        <w:rPr>
          <w:b/>
        </w:rPr>
      </w:pPr>
      <w:r>
        <w:rPr>
          <w:rFonts w:hint="eastAsia"/>
          <w:b/>
        </w:rPr>
        <w:t>一城引领</w:t>
      </w:r>
      <w:r>
        <w:rPr>
          <w:rFonts w:hint="eastAsia" w:hAnsi="宋体" w:cs="宋体"/>
          <w:b/>
        </w:rPr>
        <w:t>·一核驱动·</w:t>
      </w:r>
      <w:r>
        <w:rPr>
          <w:rFonts w:hint="eastAsia"/>
          <w:b/>
        </w:rPr>
        <w:t>两心联轴</w:t>
      </w:r>
      <w:r>
        <w:rPr>
          <w:rFonts w:hint="eastAsia" w:ascii="宋体" w:hAnsi="宋体" w:eastAsia="宋体" w:cs="宋体"/>
          <w:b/>
        </w:rPr>
        <w:t>·</w:t>
      </w:r>
      <w:r>
        <w:rPr>
          <w:rFonts w:hint="eastAsia"/>
          <w:b/>
        </w:rPr>
        <w:t>多点协同</w:t>
      </w:r>
    </w:p>
    <w:p>
      <w:pPr>
        <w:ind w:firstLine="602"/>
      </w:pPr>
      <w:r>
        <w:rPr>
          <w:rFonts w:hint="eastAsia"/>
          <w:b/>
          <w:bCs/>
        </w:rPr>
        <w:t>一城引领：</w:t>
      </w:r>
      <w:r>
        <w:rPr>
          <w:rFonts w:hint="eastAsia"/>
        </w:rPr>
        <w:t>即三峡人文旅游之城。整合张飞庙、三峡梯城等景区</w:t>
      </w:r>
      <w:r>
        <w:t>，</w:t>
      </w:r>
      <w:r>
        <w:rPr>
          <w:rFonts w:hint="eastAsia"/>
        </w:rPr>
        <w:t>城景融合打造云阳“双100城市”大景区引领</w:t>
      </w:r>
      <w:r>
        <w:t>全域旅游发展</w:t>
      </w:r>
      <w:r>
        <w:rPr>
          <w:rFonts w:hint="eastAsia"/>
        </w:rPr>
        <w:t>。</w:t>
      </w:r>
    </w:p>
    <w:p>
      <w:pPr>
        <w:ind w:firstLine="602"/>
      </w:pPr>
      <w:r>
        <w:rPr>
          <w:rFonts w:hint="eastAsia"/>
          <w:b/>
          <w:bCs/>
        </w:rPr>
        <w:t>一核驱动：</w:t>
      </w:r>
      <w:r>
        <w:rPr>
          <w:rFonts w:hint="eastAsia"/>
        </w:rPr>
        <w:t>天下</w:t>
      </w:r>
      <w:r>
        <w:t>龙缸</w:t>
      </w:r>
      <w:r>
        <w:rPr>
          <w:rFonts w:hint="eastAsia"/>
        </w:rPr>
        <w:t>旅游</w:t>
      </w:r>
      <w:r>
        <w:t>驱动核</w:t>
      </w:r>
      <w:r>
        <w:rPr>
          <w:rFonts w:hint="eastAsia"/>
        </w:rPr>
        <w:t>。</w:t>
      </w:r>
      <w:r>
        <w:t>整合龙缸</w:t>
      </w:r>
      <w:r>
        <w:rPr>
          <w:rFonts w:hint="eastAsia"/>
        </w:rPr>
        <w:t>AAAAA级</w:t>
      </w:r>
      <w:r>
        <w:t>旅游景区和清水国家级旅游度假区（</w:t>
      </w:r>
      <w:r>
        <w:rPr>
          <w:rFonts w:hint="eastAsia"/>
        </w:rPr>
        <w:t>筹建</w:t>
      </w:r>
      <w:r>
        <w:t>）</w:t>
      </w:r>
      <w:r>
        <w:rPr>
          <w:rFonts w:hint="eastAsia"/>
        </w:rPr>
        <w:t>旅游</w:t>
      </w:r>
      <w:r>
        <w:t>吸引物，打造全域</w:t>
      </w:r>
      <w:r>
        <w:rPr>
          <w:rFonts w:hint="eastAsia"/>
        </w:rPr>
        <w:t>旅游</w:t>
      </w:r>
      <w:r>
        <w:t>驱动核。</w:t>
      </w:r>
    </w:p>
    <w:p>
      <w:pPr>
        <w:ind w:firstLine="602"/>
      </w:pPr>
      <w:r>
        <w:rPr>
          <w:rFonts w:hint="eastAsia"/>
          <w:b/>
          <w:bCs/>
        </w:rPr>
        <w:t>两心联轴：</w:t>
      </w:r>
      <w:r>
        <w:rPr>
          <w:rFonts w:hint="eastAsia"/>
        </w:rPr>
        <w:t>即以龙</w:t>
      </w:r>
      <w:r>
        <w:t>角-普安</w:t>
      </w:r>
      <w:r>
        <w:rPr>
          <w:rFonts w:hint="eastAsia"/>
        </w:rPr>
        <w:t>为主的南部文旅</w:t>
      </w:r>
      <w:r>
        <w:t>副中心</w:t>
      </w:r>
      <w:r>
        <w:rPr>
          <w:rFonts w:hint="eastAsia"/>
        </w:rPr>
        <w:t>、</w:t>
      </w:r>
      <w:r>
        <w:t>江口</w:t>
      </w:r>
      <w:r>
        <w:rPr>
          <w:rFonts w:hint="eastAsia"/>
        </w:rPr>
        <w:t>-</w:t>
      </w:r>
      <w:r>
        <w:t>南溪</w:t>
      </w:r>
      <w:r>
        <w:rPr>
          <w:rFonts w:hint="eastAsia"/>
        </w:rPr>
        <w:t>为主的北部</w:t>
      </w:r>
      <w:r>
        <w:t>文旅副中心</w:t>
      </w:r>
      <w:r>
        <w:rPr>
          <w:rFonts w:hint="eastAsia"/>
        </w:rPr>
        <w:t>，依托</w:t>
      </w:r>
      <w:r>
        <w:t>江龙高速等</w:t>
      </w:r>
      <w:r>
        <w:rPr>
          <w:rFonts w:hint="eastAsia"/>
        </w:rPr>
        <w:t>区域</w:t>
      </w:r>
      <w:r>
        <w:t>交通</w:t>
      </w:r>
      <w:r>
        <w:rPr>
          <w:rFonts w:hint="eastAsia"/>
        </w:rPr>
        <w:t>干线，联动</w:t>
      </w:r>
      <w:r>
        <w:t>形成南北联动发展轴。</w:t>
      </w:r>
    </w:p>
    <w:p>
      <w:pPr>
        <w:ind w:firstLine="602"/>
      </w:pPr>
      <w:r>
        <w:rPr>
          <w:rFonts w:hint="eastAsia"/>
          <w:b/>
          <w:bCs/>
        </w:rPr>
        <w:t>多点协同：</w:t>
      </w:r>
      <w:r>
        <w:t>带动全域洞鹿</w:t>
      </w:r>
      <w:r>
        <w:rPr>
          <w:rFonts w:hint="eastAsia"/>
        </w:rPr>
        <w:t>、</w:t>
      </w:r>
      <w:r>
        <w:t>双土、上坝、农坝、</w:t>
      </w:r>
      <w:r>
        <w:rPr>
          <w:rFonts w:hint="eastAsia"/>
        </w:rPr>
        <w:t>云安</w:t>
      </w:r>
      <w:r>
        <w:t>、</w:t>
      </w:r>
      <w:r>
        <w:rPr>
          <w:rFonts w:hint="eastAsia"/>
        </w:rPr>
        <w:t>凤鸣</w:t>
      </w:r>
      <w:r>
        <w:t>、高阳等多个</w:t>
      </w:r>
      <w:r>
        <w:rPr>
          <w:rFonts w:hint="eastAsia"/>
        </w:rPr>
        <w:t>节点</w:t>
      </w:r>
      <w:r>
        <w:t>协同发展。</w:t>
      </w:r>
    </w:p>
    <w:p>
      <w:pPr>
        <w:widowControl/>
        <w:ind w:firstLine="600"/>
        <w:jc w:val="left"/>
        <w:rPr>
          <w:rFonts w:ascii="Calibri" w:hAnsi="Calibri" w:eastAsia="黑体" w:cs="Times New Roman"/>
          <w:bCs/>
          <w:color w:val="000000" w:themeColor="text1"/>
          <w:kern w:val="44"/>
          <w:sz w:val="44"/>
          <w:szCs w:val="44"/>
          <w14:textFill>
            <w14:solidFill>
              <w14:schemeClr w14:val="tx1"/>
            </w14:solidFill>
          </w14:textFill>
        </w:rPr>
      </w:pPr>
      <w:r>
        <w:rPr>
          <w:color w:val="000000" w:themeColor="text1"/>
          <w14:textFill>
            <w14:solidFill>
              <w14:schemeClr w14:val="tx1"/>
            </w14:solidFill>
          </w14:textFill>
        </w:rPr>
        <w:br w:type="page"/>
      </w:r>
    </w:p>
    <w:p>
      <w:pPr>
        <w:pStyle w:val="2"/>
        <w:ind w:firstLine="880"/>
      </w:pPr>
      <w:bookmarkStart w:id="17" w:name="_Toc82624319"/>
      <w:r>
        <w:rPr>
          <w:rFonts w:hint="eastAsia"/>
        </w:rPr>
        <w:t>第二篇</w:t>
      </w:r>
      <w:bookmarkStart w:id="18" w:name="_Toc63420783"/>
      <w:bookmarkStart w:id="19" w:name="_Toc63420784"/>
      <w:r>
        <w:t xml:space="preserve"> </w:t>
      </w:r>
      <w:r>
        <w:rPr>
          <w:rFonts w:hint="eastAsia"/>
        </w:rPr>
        <w:t>加快文化强县建设</w:t>
      </w:r>
      <w:bookmarkEnd w:id="17"/>
    </w:p>
    <w:p>
      <w:pPr>
        <w:ind w:firstLine="600"/>
      </w:pPr>
      <w:r>
        <w:rPr>
          <w:rFonts w:hint="eastAsia"/>
        </w:rPr>
        <w:t>坚持以社会主义核心价值观引领文化发展，提升社会文明程度和文化软实力，以创造</w:t>
      </w:r>
      <w:r>
        <w:t>高品质文化生活</w:t>
      </w:r>
      <w:r>
        <w:rPr>
          <w:rFonts w:hint="eastAsia"/>
        </w:rPr>
        <w:t>为目标</w:t>
      </w:r>
      <w:r>
        <w:t>，</w:t>
      </w:r>
      <w:r>
        <w:rPr>
          <w:rFonts w:hint="eastAsia"/>
        </w:rPr>
        <w:t>全面</w:t>
      </w:r>
      <w:r>
        <w:t>推进云阳公共文化服务、文化</w:t>
      </w:r>
      <w:r>
        <w:rPr>
          <w:rFonts w:hint="eastAsia"/>
        </w:rPr>
        <w:t>保护</w:t>
      </w:r>
      <w:r>
        <w:t>和传承、群众文艺、</w:t>
      </w:r>
      <w:r>
        <w:rPr>
          <w:rFonts w:hint="eastAsia"/>
        </w:rPr>
        <w:t>文化</w:t>
      </w:r>
      <w:r>
        <w:t>产业和文化传播</w:t>
      </w:r>
      <w:r>
        <w:rPr>
          <w:rFonts w:hint="eastAsia"/>
        </w:rPr>
        <w:t>五项工作</w:t>
      </w:r>
      <w:r>
        <w:t>，</w:t>
      </w:r>
      <w:r>
        <w:rPr>
          <w:rFonts w:hint="eastAsia"/>
        </w:rPr>
        <w:t>加快</w:t>
      </w:r>
      <w:r>
        <w:t>文化强县建设</w:t>
      </w:r>
      <w:r>
        <w:rPr>
          <w:rFonts w:hint="eastAsia"/>
        </w:rPr>
        <w:t>，</w:t>
      </w:r>
      <w:r>
        <w:t>落实“</w:t>
      </w:r>
      <w:r>
        <w:rPr>
          <w:rFonts w:hint="eastAsia"/>
        </w:rPr>
        <w:t>五地一支撑</w:t>
      </w:r>
      <w:r>
        <w:t>”</w:t>
      </w:r>
      <w:r>
        <w:rPr>
          <w:rFonts w:hint="eastAsia"/>
        </w:rPr>
        <w:t>发展</w:t>
      </w:r>
      <w:r>
        <w:t>目标。</w:t>
      </w:r>
    </w:p>
    <w:bookmarkEnd w:id="18"/>
    <w:p>
      <w:pPr>
        <w:pStyle w:val="3"/>
        <w:ind w:firstLine="720"/>
      </w:pPr>
      <w:bookmarkStart w:id="20" w:name="_Toc82624320"/>
      <w:r>
        <w:rPr>
          <w:rFonts w:hint="eastAsia"/>
        </w:rPr>
        <w:t>第三章 提升城乡公共文化服务水平</w:t>
      </w:r>
      <w:bookmarkEnd w:id="20"/>
    </w:p>
    <w:p>
      <w:pPr>
        <w:ind w:firstLine="600"/>
      </w:pPr>
      <w:r>
        <w:rPr>
          <w:rFonts w:hint="eastAsia"/>
        </w:rPr>
        <w:t>创造</w:t>
      </w:r>
      <w:r>
        <w:t>高品质文化生活</w:t>
      </w:r>
      <w:r>
        <w:rPr>
          <w:rFonts w:hint="eastAsia"/>
        </w:rPr>
        <w:t>要有</w:t>
      </w:r>
      <w:r>
        <w:t>坚定的文化信仰</w:t>
      </w:r>
      <w:r>
        <w:rPr>
          <w:rFonts w:hint="eastAsia"/>
        </w:rPr>
        <w:t>和</w:t>
      </w:r>
      <w:r>
        <w:t>坚实的设施支撑。</w:t>
      </w:r>
      <w:r>
        <w:rPr>
          <w:rFonts w:hint="eastAsia"/>
        </w:rPr>
        <w:t>提升</w:t>
      </w:r>
      <w:r>
        <w:t>城乡公共文化服务水平，在内核</w:t>
      </w:r>
      <w:r>
        <w:rPr>
          <w:rFonts w:hint="eastAsia"/>
        </w:rPr>
        <w:t>层面</w:t>
      </w:r>
      <w:r>
        <w:t>要以</w:t>
      </w:r>
      <w:r>
        <w:rPr>
          <w:rFonts w:hint="eastAsia"/>
        </w:rPr>
        <w:t>培育</w:t>
      </w:r>
      <w:r>
        <w:t>和践行社会主义核心价值观为中心</w:t>
      </w:r>
      <w:r>
        <w:rPr>
          <w:rFonts w:hint="eastAsia"/>
        </w:rPr>
        <w:t>，加强</w:t>
      </w:r>
      <w:r>
        <w:t>社会主义精神文明建设，提高社会文明程度</w:t>
      </w:r>
      <w:r>
        <w:rPr>
          <w:rFonts w:hint="eastAsia"/>
        </w:rPr>
        <w:t>；</w:t>
      </w:r>
      <w:r>
        <w:t>引领形式</w:t>
      </w:r>
      <w:r>
        <w:rPr>
          <w:rFonts w:hint="eastAsia"/>
        </w:rPr>
        <w:t>层面更高</w:t>
      </w:r>
      <w:r>
        <w:t>水平</w:t>
      </w:r>
      <w:r>
        <w:rPr>
          <w:rFonts w:hint="eastAsia"/>
        </w:rPr>
        <w:t>的</w:t>
      </w:r>
      <w:r>
        <w:t>公共文化服务</w:t>
      </w:r>
      <w:r>
        <w:rPr>
          <w:rFonts w:hint="eastAsia"/>
        </w:rPr>
        <w:t>体系</w:t>
      </w:r>
      <w:r>
        <w:t>建设。</w:t>
      </w:r>
    </w:p>
    <w:p>
      <w:pPr>
        <w:pStyle w:val="4"/>
        <w:ind w:firstLine="640"/>
      </w:pPr>
      <w:bookmarkStart w:id="21" w:name="_Toc82624321"/>
      <w:r>
        <w:rPr>
          <w:rFonts w:hint="eastAsia"/>
        </w:rPr>
        <w:t>第一节 提高社会文明程度</w:t>
      </w:r>
      <w:bookmarkEnd w:id="21"/>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——培育和践行社会主义核心价值观。</w:t>
      </w:r>
      <w:r>
        <w:rPr>
          <w:rFonts w:hint="eastAsia"/>
        </w:rPr>
        <w:t>推动形成适应新时代要求的思想观念、政治面貌、文明风尚、行为规范。推进爱国主义教育、红色精神、马克思理论指导、优秀传统文化继承创新、乡贤家风等精神文明落地生根。</w:t>
      </w:r>
      <w:r>
        <w:rPr>
          <w:rFonts w:hint="eastAsia"/>
          <w:color w:val="000000" w:themeColor="text1"/>
          <w14:textFill>
            <w14:solidFill>
              <w14:schemeClr w14:val="tx1"/>
            </w14:solidFill>
          </w14:textFill>
        </w:rPr>
        <w:t>持续推动社会主义核心价值观融入法治建设。实施红色基因传承工程，推进“红岩精神进校园”。</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——加强社会主义精神文明建设。</w:t>
      </w:r>
      <w:r>
        <w:rPr>
          <w:rFonts w:hint="eastAsia"/>
        </w:rPr>
        <w:t>全面推行社会公德、职业道德、家庭美德、个人品德建设，不断提升公民道德素质。</w:t>
      </w:r>
      <w:r>
        <w:rPr>
          <w:rFonts w:hint="eastAsia"/>
          <w:color w:val="000000" w:themeColor="text1"/>
          <w14:textFill>
            <w14:solidFill>
              <w14:schemeClr w14:val="tx1"/>
            </w14:solidFill>
          </w14:textFill>
        </w:rPr>
        <w:t>实施文明创建工程，深化文明村镇、文明家庭等群众性精神文明创建活动。广泛开展弘扬时代新风行动，推进诚信社会建设，提倡艰苦奋斗、勤俭节约，加强家庭、家教、家风建设，弘扬社会主义家庭文明新风尚，加强网络文明建设，发展积极健康的网络文化</w:t>
      </w:r>
      <w:r>
        <w:rPr>
          <w:rFonts w:hint="eastAsia"/>
        </w:rPr>
        <w:t>。</w:t>
      </w:r>
      <w:r>
        <w:rPr>
          <w:color w:val="000000" w:themeColor="text1"/>
          <w14:textFill>
            <w14:solidFill>
              <w14:schemeClr w14:val="tx1"/>
            </w14:solidFill>
          </w14:textFill>
        </w:rPr>
        <w:t xml:space="preserve"> </w:t>
      </w:r>
    </w:p>
    <w:p>
      <w:pPr>
        <w:pStyle w:val="4"/>
        <w:ind w:firstLine="640"/>
      </w:pPr>
      <w:bookmarkStart w:id="22" w:name="_Toc82624322"/>
      <w:r>
        <w:rPr>
          <w:rFonts w:hint="eastAsia"/>
        </w:rPr>
        <w:t>第二节 完善公共文化服务设施</w:t>
      </w:r>
      <w:bookmarkEnd w:id="22"/>
    </w:p>
    <w:p>
      <w:pPr>
        <w:ind w:firstLine="600"/>
        <w:rPr>
          <w:rFonts w:ascii="宋体" w:hAnsi="宋体" w:cs="宋体"/>
        </w:rPr>
      </w:pPr>
      <w:r>
        <w:rPr>
          <w:rFonts w:hint="eastAsia" w:ascii="宋体" w:hAnsi="宋体" w:cs="宋体"/>
        </w:rPr>
        <w:t>补齐公共文化设施短板，</w:t>
      </w:r>
      <w:r>
        <w:rPr>
          <w:rFonts w:hint="eastAsia"/>
          <w:color w:val="000000" w:themeColor="text1"/>
          <w14:textFill>
            <w14:solidFill>
              <w14:schemeClr w14:val="tx1"/>
            </w14:solidFill>
          </w14:textFill>
        </w:rPr>
        <w:t>升级“城区-乡镇-村社”公共文化设施体系</w:t>
      </w:r>
      <w:r>
        <w:rPr>
          <w:rFonts w:hint="eastAsia" w:ascii="宋体" w:hAnsi="宋体" w:cs="宋体"/>
        </w:rPr>
        <w:t>，</w:t>
      </w:r>
      <w:r>
        <w:rPr>
          <w:rFonts w:hint="eastAsia"/>
        </w:rPr>
        <w:t>构建“县城十分钟，乡村半小时”文化服务圈</w:t>
      </w:r>
      <w:r>
        <w:rPr>
          <w:rFonts w:hint="eastAsia" w:ascii="宋体" w:hAnsi="宋体" w:cs="宋体"/>
        </w:rPr>
        <w:t>。</w:t>
      </w:r>
    </w:p>
    <w:p>
      <w:pPr>
        <w:ind w:firstLine="602"/>
        <w:rPr>
          <w:color w:val="000000" w:themeColor="text1"/>
          <w14:textFill>
            <w14:solidFill>
              <w14:schemeClr w14:val="tx1"/>
            </w14:solidFill>
          </w14:textFill>
        </w:rPr>
      </w:pPr>
      <w:r>
        <w:rPr>
          <w:rFonts w:hint="eastAsia" w:ascii="宋体" w:hAnsi="宋体" w:cs="宋体"/>
          <w:b/>
        </w:rPr>
        <w:t>——新建和提升城区重大文化设施。</w:t>
      </w:r>
      <w:r>
        <w:rPr>
          <w:rFonts w:hint="eastAsia"/>
          <w:color w:val="000000" w:themeColor="text1"/>
          <w:shd w:val="clear" w:color="auto" w:fill="FFFFFF"/>
          <w14:textFill>
            <w14:solidFill>
              <w14:schemeClr w14:val="tx1"/>
            </w14:solidFill>
          </w14:textFill>
        </w:rPr>
        <w:t>按照国家一级馆标准</w:t>
      </w:r>
      <w:r>
        <w:rPr>
          <w:rFonts w:hint="eastAsia"/>
          <w:color w:val="000000" w:themeColor="text1"/>
          <w14:textFill>
            <w14:solidFill>
              <w14:schemeClr w14:val="tx1"/>
            </w14:solidFill>
          </w14:textFill>
        </w:rPr>
        <w:t>推进云阳博物馆建设</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协同黄石高铁站建设</w:t>
      </w:r>
      <w:r>
        <w:rPr>
          <w:color w:val="000000" w:themeColor="text1"/>
          <w14:textFill>
            <w14:solidFill>
              <w14:schemeClr w14:val="tx1"/>
            </w14:solidFill>
          </w14:textFill>
        </w:rPr>
        <w:t>更新地区文化</w:t>
      </w:r>
      <w:r>
        <w:rPr>
          <w:rFonts w:hint="eastAsia"/>
          <w:color w:val="000000" w:themeColor="text1"/>
          <w14:textFill>
            <w14:solidFill>
              <w14:schemeClr w14:val="tx1"/>
            </w14:solidFill>
          </w14:textFill>
        </w:rPr>
        <w:t>载体</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推动清水土家活态博物馆落成，打造传承、展示、零售一体的文化博物馆。推动落成具有三峡特色的云阳美术馆。围绕“瑞兰斋”桃片糕</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陶器</w:t>
      </w:r>
      <w:r>
        <w:rPr>
          <w:color w:val="000000" w:themeColor="text1"/>
          <w14:textFill>
            <w14:solidFill>
              <w14:schemeClr w14:val="tx1"/>
            </w14:solidFill>
          </w14:textFill>
        </w:rPr>
        <w:t>制作</w:t>
      </w:r>
      <w:r>
        <w:rPr>
          <w:rFonts w:hint="eastAsia"/>
          <w:color w:val="000000" w:themeColor="text1"/>
          <w14:textFill>
            <w14:solidFill>
              <w14:schemeClr w14:val="tx1"/>
            </w14:solidFill>
          </w14:textFill>
        </w:rPr>
        <w:t>等非遗建设县非遗展示中心。打造云阳县情展示与教育基地、地情文献收藏与服务中心，建设云阳方志馆。</w:t>
      </w:r>
      <w:r>
        <w:rPr>
          <w:rFonts w:hint="eastAsia"/>
          <w:color w:val="000000" w:themeColor="text1"/>
          <w:shd w:val="clear" w:color="auto" w:fill="FFFFFF"/>
          <w14:textFill>
            <w14:solidFill>
              <w14:schemeClr w14:val="tx1"/>
            </w14:solidFill>
          </w14:textFill>
        </w:rPr>
        <w:t>推动云阳规划馆、图书馆、文化馆</w:t>
      </w:r>
      <w:r>
        <w:rPr>
          <w:rFonts w:hint="eastAsia" w:ascii="宋体" w:hAnsi="宋体" w:cs="宋体"/>
        </w:rPr>
        <w:t>智慧化管理系统建设</w:t>
      </w:r>
      <w:r>
        <w:rPr>
          <w:rFonts w:hint="eastAsia"/>
          <w:color w:val="000000" w:themeColor="text1"/>
          <w14:textFill>
            <w14:solidFill>
              <w14:schemeClr w14:val="tx1"/>
            </w14:solidFill>
          </w14:textFill>
        </w:rPr>
        <w:t>，</w:t>
      </w:r>
      <w:r>
        <w:rPr>
          <w:rFonts w:hint="eastAsia" w:ascii="宋体" w:hAnsi="宋体" w:cs="宋体"/>
        </w:rPr>
        <w:t>建成云阳特色文化数据库</w:t>
      </w:r>
      <w:r>
        <w:rPr>
          <w:rFonts w:hint="eastAsia"/>
          <w:color w:val="000000" w:themeColor="text1"/>
          <w14:textFill>
            <w14:solidFill>
              <w14:schemeClr w14:val="tx1"/>
            </w14:solidFill>
          </w14:textFill>
        </w:rPr>
        <w:t>，进一步</w:t>
      </w:r>
      <w:r>
        <w:rPr>
          <w:color w:val="000000" w:themeColor="text1"/>
          <w14:textFill>
            <w14:solidFill>
              <w14:schemeClr w14:val="tx1"/>
            </w14:solidFill>
          </w14:textFill>
        </w:rPr>
        <w:t>承载和丰富云阳地方文化基底</w:t>
      </w:r>
      <w:r>
        <w:rPr>
          <w:rFonts w:hint="eastAsia" w:ascii="宋体" w:hAnsi="宋体" w:cs="宋体"/>
        </w:rPr>
        <w:t>。</w:t>
      </w:r>
    </w:p>
    <w:p>
      <w:pPr>
        <w:ind w:firstLine="602"/>
      </w:pPr>
      <w:r>
        <w:rPr>
          <w:rFonts w:hint="eastAsia" w:ascii="宋体" w:hAnsi="宋体" w:cs="宋体"/>
          <w:b/>
        </w:rPr>
        <w:t>——推进镇街-村社公共文化服务网络体系协调发展。</w:t>
      </w:r>
      <w:r>
        <w:rPr>
          <w:rFonts w:hint="eastAsia"/>
          <w:szCs w:val="32"/>
        </w:rPr>
        <w:t>按照《乡镇综合文化站建设标准》标准化升级乡镇综合</w:t>
      </w:r>
      <w:r>
        <w:rPr>
          <w:szCs w:val="32"/>
        </w:rPr>
        <w:t>文化服务中心</w:t>
      </w:r>
      <w:r>
        <w:rPr>
          <w:rFonts w:hint="eastAsia"/>
          <w:szCs w:val="32"/>
        </w:rPr>
        <w:t>，</w:t>
      </w:r>
      <w:r>
        <w:rPr>
          <w:rFonts w:hint="eastAsia" w:cs="Times New Roman"/>
          <w:kern w:val="0"/>
          <w:szCs w:val="32"/>
          <w:lang w:eastAsia="zh-Hans"/>
        </w:rPr>
        <w:t>力争</w:t>
      </w:r>
      <w:r>
        <w:rPr>
          <w:rFonts w:hint="eastAsia" w:cs="Times New Roman"/>
          <w:kern w:val="0"/>
          <w:szCs w:val="32"/>
        </w:rPr>
        <w:t>乡镇</w:t>
      </w:r>
      <w:r>
        <w:rPr>
          <w:rFonts w:cs="Times New Roman"/>
          <w:kern w:val="0"/>
          <w:szCs w:val="32"/>
          <w:lang w:eastAsia="zh-Hans"/>
        </w:rPr>
        <w:t>公共文化服务阵地</w:t>
      </w:r>
      <w:r>
        <w:rPr>
          <w:rFonts w:hint="eastAsia" w:cs="Times New Roman"/>
          <w:kern w:val="0"/>
          <w:szCs w:val="32"/>
          <w:lang w:eastAsia="zh-Hans"/>
        </w:rPr>
        <w:t>均</w:t>
      </w:r>
      <w:r>
        <w:rPr>
          <w:rFonts w:cs="Times New Roman"/>
          <w:kern w:val="0"/>
          <w:szCs w:val="32"/>
          <w:lang w:eastAsia="zh-Hans"/>
        </w:rPr>
        <w:t>达到</w:t>
      </w:r>
      <w:r>
        <w:rPr>
          <w:rFonts w:hint="eastAsia" w:cs="Times New Roman"/>
          <w:kern w:val="0"/>
          <w:szCs w:val="32"/>
        </w:rPr>
        <w:t>一</w:t>
      </w:r>
      <w:r>
        <w:rPr>
          <w:rFonts w:cs="Times New Roman"/>
          <w:kern w:val="0"/>
          <w:szCs w:val="32"/>
          <w:lang w:eastAsia="zh-Hans"/>
        </w:rPr>
        <w:t>级馆（</w:t>
      </w:r>
      <w:r>
        <w:rPr>
          <w:rFonts w:hint="eastAsia" w:cs="Times New Roman"/>
          <w:kern w:val="0"/>
          <w:szCs w:val="32"/>
          <w:lang w:eastAsia="zh-Hans"/>
        </w:rPr>
        <w:t>站</w:t>
      </w:r>
      <w:r>
        <w:rPr>
          <w:rFonts w:cs="Times New Roman"/>
          <w:kern w:val="0"/>
          <w:szCs w:val="32"/>
          <w:lang w:eastAsia="zh-Hans"/>
        </w:rPr>
        <w:t>）</w:t>
      </w:r>
      <w:r>
        <w:rPr>
          <w:rFonts w:hint="eastAsia" w:cs="Times New Roman"/>
          <w:kern w:val="0"/>
          <w:szCs w:val="32"/>
          <w:lang w:eastAsia="zh-Hans"/>
        </w:rPr>
        <w:t>开办</w:t>
      </w:r>
      <w:r>
        <w:rPr>
          <w:rFonts w:cs="Times New Roman"/>
          <w:kern w:val="0"/>
          <w:szCs w:val="32"/>
          <w:lang w:eastAsia="zh-Hans"/>
        </w:rPr>
        <w:t>标准，</w:t>
      </w:r>
      <w:r>
        <w:rPr>
          <w:rFonts w:hint="eastAsia" w:cs="Times New Roman"/>
          <w:kern w:val="0"/>
          <w:szCs w:val="32"/>
          <w:lang w:eastAsia="zh-Hans"/>
        </w:rPr>
        <w:t>引领基层文化服务</w:t>
      </w:r>
      <w:r>
        <w:rPr>
          <w:rFonts w:hint="eastAsia"/>
          <w:szCs w:val="32"/>
        </w:rPr>
        <w:t>；</w:t>
      </w:r>
      <w:r>
        <w:rPr>
          <w:rFonts w:ascii="Arial" w:hAnsi="Arial" w:cs="Arial"/>
          <w:color w:val="333333"/>
          <w:shd w:val="clear" w:color="auto" w:fill="FFFFFF"/>
        </w:rPr>
        <w:t>进一步完善</w:t>
      </w:r>
      <w:r>
        <w:rPr>
          <w:rFonts w:hint="eastAsia" w:ascii="Arial" w:hAnsi="Arial" w:cs="Arial"/>
          <w:color w:val="333333"/>
          <w:shd w:val="clear" w:color="auto" w:fill="FFFFFF"/>
        </w:rPr>
        <w:t>村社</w:t>
      </w:r>
      <w:r>
        <w:rPr>
          <w:rFonts w:ascii="Arial" w:hAnsi="Arial" w:cs="Arial"/>
          <w:color w:val="333333"/>
          <w:shd w:val="clear" w:color="auto" w:fill="FFFFFF"/>
        </w:rPr>
        <w:t>文化基础设施网络，加大村社综合文化中心建设力度</w:t>
      </w:r>
      <w:r>
        <w:rPr>
          <w:rFonts w:hint="eastAsia" w:ascii="Arial" w:hAnsi="Arial" w:cs="Arial"/>
          <w:color w:val="333333"/>
          <w:shd w:val="clear" w:color="auto" w:fill="FFFFFF"/>
        </w:rPr>
        <w:t>，持续推动</w:t>
      </w:r>
      <w:r>
        <w:rPr>
          <w:rFonts w:hint="eastAsia"/>
          <w:szCs w:val="32"/>
        </w:rPr>
        <w:t>全县村社综合文化服务中心按“七个一”标准升级，为乡村文化振兴提供基层文化阵地。</w:t>
      </w:r>
      <w:r>
        <w:t xml:space="preserve"> </w:t>
      </w:r>
    </w:p>
    <w:p>
      <w:pPr>
        <w:ind w:firstLine="602"/>
      </w:pPr>
      <w:r>
        <w:rPr>
          <w:rFonts w:hint="eastAsia" w:cs="Times New Roman"/>
          <w:b/>
          <w:kern w:val="0"/>
          <w:szCs w:val="32"/>
        </w:rPr>
        <w:t>——</w:t>
      </w:r>
      <w:r>
        <w:rPr>
          <w:rFonts w:hint="eastAsia" w:cs="Times New Roman"/>
          <w:b/>
          <w:kern w:val="0"/>
          <w:szCs w:val="32"/>
          <w:lang w:eastAsia="zh-Hans"/>
        </w:rPr>
        <w:t>创新拓展城市公共文化空间。</w:t>
      </w:r>
      <w:r>
        <w:rPr>
          <w:rFonts w:hint="eastAsia"/>
          <w:szCs w:val="52"/>
        </w:rPr>
        <w:t>推动公共文化服务进</w:t>
      </w:r>
      <w:r>
        <w:rPr>
          <w:rFonts w:hint="eastAsia" w:cs="Times New Roman"/>
          <w:kern w:val="0"/>
          <w:szCs w:val="32"/>
          <w:lang w:eastAsia="zh-Hans"/>
        </w:rPr>
        <w:t>商圈</w:t>
      </w:r>
      <w:r>
        <w:rPr>
          <w:rFonts w:hint="eastAsia" w:cs="Times New Roman"/>
          <w:kern w:val="0"/>
          <w:szCs w:val="32"/>
        </w:rPr>
        <w:t>、</w:t>
      </w:r>
      <w:r>
        <w:rPr>
          <w:rFonts w:hint="eastAsia"/>
          <w:szCs w:val="52"/>
        </w:rPr>
        <w:t>景区、景点、民宿，</w:t>
      </w:r>
      <w:r>
        <w:rPr>
          <w:rFonts w:hint="eastAsia" w:cs="Times New Roman"/>
          <w:kern w:val="0"/>
          <w:szCs w:val="32"/>
          <w:lang w:eastAsia="zh-Hans"/>
        </w:rPr>
        <w:t>打造一批融合图书阅读、艺术展览、文化沙龙、轻食餐饮等服务的城市书屋、流动图书点、24小时自助图书馆等新型文化业态</w:t>
      </w:r>
      <w:r>
        <w:rPr>
          <w:rFonts w:hint="eastAsia"/>
          <w:szCs w:val="52"/>
        </w:rPr>
        <w:t>；积极推进社区文化“嵌入式”服务，鼓励社区养老、文化等公共服务设施共建共享。</w:t>
      </w:r>
    </w:p>
    <w:p>
      <w:pPr>
        <w:pStyle w:val="4"/>
        <w:ind w:firstLine="640"/>
      </w:pPr>
      <w:bookmarkStart w:id="23" w:name="_Toc82624323"/>
      <w:r>
        <w:rPr>
          <w:rFonts w:hint="eastAsia"/>
        </w:rPr>
        <w:t>第三节 丰富公共文化服务产品</w:t>
      </w:r>
      <w:bookmarkEnd w:id="23"/>
    </w:p>
    <w:p>
      <w:pPr>
        <w:ind w:firstLine="602"/>
        <w:rPr>
          <w:bCs/>
          <w:spacing w:val="4"/>
          <w:sz w:val="32"/>
          <w:szCs w:val="32"/>
        </w:rPr>
      </w:pPr>
      <w:r>
        <w:rPr>
          <w:rFonts w:ascii="宋体" w:hAnsi="宋体" w:cs="宋体"/>
          <w:b/>
        </w:rPr>
        <w:t>——</w:t>
      </w:r>
      <w:r>
        <w:rPr>
          <w:rFonts w:hint="eastAsia" w:ascii="宋体" w:hAnsi="宋体" w:cs="宋体"/>
          <w:b/>
        </w:rPr>
        <w:t>办好</w:t>
      </w:r>
      <w:r>
        <w:rPr>
          <w:rFonts w:ascii="宋体" w:hAnsi="宋体" w:cs="宋体"/>
          <w:b/>
        </w:rPr>
        <w:t>品牌</w:t>
      </w:r>
      <w:r>
        <w:rPr>
          <w:rFonts w:hint="eastAsia" w:ascii="宋体" w:hAnsi="宋体" w:cs="宋体"/>
          <w:b/>
        </w:rPr>
        <w:t>文化</w:t>
      </w:r>
      <w:r>
        <w:rPr>
          <w:rFonts w:ascii="宋体" w:hAnsi="宋体" w:cs="宋体"/>
          <w:b/>
        </w:rPr>
        <w:t>活动</w:t>
      </w:r>
      <w:r>
        <w:rPr>
          <w:rFonts w:hint="eastAsia"/>
          <w:bCs/>
          <w:spacing w:val="4"/>
          <w:sz w:val="32"/>
          <w:szCs w:val="32"/>
        </w:rPr>
        <w:t>。</w:t>
      </w:r>
      <w:r>
        <w:rPr>
          <w:rFonts w:hint="eastAsia" w:ascii="方正仿宋_GBK"/>
        </w:rPr>
        <w:t>承接上级大型文化活动</w:t>
      </w:r>
      <w:r>
        <w:rPr>
          <w:rFonts w:hint="eastAsia"/>
        </w:rPr>
        <w:t>，做好重庆市“双晒”大型文旅推介活动、惠民文化消费季等活动。</w:t>
      </w:r>
      <w:r>
        <w:rPr>
          <w:rFonts w:hint="eastAsia" w:ascii="方正仿宋_GBK"/>
          <w:szCs w:val="32"/>
        </w:rPr>
        <w:t>培育全域文化活动品牌，</w:t>
      </w:r>
      <w:r>
        <w:rPr>
          <w:rFonts w:hint="eastAsia" w:ascii="方正仿宋_GBK" w:hAnsi="方正仿宋_GBK"/>
          <w:szCs w:val="32"/>
        </w:rPr>
        <w:t>打造梯城文化月、全民健身月、全民读书月等常态化文化活动品牌，</w:t>
      </w:r>
      <w:r>
        <w:rPr>
          <w:rFonts w:hint="eastAsia"/>
        </w:rPr>
        <w:t>持续办好“锦绣云阳”等文化艺术展，策划组织好“梯城周末剧场”“中华优秀传统文化公益论坛”等一批具有影响力的文化事业活动和文化论坛。</w:t>
      </w:r>
    </w:p>
    <w:p>
      <w:pPr>
        <w:ind w:firstLine="600"/>
      </w:pPr>
      <w:r>
        <w:rPr>
          <w:rFonts w:hint="eastAsia"/>
        </w:rPr>
        <w:t>——</w:t>
      </w:r>
      <w:r>
        <w:rPr>
          <w:rFonts w:hint="eastAsia" w:ascii="方正仿宋_GBK"/>
          <w:b/>
        </w:rPr>
        <w:t>推动乡镇村基层文化惠民活动。</w:t>
      </w:r>
      <w:r>
        <w:rPr>
          <w:rFonts w:hint="eastAsia" w:ascii="方正仿宋_GBK"/>
        </w:rPr>
        <w:t>全面推进文化进学校、进乡村、进社区“三进”活动，深入开展送演出、送图书、送讲座、送培训、送法规宣讲等文化流动活动。</w:t>
      </w:r>
      <w:r>
        <w:rPr>
          <w:rFonts w:hint="eastAsia"/>
        </w:rPr>
        <w:t>持续开展广场舞展演、戏剧曲艺大赛、乡村文艺会演、书法、摄影、美术、音乐作品展览展演等形式的展演活动。</w:t>
      </w:r>
    </w:p>
    <w:p>
      <w:pPr>
        <w:ind w:firstLine="602"/>
      </w:pPr>
      <w:r>
        <w:rPr>
          <w:rFonts w:hint="eastAsia"/>
          <w:b/>
        </w:rPr>
        <w:t>——搭建全民阅读服务平台，建好“书香云阳”。</w:t>
      </w:r>
      <w:r>
        <w:rPr>
          <w:rFonts w:hint="eastAsia"/>
        </w:rPr>
        <w:t>加快建设全民阅读载体，推进城市书吧、社区书屋、职工书屋等新型阅读空间建设。</w:t>
      </w:r>
      <w:r>
        <w:rPr>
          <w:rFonts w:hint="eastAsia"/>
          <w:szCs w:val="32"/>
        </w:rPr>
        <w:t>推进 “2</w:t>
      </w:r>
      <w:r>
        <w:rPr>
          <w:szCs w:val="32"/>
        </w:rPr>
        <w:t>4</w:t>
      </w:r>
      <w:r>
        <w:rPr>
          <w:rFonts w:hint="eastAsia"/>
          <w:szCs w:val="32"/>
        </w:rPr>
        <w:t>小时图书馆”与地方旅游建设相结合，提升旅游载体的文化服务功能</w:t>
      </w:r>
      <w:r>
        <w:rPr>
          <w:rFonts w:hint="eastAsia"/>
        </w:rPr>
        <w:t>。丰富全民阅读活动，做好“大众喜爱的50种图书”等推优工作。鼓励各乡镇街道开展各类全民阅读活动，使阅读活动更加深入基层、深入群众。</w:t>
      </w:r>
    </w:p>
    <w:p>
      <w:pPr>
        <w:ind w:firstLine="600"/>
      </w:pPr>
      <w:r>
        <w:rPr>
          <w:rFonts w:hint="eastAsia"/>
        </w:rPr>
        <w:t>——</w:t>
      </w:r>
      <w:r>
        <w:rPr>
          <w:rFonts w:hint="eastAsia" w:ascii="方正仿宋_GBK" w:hAnsi="方正仿宋_GBK"/>
          <w:b/>
        </w:rPr>
        <w:t>完善文化</w:t>
      </w:r>
      <w:r>
        <w:rPr>
          <w:rFonts w:ascii="方正仿宋_GBK" w:hAnsi="方正仿宋_GBK"/>
          <w:b/>
        </w:rPr>
        <w:t>活动</w:t>
      </w:r>
      <w:r>
        <w:rPr>
          <w:rFonts w:hint="eastAsia" w:ascii="方正仿宋_GBK" w:hAnsi="方正仿宋_GBK"/>
          <w:b/>
        </w:rPr>
        <w:t>市场化机制</w:t>
      </w:r>
      <w:r>
        <w:rPr>
          <w:rFonts w:ascii="方正仿宋_GBK" w:hAnsi="方正仿宋_GBK"/>
        </w:rPr>
        <w:t>。</w:t>
      </w:r>
      <w:r>
        <w:rPr>
          <w:rFonts w:hint="eastAsia" w:ascii="方正仿宋_GBK" w:hAnsi="方正仿宋_GBK"/>
        </w:rPr>
        <w:t>鼓励社会力量参与公共文化服务体系建设，推动文化公共服务社会化发展。支持民间文艺协会和民间团体自发组织开展公共文化服务活动，允许</w:t>
      </w:r>
      <w:r>
        <w:rPr>
          <w:rFonts w:ascii="方正仿宋_GBK" w:hAnsi="方正仿宋_GBK"/>
        </w:rPr>
        <w:t>有宣传需求的</w:t>
      </w:r>
      <w:r>
        <w:rPr>
          <w:rFonts w:hint="eastAsia" w:ascii="方正仿宋_GBK" w:hAnsi="方正仿宋_GBK"/>
        </w:rPr>
        <w:t>优质</w:t>
      </w:r>
      <w:r>
        <w:rPr>
          <w:rFonts w:ascii="方正仿宋_GBK" w:hAnsi="方正仿宋_GBK"/>
        </w:rPr>
        <w:t>企业</w:t>
      </w:r>
      <w:r>
        <w:rPr>
          <w:rFonts w:hint="eastAsia" w:ascii="方正仿宋_GBK" w:hAnsi="方正仿宋_GBK"/>
        </w:rPr>
        <w:t>主办、</w:t>
      </w:r>
      <w:r>
        <w:rPr>
          <w:rFonts w:ascii="方正仿宋_GBK" w:hAnsi="方正仿宋_GBK"/>
        </w:rPr>
        <w:t>承办</w:t>
      </w:r>
      <w:r>
        <w:rPr>
          <w:rFonts w:hint="eastAsia" w:ascii="方正仿宋_GBK" w:hAnsi="方正仿宋_GBK"/>
        </w:rPr>
        <w:t>或</w:t>
      </w:r>
      <w:r>
        <w:rPr>
          <w:rFonts w:ascii="方正仿宋_GBK" w:hAnsi="方正仿宋_GBK"/>
        </w:rPr>
        <w:t>赞助</w:t>
      </w:r>
      <w:r>
        <w:rPr>
          <w:rFonts w:hint="eastAsia" w:ascii="方正仿宋_GBK" w:hAnsi="方正仿宋_GBK"/>
        </w:rPr>
        <w:t>，</w:t>
      </w:r>
      <w:r>
        <w:rPr>
          <w:rFonts w:ascii="方正仿宋_GBK" w:hAnsi="方正仿宋_GBK"/>
        </w:rPr>
        <w:t>深化“</w:t>
      </w:r>
      <w:r>
        <w:rPr>
          <w:rFonts w:hint="eastAsia" w:ascii="方正仿宋_GBK" w:hAnsi="方正仿宋_GBK"/>
        </w:rPr>
        <w:t>经济</w:t>
      </w:r>
      <w:r>
        <w:rPr>
          <w:rFonts w:ascii="方正仿宋_GBK" w:hAnsi="方正仿宋_GBK"/>
        </w:rPr>
        <w:t>搭台、文化唱戏”</w:t>
      </w:r>
      <w:r>
        <w:rPr>
          <w:rFonts w:hint="eastAsia" w:ascii="方正仿宋_GBK" w:hAnsi="方正仿宋_GBK"/>
        </w:rPr>
        <w:t>的</w:t>
      </w:r>
      <w:r>
        <w:rPr>
          <w:rFonts w:ascii="方正仿宋_GBK" w:hAnsi="方正仿宋_GBK"/>
        </w:rPr>
        <w:t>市场运作机制。</w:t>
      </w:r>
    </w:p>
    <w:p>
      <w:pPr>
        <w:pStyle w:val="4"/>
        <w:ind w:firstLine="640"/>
      </w:pPr>
      <w:bookmarkStart w:id="24" w:name="_Toc82624324"/>
      <w:r>
        <w:rPr>
          <w:rFonts w:hint="eastAsia"/>
        </w:rPr>
        <w:t>第四节 提升公共文化服务智慧化水平</w:t>
      </w:r>
      <w:bookmarkEnd w:id="24"/>
    </w:p>
    <w:p>
      <w:pPr>
        <w:ind w:firstLine="600"/>
      </w:pPr>
      <w:r>
        <w:rPr>
          <w:rFonts w:hint="eastAsia"/>
        </w:rPr>
        <w:t>结合智慧城市建设，统筹推进公共文化服务设施智慧化升级，向基层群众提供“一站式”综合性公共数字文化服务。智慧化升级公共文化设施。推动“城区-乡镇（街道）-村（社区）”三级公共文化服务设施智慧化升级、推动城乡电子阅报屏全域普及。智慧化提供公共文化服务。提供线上预约预订、咨询投诉、公共文化资源查询等文化公共信息咨询与服务；升级公共文化物联网，利用网络电视或手机等终端获取需求信息、推送文化服务，提供“百姓点单、政府配送”一站式服务。</w:t>
      </w:r>
    </w:p>
    <w:p>
      <w:pPr>
        <w:ind w:firstLine="420"/>
        <w:jc w:val="center"/>
        <w:rPr>
          <w:rFonts w:ascii="黑体" w:hAnsi="黑体" w:eastAsia="黑体" w:cs="宋体"/>
          <w:bCs/>
          <w:color w:val="000000" w:themeColor="text1"/>
          <w:kern w:val="0"/>
          <w:sz w:val="21"/>
          <w:szCs w:val="21"/>
          <w14:textFill>
            <w14:solidFill>
              <w14:schemeClr w14:val="tx1"/>
            </w14:solidFill>
          </w14:textFill>
        </w:rPr>
      </w:pPr>
      <w:r>
        <w:rPr>
          <w:rFonts w:hint="eastAsia" w:ascii="黑体" w:hAnsi="黑体" w:eastAsia="黑体" w:cs="宋体"/>
          <w:bCs/>
          <w:color w:val="000000" w:themeColor="text1"/>
          <w:kern w:val="0"/>
          <w:sz w:val="21"/>
          <w:szCs w:val="21"/>
          <w14:textFill>
            <w14:solidFill>
              <w14:schemeClr w14:val="tx1"/>
            </w14:solidFill>
          </w14:textFill>
        </w:rPr>
        <w:t>专栏1</w:t>
      </w:r>
      <w:r>
        <w:rPr>
          <w:rFonts w:ascii="黑体" w:hAnsi="黑体" w:eastAsia="黑体" w:cs="宋体"/>
          <w:bCs/>
          <w:color w:val="000000" w:themeColor="text1"/>
          <w:kern w:val="0"/>
          <w:sz w:val="21"/>
          <w:szCs w:val="21"/>
          <w14:textFill>
            <w14:solidFill>
              <w14:schemeClr w14:val="tx1"/>
            </w14:solidFill>
          </w14:textFill>
        </w:rPr>
        <w:t xml:space="preserve"> </w:t>
      </w:r>
      <w:r>
        <w:rPr>
          <w:rFonts w:hint="eastAsia" w:ascii="黑体" w:hAnsi="黑体" w:eastAsia="黑体" w:cs="宋体"/>
          <w:bCs/>
          <w:color w:val="000000" w:themeColor="text1"/>
          <w:kern w:val="0"/>
          <w:sz w:val="21"/>
          <w:szCs w:val="21"/>
          <w14:textFill>
            <w14:solidFill>
              <w14:schemeClr w14:val="tx1"/>
            </w14:solidFill>
          </w14:textFill>
        </w:rPr>
        <w:t>提升城乡公共文化服务水平</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ind w:firstLine="0" w:firstLineChars="0"/>
              <w:jc w:val="left"/>
              <w:rPr>
                <w:rFonts w:ascii="楷体" w:hAnsi="楷体" w:eastAsia="楷体" w:cs="宋体"/>
                <w:b/>
                <w:color w:val="000000" w:themeColor="text1"/>
                <w:kern w:val="0"/>
                <w:sz w:val="21"/>
                <w:szCs w:val="21"/>
                <w14:textFill>
                  <w14:solidFill>
                    <w14:schemeClr w14:val="tx1"/>
                  </w14:solidFill>
                </w14:textFill>
              </w:rPr>
            </w:pPr>
            <w:r>
              <w:rPr>
                <w:rFonts w:hint="eastAsia" w:ascii="楷体" w:hAnsi="楷体" w:eastAsia="楷体" w:cs="宋体"/>
                <w:b/>
                <w:color w:val="000000" w:themeColor="text1"/>
                <w:kern w:val="0"/>
                <w:sz w:val="21"/>
                <w:szCs w:val="21"/>
                <w14:textFill>
                  <w14:solidFill>
                    <w14:schemeClr w14:val="tx1"/>
                  </w14:solidFill>
                </w14:textFill>
              </w:rPr>
              <w:t>重点项目：</w:t>
            </w:r>
          </w:p>
          <w:p>
            <w:pPr>
              <w:widowControl/>
              <w:ind w:firstLine="422"/>
              <w:jc w:val="left"/>
              <w:rPr>
                <w:rFonts w:ascii="楷体" w:hAnsi="楷体" w:eastAsia="楷体" w:cs="宋体"/>
                <w:color w:val="000000" w:themeColor="text1"/>
                <w:kern w:val="0"/>
                <w:sz w:val="21"/>
                <w:szCs w:val="21"/>
                <w14:textFill>
                  <w14:solidFill>
                    <w14:schemeClr w14:val="tx1"/>
                  </w14:solidFill>
                </w14:textFill>
              </w:rPr>
            </w:pPr>
            <w:r>
              <w:rPr>
                <w:rFonts w:hint="eastAsia" w:ascii="楷体" w:hAnsi="楷体" w:eastAsia="楷体" w:cs="宋体"/>
                <w:b/>
                <w:color w:val="000000" w:themeColor="text1"/>
                <w:kern w:val="0"/>
                <w:sz w:val="21"/>
                <w:szCs w:val="21"/>
                <w14:textFill>
                  <w14:solidFill>
                    <w14:schemeClr w14:val="tx1"/>
                  </w14:solidFill>
                </w14:textFill>
              </w:rPr>
              <w:t>重大文化设施。</w:t>
            </w:r>
            <w:r>
              <w:rPr>
                <w:rFonts w:hint="eastAsia" w:ascii="楷体" w:hAnsi="楷体" w:eastAsia="楷体" w:cs="宋体"/>
                <w:color w:val="000000" w:themeColor="text1"/>
                <w:kern w:val="0"/>
                <w:sz w:val="21"/>
                <w:szCs w:val="21"/>
                <w14:textFill>
                  <w14:solidFill>
                    <w14:schemeClr w14:val="tx1"/>
                  </w14:solidFill>
                </w14:textFill>
              </w:rPr>
              <w:t>新建云阳博物馆、土家活态博物馆、云阳美术馆、非遗展示中心、云阳方志馆。升级云阳规划馆、图书馆、文化馆。</w:t>
            </w:r>
          </w:p>
          <w:p>
            <w:pPr>
              <w:widowControl/>
              <w:ind w:firstLine="422"/>
              <w:jc w:val="left"/>
              <w:rPr>
                <w:rFonts w:ascii="楷体" w:hAnsi="楷体" w:eastAsia="楷体" w:cs="宋体"/>
                <w:color w:val="000000" w:themeColor="text1"/>
                <w:kern w:val="0"/>
                <w:sz w:val="21"/>
                <w:szCs w:val="21"/>
                <w14:textFill>
                  <w14:solidFill>
                    <w14:schemeClr w14:val="tx1"/>
                  </w14:solidFill>
                </w14:textFill>
              </w:rPr>
            </w:pPr>
            <w:r>
              <w:rPr>
                <w:rFonts w:hint="eastAsia" w:ascii="楷体" w:hAnsi="楷体" w:eastAsia="楷体" w:cs="宋体"/>
                <w:b/>
                <w:color w:val="000000" w:themeColor="text1"/>
                <w:kern w:val="0"/>
                <w:sz w:val="21"/>
                <w:szCs w:val="21"/>
                <w14:textFill>
                  <w14:solidFill>
                    <w14:schemeClr w14:val="tx1"/>
                  </w14:solidFill>
                </w14:textFill>
              </w:rPr>
              <w:t>基层文化设施</w:t>
            </w:r>
            <w:r>
              <w:rPr>
                <w:rFonts w:ascii="楷体" w:hAnsi="楷体" w:eastAsia="楷体" w:cs="宋体"/>
                <w:b/>
                <w:color w:val="000000" w:themeColor="text1"/>
                <w:kern w:val="0"/>
                <w:sz w:val="21"/>
                <w:szCs w:val="21"/>
                <w14:textFill>
                  <w14:solidFill>
                    <w14:schemeClr w14:val="tx1"/>
                  </w14:solidFill>
                </w14:textFill>
              </w:rPr>
              <w:t>。</w:t>
            </w:r>
            <w:r>
              <w:rPr>
                <w:rFonts w:hint="eastAsia" w:ascii="楷体" w:hAnsi="楷体" w:eastAsia="楷体" w:cs="宋体"/>
                <w:bCs/>
                <w:color w:val="000000" w:themeColor="text1"/>
                <w:kern w:val="0"/>
                <w:sz w:val="21"/>
                <w:szCs w:val="21"/>
                <w14:textFill>
                  <w14:solidFill>
                    <w14:schemeClr w14:val="tx1"/>
                  </w14:solidFill>
                </w14:textFill>
              </w:rPr>
              <w:t>推进</w:t>
            </w:r>
            <w:r>
              <w:rPr>
                <w:rFonts w:hint="eastAsia" w:ascii="楷体" w:hAnsi="楷体" w:eastAsia="楷体" w:cs="宋体"/>
                <w:color w:val="000000" w:themeColor="text1"/>
                <w:kern w:val="0"/>
                <w:sz w:val="21"/>
                <w:szCs w:val="21"/>
                <w14:textFill>
                  <w14:solidFill>
                    <w14:schemeClr w14:val="tx1"/>
                  </w14:solidFill>
                </w14:textFill>
              </w:rPr>
              <w:t>云阳县各镇街文化馆分馆、社区（村）综合文化服务中心建设。</w:t>
            </w:r>
          </w:p>
          <w:p>
            <w:pPr>
              <w:pStyle w:val="6"/>
              <w:ind w:firstLine="422"/>
              <w:rPr>
                <w:rFonts w:eastAsia="楷体"/>
                <w:color w:val="000000" w:themeColor="text1"/>
                <w:sz w:val="21"/>
                <w:szCs w:val="21"/>
                <w14:textFill>
                  <w14:solidFill>
                    <w14:schemeClr w14:val="tx1"/>
                  </w14:solidFill>
                </w14:textFill>
              </w:rPr>
            </w:pPr>
            <w:r>
              <w:rPr>
                <w:rFonts w:hint="eastAsia" w:ascii="楷体" w:hAnsi="楷体" w:eastAsia="楷体" w:cs="宋体"/>
                <w:b/>
                <w:bCs/>
                <w:color w:val="000000" w:themeColor="text1"/>
                <w:kern w:val="0"/>
                <w:sz w:val="21"/>
                <w:szCs w:val="21"/>
                <w14:textFill>
                  <w14:solidFill>
                    <w14:schemeClr w14:val="tx1"/>
                  </w14:solidFill>
                </w14:textFill>
              </w:rPr>
              <w:t>公共文化数字化提升。</w:t>
            </w:r>
            <w:r>
              <w:rPr>
                <w:rFonts w:hint="eastAsia" w:ascii="楷体" w:hAnsi="楷体" w:eastAsia="楷体" w:cs="宋体"/>
                <w:color w:val="000000" w:themeColor="text1"/>
                <w:kern w:val="0"/>
                <w:sz w:val="21"/>
                <w:szCs w:val="21"/>
                <w14:textFill>
                  <w14:solidFill>
                    <w14:schemeClr w14:val="tx1"/>
                  </w14:solidFill>
                </w14:textFill>
              </w:rPr>
              <w:t>推进云阳基层文化设施向数字化、智慧化转变，建成公共文化数字资源库群，完成乡镇文化服务中心数字化升级。</w:t>
            </w:r>
          </w:p>
          <w:p>
            <w:pPr>
              <w:widowControl/>
              <w:ind w:firstLine="0" w:firstLineChars="0"/>
              <w:jc w:val="left"/>
              <w:rPr>
                <w:rFonts w:ascii="楷体" w:hAnsi="楷体" w:eastAsia="楷体" w:cs="宋体"/>
                <w:b/>
                <w:bCs/>
                <w:color w:val="000000" w:themeColor="text1"/>
                <w:kern w:val="0"/>
                <w:sz w:val="21"/>
                <w:szCs w:val="21"/>
                <w14:textFill>
                  <w14:solidFill>
                    <w14:schemeClr w14:val="tx1"/>
                  </w14:solidFill>
                </w14:textFill>
              </w:rPr>
            </w:pPr>
            <w:r>
              <w:rPr>
                <w:rFonts w:hint="eastAsia" w:ascii="楷体" w:hAnsi="楷体" w:eastAsia="楷体" w:cs="宋体"/>
                <w:b/>
                <w:bCs/>
                <w:color w:val="000000" w:themeColor="text1"/>
                <w:kern w:val="0"/>
                <w:sz w:val="21"/>
                <w:szCs w:val="21"/>
                <w14:textFill>
                  <w14:solidFill>
                    <w14:schemeClr w14:val="tx1"/>
                  </w14:solidFill>
                </w14:textFill>
              </w:rPr>
              <w:t>重要措施：</w:t>
            </w:r>
          </w:p>
          <w:p>
            <w:pPr>
              <w:widowControl/>
              <w:ind w:firstLine="422"/>
              <w:jc w:val="left"/>
              <w:rPr>
                <w:rFonts w:ascii="Calibri" w:hAnsi="Calibri" w:eastAsia="楷体"/>
                <w:color w:val="000000" w:themeColor="text1"/>
                <w:szCs w:val="28"/>
                <w14:textFill>
                  <w14:solidFill>
                    <w14:schemeClr w14:val="tx1"/>
                  </w14:solidFill>
                </w14:textFill>
              </w:rPr>
            </w:pPr>
            <w:r>
              <w:rPr>
                <w:rFonts w:hint="eastAsia" w:ascii="楷体" w:hAnsi="楷体" w:eastAsia="楷体" w:cs="宋体"/>
                <w:b/>
                <w:color w:val="000000" w:themeColor="text1"/>
                <w:kern w:val="0"/>
                <w:sz w:val="21"/>
                <w:szCs w:val="21"/>
                <w14:textFill>
                  <w14:solidFill>
                    <w14:schemeClr w14:val="tx1"/>
                  </w14:solidFill>
                </w14:textFill>
              </w:rPr>
              <w:t>优化公共文化产品供给</w:t>
            </w:r>
            <w:r>
              <w:rPr>
                <w:rFonts w:ascii="楷体" w:hAnsi="楷体" w:eastAsia="楷体" w:cs="宋体"/>
                <w:b/>
                <w:color w:val="000000" w:themeColor="text1"/>
                <w:kern w:val="0"/>
                <w:sz w:val="21"/>
                <w:szCs w:val="21"/>
                <w14:textFill>
                  <w14:solidFill>
                    <w14:schemeClr w14:val="tx1"/>
                  </w14:solidFill>
                </w14:textFill>
              </w:rPr>
              <w:t>。</w:t>
            </w:r>
            <w:r>
              <w:rPr>
                <w:rFonts w:ascii="楷体" w:hAnsi="楷体" w:eastAsia="楷体" w:cs="宋体"/>
                <w:color w:val="000000" w:themeColor="text1"/>
                <w:kern w:val="0"/>
                <w:sz w:val="21"/>
                <w:szCs w:val="21"/>
                <w14:textFill>
                  <w14:solidFill>
                    <w14:schemeClr w14:val="tx1"/>
                  </w14:solidFill>
                </w14:textFill>
              </w:rPr>
              <w:t>通过</w:t>
            </w:r>
            <w:r>
              <w:rPr>
                <w:rFonts w:hint="eastAsia" w:ascii="楷体" w:hAnsi="楷体" w:eastAsia="楷体" w:cs="宋体"/>
                <w:color w:val="000000" w:themeColor="text1"/>
                <w:kern w:val="0"/>
                <w:sz w:val="21"/>
                <w:szCs w:val="21"/>
                <w14:textFill>
                  <w14:solidFill>
                    <w14:schemeClr w14:val="tx1"/>
                  </w14:solidFill>
                </w14:textFill>
              </w:rPr>
              <w:t>软硬措施推进公共文化设施免费或低收费开放、加强城乡文化交流和特殊人群基本文化权益保障工作。</w:t>
            </w:r>
          </w:p>
        </w:tc>
      </w:tr>
    </w:tbl>
    <w:p>
      <w:pPr>
        <w:pStyle w:val="3"/>
        <w:ind w:firstLine="720"/>
      </w:pPr>
      <w:bookmarkStart w:id="25" w:name="_Toc82624325"/>
      <w:r>
        <w:rPr>
          <w:rFonts w:hint="eastAsia"/>
        </w:rPr>
        <w:t>第四章 推进文化保护和传承</w:t>
      </w:r>
      <w:bookmarkEnd w:id="25"/>
    </w:p>
    <w:p>
      <w:pPr>
        <w:ind w:firstLine="600"/>
      </w:pPr>
      <w:r>
        <w:rPr>
          <w:rFonts w:hint="eastAsia"/>
        </w:rPr>
        <w:t>创造高品质文化生活要有优秀</w:t>
      </w:r>
      <w:r>
        <w:t>中华传统文化</w:t>
      </w:r>
      <w:r>
        <w:rPr>
          <w:rFonts w:hint="eastAsia"/>
        </w:rPr>
        <w:t>作</w:t>
      </w:r>
      <w:r>
        <w:t>为滋养源头</w:t>
      </w:r>
      <w:r>
        <w:rPr>
          <w:rFonts w:hint="eastAsia"/>
        </w:rPr>
        <w:t>。推进</w:t>
      </w:r>
      <w:r>
        <w:t>文化保护和传承是地区</w:t>
      </w:r>
      <w:r>
        <w:rPr>
          <w:rFonts w:hint="eastAsia"/>
        </w:rPr>
        <w:t>全面</w:t>
      </w:r>
      <w:r>
        <w:t>发展的根基，新时代</w:t>
      </w:r>
      <w:r>
        <w:rPr>
          <w:rFonts w:hint="eastAsia"/>
        </w:rPr>
        <w:t>要以</w:t>
      </w:r>
      <w:r>
        <w:t>文化活态保护为主要方向，</w:t>
      </w:r>
      <w:r>
        <w:rPr>
          <w:rFonts w:hint="eastAsia"/>
        </w:rPr>
        <w:t>在</w:t>
      </w:r>
      <w:r>
        <w:t>发展中</w:t>
      </w:r>
      <w:r>
        <w:rPr>
          <w:rFonts w:hint="eastAsia"/>
        </w:rPr>
        <w:t>发挥</w:t>
      </w:r>
      <w:r>
        <w:t>传统文化的</w:t>
      </w:r>
      <w:r>
        <w:rPr>
          <w:rFonts w:hint="eastAsia"/>
        </w:rPr>
        <w:t>更大</w:t>
      </w:r>
      <w:r>
        <w:t>价值</w:t>
      </w:r>
      <w:r>
        <w:rPr>
          <w:rFonts w:hint="eastAsia"/>
        </w:rPr>
        <w:t>。</w:t>
      </w:r>
    </w:p>
    <w:p>
      <w:pPr>
        <w:pStyle w:val="4"/>
        <w:ind w:firstLine="640"/>
      </w:pPr>
      <w:bookmarkStart w:id="26" w:name="_Toc82624326"/>
      <w:r>
        <w:rPr>
          <w:rFonts w:hint="eastAsia"/>
        </w:rPr>
        <w:t>第一节 推进文物保护工作</w:t>
      </w:r>
      <w:bookmarkEnd w:id="26"/>
    </w:p>
    <w:p>
      <w:pPr>
        <w:ind w:firstLine="600"/>
      </w:pPr>
      <w:r>
        <w:rPr>
          <w:rFonts w:hint="eastAsia"/>
        </w:rPr>
        <w:t>加强文物普查、收集、挖掘和保护工作，推动文物保护与科技结合，动态推进文物管理保护工作。</w:t>
      </w:r>
    </w:p>
    <w:p>
      <w:pPr>
        <w:ind w:firstLine="602"/>
        <w:rPr>
          <w:rFonts w:ascii="仿宋" w:hAnsi="仿宋" w:eastAsia="仿宋"/>
          <w:szCs w:val="28"/>
        </w:rPr>
      </w:pPr>
      <w:r>
        <w:rPr>
          <w:rFonts w:hint="eastAsia"/>
          <w:b/>
        </w:rPr>
        <w:t>——开展文物普查和保护性发掘工作。</w:t>
      </w:r>
      <w:r>
        <w:rPr>
          <w:rFonts w:hint="eastAsia"/>
        </w:rPr>
        <w:t>以国家级文物保护单位、市级文物保护单位为重点，大力开展文物保护性发掘及修缮工作。邀请专业队伍对全县地上、地下文物开展全面普查，建立文物台账，建成文物数据库。对发现的远古地质文明、三峡文化、农耕文化等开展有针对性的保护性发掘工作和抢救性修复工作。对无法开展发掘性保护的文物点采取就地保护。</w:t>
      </w:r>
    </w:p>
    <w:p>
      <w:pPr>
        <w:ind w:firstLine="602"/>
        <w:rPr>
          <w:rFonts w:ascii="仿宋" w:hAnsi="仿宋" w:eastAsia="仿宋"/>
          <w:szCs w:val="28"/>
        </w:rPr>
      </w:pPr>
      <w:r>
        <w:rPr>
          <w:rFonts w:hint="eastAsia" w:ascii="仿宋" w:hAnsi="仿宋" w:eastAsia="仿宋"/>
          <w:b/>
          <w:szCs w:val="28"/>
        </w:rPr>
        <w:t>——持续</w:t>
      </w:r>
      <w:r>
        <w:rPr>
          <w:rFonts w:ascii="仿宋" w:hAnsi="仿宋" w:eastAsia="仿宋"/>
          <w:b/>
          <w:szCs w:val="28"/>
        </w:rPr>
        <w:t>推进“三个十”文物保护利用工程。</w:t>
      </w:r>
      <w:r>
        <w:rPr>
          <w:rFonts w:ascii="仿宋" w:hAnsi="仿宋" w:eastAsia="仿宋"/>
          <w:szCs w:val="28"/>
        </w:rPr>
        <w:t>利用智慧化等技术创新运用智慧巡查、</w:t>
      </w:r>
      <w:r>
        <w:t>3D</w:t>
      </w:r>
      <w:r>
        <w:rPr>
          <w:rFonts w:ascii="仿宋" w:hAnsi="仿宋" w:eastAsia="仿宋"/>
          <w:szCs w:val="28"/>
        </w:rPr>
        <w:t>打印复原等保护修复手段</w:t>
      </w:r>
      <w:r>
        <w:rPr>
          <w:rFonts w:hint="eastAsia"/>
        </w:rPr>
        <w:t>持续推进十大宗祠、十大古村落、十大古建筑“三个十”的修复完善工作，</w:t>
      </w:r>
      <w:r>
        <w:rPr>
          <w:rFonts w:hint="eastAsia" w:ascii="仿宋" w:hAnsi="仿宋" w:eastAsia="仿宋"/>
          <w:szCs w:val="28"/>
        </w:rPr>
        <w:t>推进</w:t>
      </w:r>
      <w:r>
        <w:rPr>
          <w:rFonts w:ascii="仿宋" w:hAnsi="仿宋" w:eastAsia="仿宋"/>
          <w:szCs w:val="28"/>
        </w:rPr>
        <w:t>文化遗产的常态化巡逻，落实文物保护责任制</w:t>
      </w:r>
      <w:r>
        <w:rPr>
          <w:rFonts w:hint="eastAsia" w:ascii="仿宋" w:hAnsi="仿宋" w:eastAsia="仿宋"/>
          <w:szCs w:val="28"/>
        </w:rPr>
        <w:t>。</w:t>
      </w:r>
    </w:p>
    <w:p>
      <w:pPr>
        <w:ind w:firstLine="602"/>
        <w:rPr>
          <w:rFonts w:ascii="仿宋" w:hAnsi="仿宋" w:eastAsia="仿宋"/>
          <w:szCs w:val="28"/>
        </w:rPr>
      </w:pPr>
      <w:r>
        <w:rPr>
          <w:rFonts w:hint="eastAsia" w:ascii="仿宋" w:hAnsi="仿宋" w:eastAsia="仿宋"/>
          <w:b/>
          <w:szCs w:val="28"/>
        </w:rPr>
        <w:t>——建设三处</w:t>
      </w:r>
      <w:r>
        <w:rPr>
          <w:rFonts w:ascii="仿宋" w:hAnsi="仿宋" w:eastAsia="仿宋"/>
          <w:b/>
          <w:szCs w:val="28"/>
        </w:rPr>
        <w:t>智慧</w:t>
      </w:r>
      <w:r>
        <w:rPr>
          <w:rFonts w:hint="eastAsia" w:ascii="仿宋" w:hAnsi="仿宋" w:eastAsia="仿宋"/>
          <w:b/>
          <w:szCs w:val="28"/>
        </w:rPr>
        <w:t>文物保护</w:t>
      </w:r>
      <w:r>
        <w:rPr>
          <w:rFonts w:ascii="仿宋" w:hAnsi="仿宋" w:eastAsia="仿宋"/>
          <w:b/>
          <w:szCs w:val="28"/>
        </w:rPr>
        <w:t>示范</w:t>
      </w:r>
      <w:r>
        <w:rPr>
          <w:rFonts w:hint="eastAsia" w:ascii="仿宋" w:hAnsi="仿宋" w:eastAsia="仿宋"/>
          <w:b/>
          <w:szCs w:val="28"/>
        </w:rPr>
        <w:t>点。</w:t>
      </w:r>
      <w:r>
        <w:rPr>
          <w:rFonts w:hint="eastAsia" w:ascii="仿宋" w:hAnsi="仿宋" w:eastAsia="仿宋"/>
          <w:szCs w:val="28"/>
        </w:rPr>
        <w:t>结合大数据、物联网及人工智能，推进云安</w:t>
      </w:r>
      <w:r>
        <w:rPr>
          <w:rFonts w:ascii="仿宋" w:hAnsi="仿宋" w:eastAsia="仿宋"/>
          <w:szCs w:val="28"/>
        </w:rPr>
        <w:t>古镇、磐石城和彭氏宗祠</w:t>
      </w:r>
      <w:r>
        <w:rPr>
          <w:rFonts w:hint="eastAsia" w:ascii="仿宋" w:hAnsi="仿宋" w:eastAsia="仿宋"/>
          <w:szCs w:val="28"/>
        </w:rPr>
        <w:t>建成</w:t>
      </w:r>
      <w:r>
        <w:rPr>
          <w:rFonts w:ascii="仿宋" w:hAnsi="仿宋" w:eastAsia="仿宋"/>
          <w:szCs w:val="28"/>
        </w:rPr>
        <w:t>智慧示范点</w:t>
      </w:r>
      <w:r>
        <w:rPr>
          <w:rFonts w:hint="eastAsia" w:ascii="仿宋" w:hAnsi="仿宋" w:eastAsia="仿宋"/>
          <w:szCs w:val="28"/>
        </w:rPr>
        <w:t>。重点打造智能三防(防雷、防火、防灾)、文物活化展示(文物建模、线上展示)、智能监控、智能安防一体化智能保护体系。</w:t>
      </w:r>
    </w:p>
    <w:p>
      <w:pPr>
        <w:pStyle w:val="4"/>
        <w:ind w:firstLine="640"/>
      </w:pPr>
      <w:bookmarkStart w:id="27" w:name="_Toc82624327"/>
      <w:r>
        <w:rPr>
          <w:rFonts w:hint="eastAsia"/>
        </w:rPr>
        <w:t>第二节</w:t>
      </w:r>
      <w:bookmarkStart w:id="28" w:name="_Toc78820402"/>
      <w:r>
        <w:rPr>
          <w:rFonts w:hint="eastAsia"/>
        </w:rPr>
        <w:t xml:space="preserve"> 传承非物质文化遗产</w:t>
      </w:r>
      <w:bookmarkEnd w:id="27"/>
      <w:bookmarkEnd w:id="28"/>
    </w:p>
    <w:p>
      <w:pPr>
        <w:ind w:firstLine="600"/>
      </w:pPr>
      <w:r>
        <w:rPr>
          <w:rFonts w:hint="eastAsia" w:ascii="Arial" w:hAnsi="Arial" w:cs="Arial"/>
          <w:shd w:val="clear" w:color="auto" w:fill="FFFFFF"/>
        </w:rPr>
        <w:t>围绕云阳</w:t>
      </w:r>
      <w:r>
        <w:rPr>
          <w:rFonts w:ascii="Arial" w:hAnsi="Arial" w:cs="Arial"/>
          <w:shd w:val="clear" w:color="auto" w:fill="FFFFFF"/>
        </w:rPr>
        <w:t>多元</w:t>
      </w:r>
      <w:r>
        <w:rPr>
          <w:rFonts w:hint="eastAsia" w:ascii="Arial" w:hAnsi="Arial" w:cs="Arial"/>
          <w:shd w:val="clear" w:color="auto" w:fill="FFFFFF"/>
        </w:rPr>
        <w:t>民俗</w:t>
      </w:r>
      <w:r>
        <w:rPr>
          <w:rFonts w:ascii="Arial" w:hAnsi="Arial" w:cs="Arial"/>
          <w:shd w:val="clear" w:color="auto" w:fill="FFFFFF"/>
        </w:rPr>
        <w:t>文化</w:t>
      </w:r>
      <w:r>
        <w:rPr>
          <w:rFonts w:hint="eastAsia" w:ascii="Arial" w:hAnsi="Arial" w:cs="Arial"/>
          <w:shd w:val="clear" w:color="auto" w:fill="FFFFFF"/>
        </w:rPr>
        <w:t>和非遗</w:t>
      </w:r>
      <w:r>
        <w:rPr>
          <w:rFonts w:ascii="Arial" w:hAnsi="Arial" w:cs="Arial"/>
          <w:shd w:val="clear" w:color="auto" w:fill="FFFFFF"/>
        </w:rPr>
        <w:t>文化，</w:t>
      </w:r>
      <w:r>
        <w:rPr>
          <w:rFonts w:hint="eastAsia" w:ascii="Arial" w:hAnsi="Arial" w:cs="Arial"/>
          <w:shd w:val="clear" w:color="auto" w:fill="FFFFFF"/>
        </w:rPr>
        <w:t>推进</w:t>
      </w:r>
      <w:r>
        <w:t>以培育青年非遗传承人为核心</w:t>
      </w:r>
      <w:r>
        <w:rPr>
          <w:rFonts w:hint="eastAsia"/>
        </w:rPr>
        <w:t>的</w:t>
      </w:r>
      <w:r>
        <w:t>非遗保护工作。</w:t>
      </w:r>
    </w:p>
    <w:p>
      <w:pPr>
        <w:ind w:firstLine="602"/>
        <w:rPr>
          <w:b/>
        </w:rPr>
      </w:pPr>
      <w:r>
        <w:rPr>
          <w:rFonts w:hint="eastAsia"/>
          <w:b/>
        </w:rPr>
        <w:t>——</w:t>
      </w:r>
      <w:r>
        <w:rPr>
          <w:rFonts w:hint="eastAsia"/>
          <w:b/>
          <w:bCs/>
        </w:rPr>
        <w:t>扩展非物质文化遗产名录</w:t>
      </w:r>
      <w:r>
        <w:rPr>
          <w:b/>
        </w:rPr>
        <w:t>。</w:t>
      </w:r>
      <w:r>
        <w:rPr>
          <w:rFonts w:hint="eastAsia"/>
        </w:rPr>
        <w:t>积极推进“瑞兰斋”桃片糕</w:t>
      </w:r>
      <w:r>
        <w:t>、</w:t>
      </w:r>
      <w:r>
        <w:rPr>
          <w:rFonts w:hint="eastAsia"/>
        </w:rPr>
        <w:t>陶器</w:t>
      </w:r>
      <w:r>
        <w:t>制作</w:t>
      </w:r>
      <w:r>
        <w:rPr>
          <w:rFonts w:hint="eastAsia"/>
        </w:rPr>
        <w:t>等市级传统</w:t>
      </w:r>
      <w:r>
        <w:t>技艺非遗，</w:t>
      </w:r>
      <w:r>
        <w:rPr>
          <w:rFonts w:hint="eastAsia"/>
        </w:rPr>
        <w:t>亚亚戏</w:t>
      </w:r>
      <w:r>
        <w:t>、高阳板凳</w:t>
      </w:r>
      <w:r>
        <w:rPr>
          <w:rFonts w:hint="eastAsia"/>
        </w:rPr>
        <w:t>龙</w:t>
      </w:r>
      <w:r>
        <w:t>等</w:t>
      </w:r>
      <w:r>
        <w:rPr>
          <w:rFonts w:hint="eastAsia"/>
        </w:rPr>
        <w:t>市级</w:t>
      </w:r>
      <w:r>
        <w:t>传统</w:t>
      </w:r>
      <w:r>
        <w:rPr>
          <w:rFonts w:hint="eastAsia"/>
        </w:rPr>
        <w:t>舞蹈</w:t>
      </w:r>
      <w:r>
        <w:t>非遗</w:t>
      </w:r>
      <w:r>
        <w:rPr>
          <w:rFonts w:hint="eastAsia"/>
        </w:rPr>
        <w:t>申报</w:t>
      </w:r>
      <w:r>
        <w:t>国家级非遗；鼓励各镇街积极发掘本土非遗资源，有序推进申报与创建工作。</w:t>
      </w:r>
    </w:p>
    <w:p>
      <w:pPr>
        <w:ind w:firstLine="602"/>
      </w:pPr>
      <w:r>
        <w:rPr>
          <w:rFonts w:hint="eastAsia"/>
          <w:b/>
        </w:rPr>
        <w:t>——加强传承人队伍建设。</w:t>
      </w:r>
      <w:r>
        <w:rPr>
          <w:rFonts w:hint="eastAsia"/>
        </w:rPr>
        <w:t>加强非物质文化遗产传承人培训，支持非遗传承人开展带徒授艺、交流表演等传承活动。建立非遗传承人</w:t>
      </w:r>
      <w:r>
        <w:t>培养</w:t>
      </w:r>
      <w:r>
        <w:rPr>
          <w:rFonts w:hint="eastAsia"/>
        </w:rPr>
        <w:t>鼓励</w:t>
      </w:r>
      <w:r>
        <w:t>机制，大力</w:t>
      </w:r>
      <w:r>
        <w:rPr>
          <w:rFonts w:hint="eastAsia"/>
        </w:rPr>
        <w:t>培养</w:t>
      </w:r>
      <w:r>
        <w:t>青年传承人，</w:t>
      </w:r>
      <w:r>
        <w:rPr>
          <w:rFonts w:hint="eastAsia"/>
        </w:rPr>
        <w:t>力争建立100人规模的传承人梯级</w:t>
      </w:r>
      <w:r>
        <w:t>队伍</w:t>
      </w:r>
      <w:r>
        <w:rPr>
          <w:rFonts w:hint="eastAsia" w:ascii="仿宋" w:hAnsi="仿宋" w:eastAsia="仿宋"/>
          <w:szCs w:val="28"/>
        </w:rPr>
        <w:t>。</w:t>
      </w:r>
    </w:p>
    <w:p>
      <w:pPr>
        <w:ind w:firstLine="602"/>
        <w:rPr>
          <w:rFonts w:ascii="仿宋" w:hAnsi="仿宋" w:eastAsia="仿宋"/>
          <w:szCs w:val="28"/>
        </w:rPr>
      </w:pPr>
      <w:r>
        <w:rPr>
          <w:rFonts w:hint="eastAsia"/>
          <w:b/>
        </w:rPr>
        <w:t>——推动非物质文化遗产载体建设。</w:t>
      </w:r>
      <w:r>
        <w:rPr>
          <w:rFonts w:hint="eastAsia"/>
        </w:rPr>
        <w:t>围绕全区非物质文化遗产资源，推动市级非物质文化遗产生产性保护基地建设，建立以云阳桃片糕、藤编为重点的5个非遗传习所，建立一批非遗传承点，编印出版非遗保护介绍资料</w:t>
      </w:r>
      <w:r>
        <w:t>。</w:t>
      </w:r>
      <w:r>
        <w:rPr>
          <w:rFonts w:hint="eastAsia"/>
        </w:rPr>
        <w:t>推进非遗文化展示、技艺交流、文化传承等活动开展。</w:t>
      </w:r>
    </w:p>
    <w:p>
      <w:pPr>
        <w:pStyle w:val="4"/>
        <w:ind w:firstLine="640"/>
      </w:pPr>
      <w:bookmarkStart w:id="29" w:name="_Toc82624328"/>
      <w:r>
        <w:rPr>
          <w:rFonts w:hint="eastAsia"/>
        </w:rPr>
        <w:t>第三节 推进文化遗产活态利用</w:t>
      </w:r>
      <w:bookmarkEnd w:id="29"/>
    </w:p>
    <w:p>
      <w:pPr>
        <w:ind w:firstLine="600"/>
      </w:pPr>
      <w:r>
        <w:t>推动</w:t>
      </w:r>
      <w:r>
        <w:rPr>
          <w:rFonts w:hint="eastAsia"/>
        </w:rPr>
        <w:t>云阳建立</w:t>
      </w:r>
      <w:r>
        <w:t>完善</w:t>
      </w:r>
      <w:r>
        <w:rPr>
          <w:rFonts w:hint="eastAsia"/>
        </w:rPr>
        <w:t>抢救性保护机制、传承激励机制、培养培训机制和考核评价机制四大</w:t>
      </w:r>
      <w:r>
        <w:t>文化活态保护</w:t>
      </w:r>
      <w:r>
        <w:rPr>
          <w:rFonts w:hint="eastAsia"/>
        </w:rPr>
        <w:t>和</w:t>
      </w:r>
      <w:r>
        <w:t>传承机制。</w:t>
      </w:r>
      <w:r>
        <w:rPr>
          <w:rFonts w:hint="eastAsia"/>
        </w:rPr>
        <w:t>按照“立足全县，重点实施，分步打造，辐射兼顾”原则，推进</w:t>
      </w:r>
      <w:r>
        <w:t>重点文保文遗综合利用。</w:t>
      </w:r>
      <w:r>
        <w:rPr>
          <w:rFonts w:hint="eastAsia"/>
        </w:rPr>
        <w:t xml:space="preserve">  </w:t>
      </w:r>
      <w:r>
        <w:t xml:space="preserve"> </w:t>
      </w:r>
    </w:p>
    <w:p>
      <w:pPr>
        <w:ind w:firstLine="602"/>
        <w:rPr>
          <w:b/>
        </w:rPr>
      </w:pPr>
      <w:r>
        <w:rPr>
          <w:rFonts w:hint="eastAsia"/>
          <w:b/>
        </w:rPr>
        <w:t>——推进磐石城、云安古镇和彭氏宗祠示范性保护利用项目建设</w:t>
      </w:r>
      <w:r>
        <w:rPr>
          <w:rFonts w:hint="eastAsia"/>
        </w:rPr>
        <w:t>。围绕三处文物保护单位推动文物清单构建、重点文物修复等保护性工作开展。按照“文旅融合”思路，开发文化旅游产品和文创商品，结合本地亚亚戏、板凳龙、皮灯影、舞狮等文化</w:t>
      </w:r>
      <w:r>
        <w:t>非遗活动，打造</w:t>
      </w:r>
      <w:r>
        <w:rPr>
          <w:rFonts w:hint="eastAsia"/>
        </w:rPr>
        <w:t>云阳文物保护利用示范景点和文创街区</w:t>
      </w:r>
      <w:r>
        <w:t>。</w:t>
      </w:r>
    </w:p>
    <w:p>
      <w:pPr>
        <w:ind w:firstLine="602"/>
        <w:rPr>
          <w:rFonts w:ascii="仿宋" w:hAnsi="仿宋" w:eastAsia="仿宋"/>
          <w:szCs w:val="28"/>
        </w:rPr>
      </w:pPr>
      <w:r>
        <w:rPr>
          <w:rFonts w:hint="eastAsia"/>
          <w:b/>
        </w:rPr>
        <w:t>——加快以</w:t>
      </w:r>
      <w:r>
        <w:rPr>
          <w:b/>
        </w:rPr>
        <w:t>“</w:t>
      </w:r>
      <w:r>
        <w:rPr>
          <w:rFonts w:hint="eastAsia"/>
          <w:b/>
        </w:rPr>
        <w:t>桃片糕</w:t>
      </w:r>
      <w:r>
        <w:rPr>
          <w:b/>
        </w:rPr>
        <w:t>”</w:t>
      </w:r>
      <w:r>
        <w:rPr>
          <w:rFonts w:hint="eastAsia"/>
          <w:b/>
        </w:rPr>
        <w:t>为核心</w:t>
      </w:r>
      <w:r>
        <w:rPr>
          <w:b/>
        </w:rPr>
        <w:t>的非遗文化产业</w:t>
      </w:r>
      <w:r>
        <w:rPr>
          <w:rFonts w:hint="eastAsia"/>
          <w:b/>
        </w:rPr>
        <w:t>发展。</w:t>
      </w:r>
      <w:r>
        <w:rPr>
          <w:rFonts w:hint="eastAsia"/>
        </w:rPr>
        <w:t>支持出台非遗文化产业奖励办法，打造“江上风清”区域文创品牌，</w:t>
      </w:r>
      <w:r>
        <w:t>讲好云阳</w:t>
      </w:r>
      <w:r>
        <w:rPr>
          <w:rFonts w:hint="eastAsia"/>
        </w:rPr>
        <w:t>非遗</w:t>
      </w:r>
      <w:r>
        <w:t>文创故事</w:t>
      </w:r>
      <w:r>
        <w:rPr>
          <w:rFonts w:hint="eastAsia"/>
        </w:rPr>
        <w:t>。推动云阳红狮竹编、路阳麦酱、三峡阳菊、票草牛肉干等传统非遗文化手工业商业化，形成“1+N”非遗项目建设分布格局，加强非遗文化表演团队打造，多渠道助力云阳以旅富民。</w:t>
      </w:r>
    </w:p>
    <w:p>
      <w:pPr>
        <w:pStyle w:val="4"/>
        <w:ind w:firstLine="640"/>
      </w:pPr>
      <w:bookmarkStart w:id="30" w:name="_Toc82624329"/>
      <w:r>
        <w:rPr>
          <w:rFonts w:hint="eastAsia"/>
        </w:rPr>
        <w:t>第四节 争创</w:t>
      </w:r>
      <w:r>
        <w:t>世界</w:t>
      </w:r>
      <w:r>
        <w:rPr>
          <w:rFonts w:hint="eastAsia"/>
        </w:rPr>
        <w:t>文化品牌</w:t>
      </w:r>
      <w:bookmarkEnd w:id="30"/>
    </w:p>
    <w:p>
      <w:pPr>
        <w:ind w:firstLine="600"/>
      </w:pPr>
      <w:r>
        <w:rPr>
          <w:rFonts w:hint="eastAsia"/>
        </w:rPr>
        <w:t>整合云阳地质文化、世界级恐龙化石资源和抗蒙文化资源，联动区域内外推动云阳世界级文化品牌创建工作。</w:t>
      </w:r>
    </w:p>
    <w:p>
      <w:pPr>
        <w:ind w:firstLine="602"/>
      </w:pPr>
      <w:r>
        <w:rPr>
          <w:rFonts w:hint="eastAsia"/>
          <w:b/>
        </w:rPr>
        <w:t>——创建“世界地质公园”文化品牌。</w:t>
      </w:r>
      <w:r>
        <w:rPr>
          <w:rFonts w:hint="eastAsia"/>
        </w:rPr>
        <w:t>依托世界第五深的龙缸岩溶天坑地质奇观和普安古生物化石类地质遗迹两大世界级资源，推动普安侏罗纪恐龙遗址与</w:t>
      </w:r>
      <w:r>
        <w:t>龙缸</w:t>
      </w:r>
      <w:r>
        <w:rPr>
          <w:rFonts w:hint="eastAsia"/>
        </w:rPr>
        <w:t>景区共同创建“世界地质公园”品牌。</w:t>
      </w:r>
    </w:p>
    <w:p>
      <w:pPr>
        <w:ind w:firstLine="602"/>
      </w:pPr>
      <w:r>
        <w:rPr>
          <w:rFonts w:hint="eastAsia"/>
          <w:b/>
        </w:rPr>
        <w:t>——联合申报“世界文化遗产”。</w:t>
      </w:r>
      <w:r>
        <w:rPr>
          <w:rFonts w:hint="eastAsia"/>
        </w:rPr>
        <w:t>深耕磐石城“万里长江第一寨”、 川东峡江地带重要抗元据点的历史意义，挖掘文化内涵，</w:t>
      </w:r>
      <w:r>
        <w:rPr>
          <w:rFonts w:hint="eastAsia" w:ascii="仿宋" w:hAnsi="仿宋" w:eastAsia="仿宋"/>
          <w:szCs w:val="30"/>
          <w:shd w:val="clear" w:color="auto" w:fill="FFFFFF"/>
        </w:rPr>
        <w:t>联合</w:t>
      </w:r>
      <w:r>
        <w:rPr>
          <w:rFonts w:hint="eastAsia"/>
        </w:rPr>
        <w:t>万州天生城、奉节白帝城、合川钓鱼城等</w:t>
      </w:r>
      <w:r>
        <w:rPr>
          <w:rFonts w:ascii="仿宋" w:hAnsi="仿宋" w:eastAsia="仿宋"/>
          <w:szCs w:val="30"/>
          <w:shd w:val="clear" w:color="auto" w:fill="FFFFFF"/>
        </w:rPr>
        <w:t>共同申报</w:t>
      </w:r>
      <w:r>
        <w:rPr>
          <w:rFonts w:hint="eastAsia" w:ascii="仿宋" w:hAnsi="仿宋" w:eastAsia="仿宋"/>
          <w:szCs w:val="30"/>
          <w:shd w:val="clear" w:color="auto" w:fill="FFFFFF"/>
        </w:rPr>
        <w:t>世界文化遗产品牌。</w:t>
      </w:r>
    </w:p>
    <w:p>
      <w:pPr>
        <w:ind w:firstLine="440"/>
        <w:jc w:val="center"/>
        <w:rPr>
          <w:rFonts w:ascii="黑体" w:hAnsi="黑体" w:eastAsia="黑体" w:cs="宋体"/>
          <w:bCs/>
          <w:color w:val="000000" w:themeColor="text1"/>
          <w:kern w:val="0"/>
          <w:sz w:val="22"/>
          <w14:textFill>
            <w14:solidFill>
              <w14:schemeClr w14:val="tx1"/>
            </w14:solidFill>
          </w14:textFill>
        </w:rPr>
      </w:pPr>
      <w:r>
        <w:rPr>
          <w:rFonts w:hint="eastAsia" w:ascii="黑体" w:hAnsi="黑体" w:eastAsia="黑体" w:cs="宋体"/>
          <w:bCs/>
          <w:color w:val="000000" w:themeColor="text1"/>
          <w:kern w:val="0"/>
          <w:sz w:val="22"/>
          <w14:textFill>
            <w14:solidFill>
              <w14:schemeClr w14:val="tx1"/>
            </w14:solidFill>
          </w14:textFill>
        </w:rPr>
        <w:t>专栏2  加强文化保护和传承</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ind w:firstLine="0" w:firstLineChars="0"/>
              <w:jc w:val="left"/>
              <w:rPr>
                <w:rFonts w:ascii="楷体" w:hAnsi="楷体" w:eastAsia="楷体" w:cs="宋体"/>
                <w:b/>
                <w:color w:val="000000" w:themeColor="text1"/>
                <w:kern w:val="0"/>
                <w:sz w:val="22"/>
                <w14:textFill>
                  <w14:solidFill>
                    <w14:schemeClr w14:val="tx1"/>
                  </w14:solidFill>
                </w14:textFill>
              </w:rPr>
            </w:pPr>
            <w:r>
              <w:rPr>
                <w:rFonts w:hint="eastAsia" w:ascii="楷体" w:hAnsi="楷体" w:eastAsia="楷体" w:cs="宋体"/>
                <w:b/>
                <w:color w:val="000000" w:themeColor="text1"/>
                <w:kern w:val="0"/>
                <w:sz w:val="22"/>
                <w14:textFill>
                  <w14:solidFill>
                    <w14:schemeClr w14:val="tx1"/>
                  </w14:solidFill>
                </w14:textFill>
              </w:rPr>
              <w:t>重点项目：</w:t>
            </w:r>
          </w:p>
          <w:p>
            <w:pPr>
              <w:widowControl/>
              <w:ind w:firstLine="422"/>
              <w:jc w:val="left"/>
              <w:rPr>
                <w:rFonts w:ascii="楷体" w:hAnsi="楷体" w:eastAsia="楷体" w:cs="宋体"/>
                <w:color w:val="000000" w:themeColor="text1"/>
                <w:kern w:val="0"/>
                <w:sz w:val="21"/>
                <w14:textFill>
                  <w14:solidFill>
                    <w14:schemeClr w14:val="tx1"/>
                  </w14:solidFill>
                </w14:textFill>
              </w:rPr>
            </w:pPr>
            <w:r>
              <w:rPr>
                <w:rFonts w:ascii="楷体" w:hAnsi="楷体" w:eastAsia="楷体" w:cs="宋体"/>
                <w:b/>
                <w:bCs/>
                <w:color w:val="000000" w:themeColor="text1"/>
                <w:kern w:val="0"/>
                <w:sz w:val="21"/>
                <w14:textFill>
                  <w14:solidFill>
                    <w14:schemeClr w14:val="tx1"/>
                  </w14:solidFill>
                </w14:textFill>
              </w:rPr>
              <w:t>文物保护。</w:t>
            </w:r>
            <w:r>
              <w:rPr>
                <w:rFonts w:hint="eastAsia" w:ascii="楷体" w:hAnsi="楷体" w:eastAsia="楷体" w:cs="宋体"/>
                <w:bCs/>
                <w:color w:val="000000" w:themeColor="text1"/>
                <w:kern w:val="0"/>
                <w:sz w:val="21"/>
                <w14:textFill>
                  <w14:solidFill>
                    <w14:schemeClr w14:val="tx1"/>
                  </w14:solidFill>
                </w14:textFill>
              </w:rPr>
              <w:t>推进</w:t>
            </w:r>
            <w:r>
              <w:rPr>
                <w:rFonts w:ascii="楷体" w:hAnsi="楷体" w:eastAsia="楷体" w:cs="宋体"/>
                <w:bCs/>
                <w:color w:val="000000" w:themeColor="text1"/>
                <w:kern w:val="0"/>
                <w:sz w:val="21"/>
                <w14:textFill>
                  <w14:solidFill>
                    <w14:schemeClr w14:val="tx1"/>
                  </w14:solidFill>
                </w14:textFill>
              </w:rPr>
              <w:t>云安古镇</w:t>
            </w:r>
            <w:r>
              <w:rPr>
                <w:rFonts w:ascii="楷体" w:hAnsi="楷体" w:eastAsia="楷体" w:cs="宋体"/>
                <w:color w:val="000000" w:themeColor="text1"/>
                <w:kern w:val="0"/>
                <w:sz w:val="21"/>
                <w14:textFill>
                  <w14:solidFill>
                    <w14:schemeClr w14:val="tx1"/>
                  </w14:solidFill>
                </w14:textFill>
              </w:rPr>
              <w:t>智慧保护示范点、磐石城智慧保护示范点</w:t>
            </w:r>
            <w:r>
              <w:rPr>
                <w:rFonts w:hint="eastAsia" w:ascii="楷体" w:hAnsi="楷体" w:eastAsia="楷体" w:cs="宋体"/>
                <w:color w:val="000000" w:themeColor="text1"/>
                <w:kern w:val="0"/>
                <w:sz w:val="21"/>
                <w14:textFill>
                  <w14:solidFill>
                    <w14:schemeClr w14:val="tx1"/>
                  </w14:solidFill>
                </w14:textFill>
              </w:rPr>
              <w:t>和</w:t>
            </w:r>
            <w:r>
              <w:rPr>
                <w:rFonts w:ascii="楷体" w:hAnsi="楷体" w:eastAsia="楷体" w:cs="宋体"/>
                <w:color w:val="000000" w:themeColor="text1"/>
                <w:kern w:val="0"/>
                <w:sz w:val="21"/>
                <w14:textFill>
                  <w14:solidFill>
                    <w14:schemeClr w14:val="tx1"/>
                  </w14:solidFill>
                </w14:textFill>
              </w:rPr>
              <w:t>彭氏宗祠智慧保护示范点建设</w:t>
            </w:r>
            <w:r>
              <w:rPr>
                <w:rFonts w:hint="eastAsia" w:ascii="楷体" w:hAnsi="楷体" w:eastAsia="楷体" w:cs="宋体"/>
                <w:color w:val="000000" w:themeColor="text1"/>
                <w:kern w:val="0"/>
                <w:sz w:val="21"/>
                <w14:textFill>
                  <w14:solidFill>
                    <w14:schemeClr w14:val="tx1"/>
                  </w14:solidFill>
                </w14:textFill>
              </w:rPr>
              <w:t>。开展十大古宗祠修复工程、十大古建筑修缮工程、十大古村落保护工程等“三个十”文物修缮项目。</w:t>
            </w:r>
          </w:p>
          <w:p>
            <w:pPr>
              <w:widowControl/>
              <w:ind w:firstLine="442"/>
              <w:jc w:val="left"/>
              <w:rPr>
                <w:rFonts w:ascii="楷体" w:hAnsi="楷体" w:eastAsia="楷体" w:cs="宋体"/>
                <w:color w:val="000000" w:themeColor="text1"/>
                <w:kern w:val="0"/>
                <w:sz w:val="22"/>
                <w14:textFill>
                  <w14:solidFill>
                    <w14:schemeClr w14:val="tx1"/>
                  </w14:solidFill>
                </w14:textFill>
              </w:rPr>
            </w:pPr>
            <w:r>
              <w:rPr>
                <w:rFonts w:hint="eastAsia" w:ascii="楷体" w:hAnsi="楷体" w:eastAsia="楷体" w:cs="宋体"/>
                <w:b/>
                <w:color w:val="000000" w:themeColor="text1"/>
                <w:kern w:val="0"/>
                <w:sz w:val="22"/>
                <w14:textFill>
                  <w14:solidFill>
                    <w14:schemeClr w14:val="tx1"/>
                  </w14:solidFill>
                </w14:textFill>
              </w:rPr>
              <w:t>文化遗产综合利用。</w:t>
            </w:r>
            <w:r>
              <w:rPr>
                <w:rFonts w:hint="eastAsia" w:ascii="楷体" w:hAnsi="楷体" w:eastAsia="楷体" w:cs="宋体"/>
                <w:color w:val="000000" w:themeColor="text1"/>
                <w:kern w:val="0"/>
                <w:sz w:val="21"/>
                <w14:textFill>
                  <w14:solidFill>
                    <w14:schemeClr w14:val="tx1"/>
                  </w14:solidFill>
                </w14:textFill>
              </w:rPr>
              <w:t>推动彭氏宗祠、磐石城和云安古镇成为云阳文物活态利用示范点</w:t>
            </w:r>
            <w:r>
              <w:rPr>
                <w:rFonts w:hint="eastAsia" w:ascii="楷体" w:hAnsi="楷体" w:eastAsia="楷体" w:cs="宋体"/>
                <w:color w:val="000000" w:themeColor="text1"/>
                <w:kern w:val="0"/>
                <w:sz w:val="22"/>
                <w14:textFill>
                  <w14:solidFill>
                    <w14:schemeClr w14:val="tx1"/>
                  </w14:solidFill>
                </w14:textFill>
              </w:rPr>
              <w:t>，升级彭咏梧纪念馆成为云阳红色研学基地。建设云阳非遗及非遗数据库，建立云阳桃片糕文创产业园。</w:t>
            </w:r>
          </w:p>
          <w:p>
            <w:pPr>
              <w:widowControl/>
              <w:ind w:firstLine="0" w:firstLineChars="0"/>
              <w:jc w:val="left"/>
              <w:rPr>
                <w:rFonts w:ascii="楷体" w:hAnsi="楷体" w:eastAsia="楷体" w:cs="宋体"/>
                <w:b/>
                <w:color w:val="000000" w:themeColor="text1"/>
                <w:kern w:val="0"/>
                <w:sz w:val="22"/>
                <w14:textFill>
                  <w14:solidFill>
                    <w14:schemeClr w14:val="tx1"/>
                  </w14:solidFill>
                </w14:textFill>
              </w:rPr>
            </w:pPr>
            <w:r>
              <w:rPr>
                <w:rFonts w:hint="eastAsia" w:ascii="楷体" w:hAnsi="楷体" w:eastAsia="楷体" w:cs="宋体"/>
                <w:b/>
                <w:color w:val="000000" w:themeColor="text1"/>
                <w:kern w:val="0"/>
                <w:sz w:val="22"/>
                <w14:textFill>
                  <w14:solidFill>
                    <w14:schemeClr w14:val="tx1"/>
                  </w14:solidFill>
                </w14:textFill>
              </w:rPr>
              <w:t>重要措施：</w:t>
            </w:r>
          </w:p>
          <w:p>
            <w:pPr>
              <w:ind w:firstLine="422"/>
              <w:rPr>
                <w:rFonts w:ascii="楷体" w:hAnsi="楷体" w:eastAsia="楷体" w:cs="宋体"/>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建立文化活态保护和传承机制。</w:t>
            </w:r>
            <w:r>
              <w:rPr>
                <w:rFonts w:hint="eastAsia" w:ascii="楷体" w:hAnsi="楷体" w:eastAsia="楷体" w:cs="宋体"/>
                <w:bCs/>
                <w:color w:val="000000" w:themeColor="text1"/>
                <w:kern w:val="0"/>
                <w:sz w:val="21"/>
                <w14:textFill>
                  <w14:solidFill>
                    <w14:schemeClr w14:val="tx1"/>
                  </w14:solidFill>
                </w14:textFill>
              </w:rPr>
              <w:t>建立抢救性保护机制。建立传承激励机制。建立培养培训机制。建立考核评价机制。</w:t>
            </w:r>
          </w:p>
        </w:tc>
      </w:tr>
    </w:tbl>
    <w:p>
      <w:pPr>
        <w:pStyle w:val="3"/>
        <w:ind w:firstLine="720"/>
      </w:pPr>
      <w:bookmarkStart w:id="31" w:name="_Toc82624330"/>
      <w:r>
        <w:rPr>
          <w:rFonts w:hint="eastAsia"/>
        </w:rPr>
        <w:t>第五章 推动文艺繁荣发展</w:t>
      </w:r>
      <w:bookmarkEnd w:id="31"/>
    </w:p>
    <w:p>
      <w:pPr>
        <w:ind w:firstLine="600"/>
      </w:pPr>
      <w:r>
        <w:rPr>
          <w:rFonts w:hint="eastAsia"/>
        </w:rPr>
        <w:t>创造</w:t>
      </w:r>
      <w:r>
        <w:t>高品质文化生活</w:t>
      </w:r>
      <w:r>
        <w:rPr>
          <w:rFonts w:hint="eastAsia"/>
        </w:rPr>
        <w:t>要</w:t>
      </w:r>
      <w:r>
        <w:t>源源不断地注入新的文化内涵</w:t>
      </w:r>
      <w:r>
        <w:rPr>
          <w:rFonts w:hint="eastAsia"/>
        </w:rPr>
        <w:t>。要</w:t>
      </w:r>
      <w:r>
        <w:t>坚持以社会主义核心价值观为中心，</w:t>
      </w:r>
      <w:r>
        <w:rPr>
          <w:rFonts w:hint="eastAsia"/>
        </w:rPr>
        <w:t>鼓励</w:t>
      </w:r>
      <w:r>
        <w:t>创作更多人民群众喜闻乐见的文艺作品，更好地</w:t>
      </w:r>
      <w:r>
        <w:rPr>
          <w:rFonts w:hint="eastAsia"/>
        </w:rPr>
        <w:t>发展独具</w:t>
      </w:r>
      <w:r>
        <w:t>云阳特色</w:t>
      </w:r>
      <w:r>
        <w:rPr>
          <w:rFonts w:hint="eastAsia"/>
        </w:rPr>
        <w:t>的</w:t>
      </w:r>
      <w:r>
        <w:t>文化</w:t>
      </w:r>
      <w:r>
        <w:rPr>
          <w:rFonts w:hint="eastAsia"/>
        </w:rPr>
        <w:t>内涵</w:t>
      </w:r>
      <w:r>
        <w:t>、更大地满足人民</w:t>
      </w:r>
      <w:r>
        <w:rPr>
          <w:rFonts w:hint="eastAsia"/>
        </w:rPr>
        <w:t>群众</w:t>
      </w:r>
      <w:r>
        <w:t>的精神文化需求。</w:t>
      </w:r>
    </w:p>
    <w:p>
      <w:pPr>
        <w:pStyle w:val="4"/>
        <w:ind w:firstLine="640"/>
      </w:pPr>
      <w:bookmarkStart w:id="32" w:name="_Toc82624331"/>
      <w:r>
        <w:rPr>
          <w:rFonts w:hint="eastAsia"/>
        </w:rPr>
        <w:t>第一节 实施重点文艺创作工程</w:t>
      </w:r>
      <w:bookmarkEnd w:id="32"/>
    </w:p>
    <w:p>
      <w:pPr>
        <w:ind w:firstLine="600"/>
      </w:pPr>
      <w:r>
        <w:rPr>
          <w:rFonts w:hint="eastAsia"/>
        </w:rPr>
        <w:t>实施文艺作品创作质量提升工程，</w:t>
      </w:r>
      <w:r>
        <w:rPr>
          <w:color w:val="1C1C1C"/>
        </w:rPr>
        <w:t>坚持思想精深、艺术精湛、制作精良相统一，</w:t>
      </w:r>
      <w:r>
        <w:rPr>
          <w:rFonts w:hint="eastAsia"/>
        </w:rPr>
        <w:t>丰富当代文学艺术创作。深度挖掘三国文化、恐龙文化、三峡文化、红色文化和移民文化内涵，丰富和拓展“文藻胜地”文化底蕴。</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——培育云阳恐龙地质文化IP。</w:t>
      </w:r>
      <w:r>
        <w:rPr>
          <w:rFonts w:ascii="方正仿宋_GBK" w:hAnsi="方正仿宋_GBK"/>
        </w:rPr>
        <w:t>组织</w:t>
      </w:r>
      <w:r>
        <w:rPr>
          <w:rFonts w:hint="eastAsia" w:ascii="方正仿宋_GBK" w:hAnsi="方正仿宋_GBK"/>
        </w:rPr>
        <w:t>县</w:t>
      </w:r>
      <w:r>
        <w:rPr>
          <w:rFonts w:ascii="方正仿宋_GBK" w:hAnsi="方正仿宋_GBK"/>
        </w:rPr>
        <w:t>内外专家学者</w:t>
      </w:r>
      <w:r>
        <w:rPr>
          <w:rFonts w:hint="eastAsia" w:ascii="方正仿宋_GBK" w:hAnsi="方正仿宋_GBK"/>
        </w:rPr>
        <w:t>全方位研究云阳恐龙地质文化内涵，设立</w:t>
      </w:r>
      <w:r>
        <w:rPr>
          <w:rFonts w:ascii="方正仿宋_GBK" w:hAnsi="方正仿宋_GBK"/>
        </w:rPr>
        <w:t>专项资金</w:t>
      </w:r>
      <w:r>
        <w:rPr>
          <w:rFonts w:hint="eastAsia" w:ascii="方正仿宋_GBK" w:hAnsi="方正仿宋_GBK"/>
        </w:rPr>
        <w:t>、</w:t>
      </w:r>
      <w:r>
        <w:rPr>
          <w:color w:val="000000" w:themeColor="text1"/>
          <w14:textFill>
            <w14:solidFill>
              <w14:schemeClr w14:val="tx1"/>
            </w14:solidFill>
          </w14:textFill>
        </w:rPr>
        <w:t>课题基金</w:t>
      </w:r>
      <w:r>
        <w:rPr>
          <w:rFonts w:hint="eastAsia"/>
          <w:color w:val="000000" w:themeColor="text1"/>
          <w14:textFill>
            <w14:solidFill>
              <w14:schemeClr w14:val="tx1"/>
            </w14:solidFill>
          </w14:textFill>
        </w:rPr>
        <w:t>，出版恐龙地质文化研究丛书，策划举办“三峡地质文化高峰论坛”等系列活动，夯实云阳地质</w:t>
      </w:r>
      <w:r>
        <w:rPr>
          <w:color w:val="000000" w:themeColor="text1"/>
          <w14:textFill>
            <w14:solidFill>
              <w14:schemeClr w14:val="tx1"/>
            </w14:solidFill>
          </w14:textFill>
        </w:rPr>
        <w:t>文化理论基础</w:t>
      </w:r>
      <w:r>
        <w:rPr>
          <w:rFonts w:hint="eastAsia"/>
          <w:color w:val="000000" w:themeColor="text1"/>
          <w14:textFill>
            <w14:solidFill>
              <w14:schemeClr w14:val="tx1"/>
            </w14:solidFill>
          </w14:textFill>
        </w:rPr>
        <w:t>。</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——开展地方文化人文纪实活动。</w:t>
      </w:r>
      <w:r>
        <w:rPr>
          <w:rFonts w:hint="eastAsia" w:ascii="方正仿宋_GBK" w:hAnsi="方正仿宋_GBK"/>
        </w:rPr>
        <w:t>梳理三峡移民和当代云阳历史脉络</w:t>
      </w:r>
      <w:r>
        <w:rPr>
          <w:rFonts w:ascii="方正仿宋_GBK" w:hAnsi="方正仿宋_GBK"/>
        </w:rPr>
        <w:t>，</w:t>
      </w:r>
      <w:r>
        <w:rPr>
          <w:rFonts w:hint="eastAsia" w:ascii="方正仿宋_GBK" w:hAnsi="方正仿宋_GBK"/>
        </w:rPr>
        <w:t>以情景再现、纪实拍摄等形式摄制云阳</w:t>
      </w:r>
      <w:r>
        <w:rPr>
          <w:rFonts w:ascii="方正仿宋_GBK" w:hAnsi="方正仿宋_GBK"/>
        </w:rPr>
        <w:t>人文史实纪录片</w:t>
      </w:r>
      <w:r>
        <w:rPr>
          <w:rFonts w:hint="eastAsia"/>
          <w:color w:val="000000" w:themeColor="text1"/>
          <w14:textFill>
            <w14:solidFill>
              <w14:schemeClr w14:val="tx1"/>
            </w14:solidFill>
          </w14:textFill>
        </w:rPr>
        <w:t>。以</w:t>
      </w:r>
      <w:r>
        <w:rPr>
          <w:rFonts w:hint="eastAsia" w:ascii="方正仿宋_GBK" w:hAnsi="方正仿宋_GBK"/>
        </w:rPr>
        <w:t>专家访谈、追踪访谈</w:t>
      </w:r>
      <w:r>
        <w:rPr>
          <w:rFonts w:hint="eastAsia" w:ascii="方正仿宋_GBK" w:hAnsi="方正仿宋_GBK"/>
          <w:color w:val="000000" w:themeColor="text1"/>
          <w14:textFill>
            <w14:solidFill>
              <w14:schemeClr w14:val="tx1"/>
            </w14:solidFill>
          </w14:textFill>
        </w:rPr>
        <w:t>收集整理历史</w:t>
      </w:r>
      <w:r>
        <w:rPr>
          <w:rFonts w:ascii="方正仿宋_GBK" w:hAnsi="方正仿宋_GBK"/>
          <w:color w:val="000000" w:themeColor="text1"/>
          <w14:textFill>
            <w14:solidFill>
              <w14:schemeClr w14:val="tx1"/>
            </w14:solidFill>
          </w14:textFill>
        </w:rPr>
        <w:t>传统</w:t>
      </w:r>
      <w:r>
        <w:rPr>
          <w:rFonts w:hint="eastAsia" w:ascii="方正仿宋_GBK" w:hAnsi="方正仿宋_GBK"/>
          <w:color w:val="000000" w:themeColor="text1"/>
          <w14:textFill>
            <w14:solidFill>
              <w14:schemeClr w14:val="tx1"/>
            </w14:solidFill>
          </w14:textFill>
        </w:rPr>
        <w:t>文化资源，整合出版《云阳历史传统文化系列丛书》</w:t>
      </w:r>
      <w:r>
        <w:rPr>
          <w:rFonts w:ascii="方正仿宋_GBK" w:hAnsi="方正仿宋_GBK"/>
          <w:color w:val="000000" w:themeColor="text1"/>
          <w14:textFill>
            <w14:solidFill>
              <w14:schemeClr w14:val="tx1"/>
            </w14:solidFill>
          </w14:textFill>
        </w:rPr>
        <w:t>。</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——讲好云阳故事。</w:t>
      </w:r>
      <w:r>
        <w:rPr>
          <w:rFonts w:hint="eastAsia"/>
          <w:color w:val="000000" w:themeColor="text1"/>
          <w14:textFill>
            <w14:solidFill>
              <w14:schemeClr w14:val="tx1"/>
            </w14:solidFill>
          </w14:textFill>
        </w:rPr>
        <w:t>创编梯城</w:t>
      </w:r>
      <w:r>
        <w:rPr>
          <w:color w:val="000000" w:themeColor="text1"/>
          <w14:textFill>
            <w14:solidFill>
              <w14:schemeClr w14:val="tx1"/>
            </w14:solidFill>
          </w14:textFill>
        </w:rPr>
        <w:t>故事荟</w:t>
      </w:r>
      <w:r>
        <w:rPr>
          <w:rFonts w:hint="eastAsia"/>
          <w:color w:val="000000" w:themeColor="text1"/>
          <w14:textFill>
            <w14:solidFill>
              <w14:schemeClr w14:val="tx1"/>
            </w14:solidFill>
          </w14:textFill>
        </w:rPr>
        <w:t>。围绕云阳历史</w:t>
      </w:r>
      <w:r>
        <w:rPr>
          <w:color w:val="000000" w:themeColor="text1"/>
          <w14:textFill>
            <w14:solidFill>
              <w14:schemeClr w14:val="tx1"/>
            </w14:solidFill>
          </w14:textFill>
        </w:rPr>
        <w:t>进程</w:t>
      </w:r>
      <w:r>
        <w:rPr>
          <w:rFonts w:hint="eastAsia"/>
          <w:color w:val="000000" w:themeColor="text1"/>
          <w14:textFill>
            <w14:solidFill>
              <w14:schemeClr w14:val="tx1"/>
            </w14:solidFill>
          </w14:textFill>
        </w:rPr>
        <w:t>和生产生活，依托公共</w:t>
      </w:r>
      <w:r>
        <w:rPr>
          <w:color w:val="000000" w:themeColor="text1"/>
          <w14:textFill>
            <w14:solidFill>
              <w14:schemeClr w14:val="tx1"/>
            </w14:solidFill>
          </w14:textFill>
        </w:rPr>
        <w:t>文化设施和景区</w:t>
      </w:r>
      <w:r>
        <w:rPr>
          <w:rFonts w:hint="eastAsia"/>
          <w:color w:val="000000" w:themeColor="text1"/>
          <w14:textFill>
            <w14:solidFill>
              <w14:schemeClr w14:val="tx1"/>
            </w14:solidFill>
          </w14:textFill>
        </w:rPr>
        <w:t>度假区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打造具有云阳地方特色的精品语言项目。整合云阳“养龙地”传说、地名等历史素材，结合“龙文化”和云阳山川风俗，加强具有地方特色的文艺作品编撰</w:t>
      </w:r>
      <w:r>
        <w:rPr>
          <w:rFonts w:hint="eastAsia" w:ascii="方正仿宋_GBK" w:hAnsi="方正仿宋_GBK"/>
          <w:color w:val="000000" w:themeColor="text1"/>
          <w14:textFill>
            <w14:solidFill>
              <w14:schemeClr w14:val="tx1"/>
            </w14:solidFill>
          </w14:textFill>
        </w:rPr>
        <w:t>，丰富小说、诗歌、散文、报告文学等文艺文学作品。</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——文旅融合升级文艺展演。</w:t>
      </w:r>
      <w:r>
        <w:rPr>
          <w:rFonts w:hint="eastAsia" w:ascii="方正仿宋_GBK" w:hAnsi="方正仿宋_GBK"/>
          <w:color w:val="000000" w:themeColor="text1"/>
          <w14:textFill>
            <w14:solidFill>
              <w14:schemeClr w14:val="tx1"/>
            </w14:solidFill>
          </w14:textFill>
        </w:rPr>
        <w:t>升级</w:t>
      </w:r>
      <w:r>
        <w:rPr>
          <w:rFonts w:ascii="方正仿宋_GBK" w:hAnsi="方正仿宋_GBK"/>
          <w:color w:val="000000" w:themeColor="text1"/>
          <w14:textFill>
            <w14:solidFill>
              <w14:schemeClr w14:val="tx1"/>
            </w14:solidFill>
          </w14:textFill>
        </w:rPr>
        <w:t>打造</w:t>
      </w:r>
      <w:r>
        <w:rPr>
          <w:rFonts w:hint="eastAsia" w:ascii="方正仿宋_GBK" w:hAnsi="方正仿宋_GBK"/>
          <w:color w:val="000000" w:themeColor="text1"/>
          <w14:textFill>
            <w14:solidFill>
              <w14:schemeClr w14:val="tx1"/>
            </w14:solidFill>
          </w14:textFill>
        </w:rPr>
        <w:t>“</w:t>
      </w:r>
      <w:r>
        <w:rPr>
          <w:rFonts w:hint="eastAsia"/>
          <w:color w:val="000000" w:themeColor="text1"/>
          <w14:textFill>
            <w14:solidFill>
              <w14:schemeClr w14:val="tx1"/>
            </w14:solidFill>
          </w14:textFill>
        </w:rPr>
        <w:t>云阳记忆</w:t>
      </w:r>
      <w:r>
        <w:rPr>
          <w:rFonts w:hint="eastAsia" w:ascii="方正仿宋_GBK" w:hAnsi="方正仿宋_GBK"/>
          <w:color w:val="000000" w:themeColor="text1"/>
          <w14:textFill>
            <w14:solidFill>
              <w14:schemeClr w14:val="tx1"/>
            </w14:solidFill>
          </w14:textFill>
        </w:rPr>
        <w:t>”</w:t>
      </w:r>
      <w:r>
        <w:rPr>
          <w:rFonts w:ascii="方正仿宋_GBK" w:hAnsi="方正仿宋_GBK"/>
          <w:color w:val="000000" w:themeColor="text1"/>
          <w14:textFill>
            <w14:solidFill>
              <w14:schemeClr w14:val="tx1"/>
            </w14:solidFill>
          </w14:textFill>
        </w:rPr>
        <w:t>“</w:t>
      </w:r>
      <w:r>
        <w:rPr>
          <w:rFonts w:hint="eastAsia"/>
          <w:color w:val="000000" w:themeColor="text1"/>
          <w14:textFill>
            <w14:solidFill>
              <w14:schemeClr w14:val="tx1"/>
            </w14:solidFill>
          </w14:textFill>
        </w:rPr>
        <w:t>云阳先生养龙记</w:t>
      </w:r>
      <w:r>
        <w:rPr>
          <w:rFonts w:ascii="方正仿宋_GBK" w:hAnsi="方正仿宋_GBK"/>
          <w:color w:val="000000" w:themeColor="text1"/>
          <w14:textFill>
            <w14:solidFill>
              <w14:schemeClr w14:val="tx1"/>
            </w14:solidFill>
          </w14:textFill>
        </w:rPr>
        <w:t>”</w:t>
      </w:r>
      <w:r>
        <w:rPr>
          <w:rFonts w:hint="eastAsia" w:ascii="方正仿宋_GBK" w:hAnsi="方正仿宋_GBK"/>
          <w:color w:val="000000" w:themeColor="text1"/>
          <w14:textFill>
            <w14:solidFill>
              <w14:schemeClr w14:val="tx1"/>
            </w14:solidFill>
          </w14:textFill>
        </w:rPr>
        <w:t>等地域文化品牌情景剧目，</w:t>
      </w:r>
      <w:r>
        <w:rPr>
          <w:rFonts w:ascii="方正仿宋_GBK" w:hAnsi="方正仿宋_GBK"/>
          <w:color w:val="000000" w:themeColor="text1"/>
          <w14:textFill>
            <w14:solidFill>
              <w14:schemeClr w14:val="tx1"/>
            </w14:solidFill>
          </w14:textFill>
        </w:rPr>
        <w:t>开展常态化演出</w:t>
      </w:r>
      <w:r>
        <w:rPr>
          <w:rFonts w:hint="eastAsia" w:ascii="方正仿宋_GBK" w:hAnsi="方正仿宋_GBK"/>
          <w:color w:val="000000" w:themeColor="text1"/>
          <w14:textFill>
            <w14:solidFill>
              <w14:schemeClr w14:val="tx1"/>
            </w14:solidFill>
          </w14:textFill>
        </w:rPr>
        <w:t>。</w:t>
      </w:r>
      <w:r>
        <w:rPr>
          <w:rFonts w:hint="eastAsia"/>
          <w:color w:val="000000" w:themeColor="text1"/>
          <w14:textFill>
            <w14:solidFill>
              <w14:schemeClr w14:val="tx1"/>
            </w14:solidFill>
          </w14:textFill>
        </w:rPr>
        <w:t>依托文化资源创作《云阳记忆》、《三峡，三峡》等大型实景演出剧目，提升《桃园结义》文化主题灯光秀，引进商业</w:t>
      </w:r>
      <w:r>
        <w:rPr>
          <w:color w:val="000000" w:themeColor="text1"/>
          <w14:textFill>
            <w14:solidFill>
              <w14:schemeClr w14:val="tx1"/>
            </w14:solidFill>
          </w14:textFill>
        </w:rPr>
        <w:t>演艺团队合作</w:t>
      </w:r>
      <w:r>
        <w:rPr>
          <w:rFonts w:hint="eastAsia"/>
          <w:color w:val="000000" w:themeColor="text1"/>
          <w14:textFill>
            <w14:solidFill>
              <w14:schemeClr w14:val="tx1"/>
            </w14:solidFill>
          </w14:textFill>
        </w:rPr>
        <w:t>推出《天下龙缸》大舞台展演等</w:t>
      </w:r>
      <w:r>
        <w:rPr>
          <w:color w:val="000000" w:themeColor="text1"/>
          <w14:textFill>
            <w14:solidFill>
              <w14:schemeClr w14:val="tx1"/>
            </w14:solidFill>
          </w14:textFill>
        </w:rPr>
        <w:t>演艺项目</w:t>
      </w:r>
      <w:r>
        <w:rPr>
          <w:rFonts w:hint="eastAsia"/>
          <w:color w:val="000000" w:themeColor="text1"/>
          <w14:textFill>
            <w14:solidFill>
              <w14:schemeClr w14:val="tx1"/>
            </w14:solidFill>
          </w14:textFill>
        </w:rPr>
        <w:t>，丰富文化展现形式。</w:t>
      </w:r>
    </w:p>
    <w:p>
      <w:pPr>
        <w:pStyle w:val="4"/>
        <w:ind w:firstLine="640"/>
      </w:pPr>
      <w:bookmarkStart w:id="33" w:name="_Toc82624332"/>
      <w:r>
        <w:rPr>
          <w:rFonts w:hint="eastAsia"/>
        </w:rPr>
        <w:t>第二节 完善群众文艺组织网络</w:t>
      </w:r>
      <w:bookmarkEnd w:id="33"/>
    </w:p>
    <w:p>
      <w:pPr>
        <w:ind w:firstLine="600"/>
      </w:pPr>
      <w:r>
        <w:rPr>
          <w:rFonts w:hint="eastAsia"/>
        </w:rPr>
        <w:t>充分尊重人民群众主体地位和首创精神，充分发挥群众主体性、积极性和创造性，扶持和完善群众</w:t>
      </w:r>
      <w:r>
        <w:rPr>
          <w:rFonts w:hint="eastAsia" w:ascii="方正黑体_GBK" w:hAnsi="方正黑体_GBK" w:cs="方正黑体_GBK"/>
          <w:szCs w:val="20"/>
        </w:rPr>
        <w:t>文艺组织网络</w:t>
      </w:r>
      <w:r>
        <w:rPr>
          <w:rFonts w:hint="eastAsia"/>
        </w:rPr>
        <w:t>。</w:t>
      </w:r>
    </w:p>
    <w:p>
      <w:pPr>
        <w:ind w:firstLine="602"/>
      </w:pPr>
      <w:r>
        <w:rPr>
          <w:rFonts w:hint="eastAsia"/>
          <w:b/>
        </w:rPr>
        <w:t>——加强基层群众文艺团队建设。</w:t>
      </w:r>
      <w:r>
        <w:rPr>
          <w:rFonts w:hint="eastAsia"/>
        </w:rPr>
        <w:t>加强群众文艺创作规划、指导，鼓励乡镇文化馆设立群众文艺创作室（中心），逐步形成分工明确、上下衔接的群众文艺工作网络。搭建群众文化平台，推动组建群众文化队伍，集中开展群众文化业务轮训，培育群众文化志愿者。加大对各类群众文艺团队的扶持力度，鼓励各地对优秀群众文艺团队予以表彰奖励。</w:t>
      </w:r>
    </w:p>
    <w:p>
      <w:pPr>
        <w:ind w:firstLine="602"/>
      </w:pPr>
      <w:r>
        <w:rPr>
          <w:rFonts w:hint="eastAsia"/>
          <w:b/>
        </w:rPr>
        <w:t>——发挥基层群众文艺组织带头作用。</w:t>
      </w:r>
      <w:r>
        <w:rPr>
          <w:rFonts w:hint="eastAsia"/>
        </w:rPr>
        <w:t>依托群众文艺组织网络，发挥文化大院、文化示范点、文化中心户、文化带头人的积极作用，推动开展社区、乡村、学校、企业、军营等群众文化活动，推动群众文艺组织下基层，丰富。</w:t>
      </w:r>
    </w:p>
    <w:p>
      <w:pPr>
        <w:ind w:firstLine="602"/>
      </w:pPr>
      <w:r>
        <w:rPr>
          <w:rFonts w:hint="eastAsia"/>
          <w:b/>
        </w:rPr>
        <w:t>——建立专业文艺帮扶机制。</w:t>
      </w:r>
      <w:r>
        <w:rPr>
          <w:rFonts w:hint="eastAsia"/>
        </w:rPr>
        <w:t>依托“结对子、种文化”工作机制，通过“深入生活、扎根人民”主题实践活动，建立专业文艺指导帮扶群众文艺的有效机制，引导专业文艺院团、艺术院校、文联、作协对基层公共文化机构和群众文艺团队结对帮扶，培养和提升基层群众文艺人才，辅导群众艺术创作。</w:t>
      </w:r>
    </w:p>
    <w:p>
      <w:pPr>
        <w:pStyle w:val="4"/>
        <w:ind w:firstLine="640"/>
      </w:pPr>
      <w:bookmarkStart w:id="34" w:name="_Toc82624333"/>
      <w:r>
        <w:rPr>
          <w:rFonts w:hint="eastAsia"/>
        </w:rPr>
        <w:t>第三节 推动文艺人才培养</w:t>
      </w:r>
      <w:bookmarkEnd w:id="34"/>
    </w:p>
    <w:p>
      <w:pPr>
        <w:ind w:firstLine="600"/>
      </w:pPr>
      <w:r>
        <w:rPr>
          <w:rFonts w:hint="eastAsia"/>
        </w:rPr>
        <w:t>坚持培育、引进并重，多措并举推动文艺人才队伍建设。建立人才资源库；探索采用客座制、签约制、特聘制等，建立云阳艺术人才资源库，为云阳文艺创作注入新鲜活力。强化文艺人才梯队建设；加强高层次文艺人才培养，申报“文艺名家工作室”，创新文艺人才教育培训机制，推动青年文艺快速成长，带动和培育本土基层文化工作人才队伍，开设文艺公开课、专业领域权威培训等培训工作，拓展基层文艺人才视野，构建结构合理、素质优良、充满活动力的文艺人才梯队。完善人才考核机制；建立健全与任务指标、考核结果相结合的薪酬动态调整机制，与岗位职责管理相适应的工作绩效考核评估机制。</w:t>
      </w:r>
    </w:p>
    <w:p>
      <w:pPr>
        <w:pStyle w:val="4"/>
        <w:ind w:firstLine="640"/>
      </w:pPr>
      <w:bookmarkStart w:id="35" w:name="_Toc82624334"/>
      <w:r>
        <w:rPr>
          <w:rFonts w:hint="eastAsia"/>
        </w:rPr>
        <w:t>第四节 优化文艺创作环境</w:t>
      </w:r>
      <w:bookmarkEnd w:id="35"/>
    </w:p>
    <w:p>
      <w:pPr>
        <w:ind w:firstLine="600"/>
      </w:pPr>
      <w:r>
        <w:rPr>
          <w:rFonts w:hint="eastAsia"/>
        </w:rPr>
        <w:t>在市场化框架下完善文艺创作激励机制，采取多种激励手段，调动文艺工作者的创作积极性，营造有利于文艺创作的良好环境。</w:t>
      </w:r>
    </w:p>
    <w:p>
      <w:pPr>
        <w:ind w:firstLine="602"/>
      </w:pPr>
      <w:r>
        <w:rPr>
          <w:rFonts w:hint="eastAsia"/>
          <w:b/>
        </w:rPr>
        <w:t>——强化</w:t>
      </w:r>
      <w:r>
        <w:rPr>
          <w:b/>
        </w:rPr>
        <w:t>文艺作品</w:t>
      </w:r>
      <w:r>
        <w:rPr>
          <w:rFonts w:hint="eastAsia"/>
          <w:b/>
        </w:rPr>
        <w:t>扶持。</w:t>
      </w:r>
      <w:r>
        <w:rPr>
          <w:rFonts w:hint="eastAsia"/>
        </w:rPr>
        <w:t>建立“深入生活、扎根群众”的创作保障机制，增强培育扶持力度，对列入全市、全县艺术创作资助范围的创作项目给予重点扶持。</w:t>
      </w:r>
    </w:p>
    <w:p>
      <w:pPr>
        <w:ind w:firstLine="602"/>
      </w:pPr>
      <w:r>
        <w:rPr>
          <w:rFonts w:hint="eastAsia"/>
          <w:b/>
        </w:rPr>
        <w:t>——建立健全</w:t>
      </w:r>
      <w:r>
        <w:rPr>
          <w:b/>
        </w:rPr>
        <w:t>评价机制。</w:t>
      </w:r>
      <w:r>
        <w:rPr>
          <w:rFonts w:hint="eastAsia"/>
        </w:rPr>
        <w:t>制定县级文艺作品分类评价标准，推进文化作品评价体系建设，积极举办各类文艺作品创作评比，多出优秀作品。</w:t>
      </w:r>
    </w:p>
    <w:p>
      <w:pPr>
        <w:ind w:firstLine="440"/>
        <w:jc w:val="center"/>
        <w:rPr>
          <w:rFonts w:ascii="黑体" w:hAnsi="黑体" w:eastAsia="黑体" w:cs="宋体"/>
          <w:bCs/>
          <w:color w:val="000000" w:themeColor="text1"/>
          <w:kern w:val="0"/>
          <w:sz w:val="22"/>
          <w14:textFill>
            <w14:solidFill>
              <w14:schemeClr w14:val="tx1"/>
            </w14:solidFill>
          </w14:textFill>
        </w:rPr>
      </w:pPr>
      <w:r>
        <w:rPr>
          <w:rFonts w:hint="eastAsia" w:ascii="黑体" w:hAnsi="黑体" w:eastAsia="黑体" w:cs="宋体"/>
          <w:bCs/>
          <w:color w:val="000000" w:themeColor="text1"/>
          <w:kern w:val="0"/>
          <w:sz w:val="22"/>
          <w14:textFill>
            <w14:solidFill>
              <w14:schemeClr w14:val="tx1"/>
            </w14:solidFill>
          </w14:textFill>
        </w:rPr>
        <w:t>专栏4 推动文艺繁荣发展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楷体" w:hAnsi="楷体" w:eastAsia="楷体" w:cs="宋体"/>
                <w:b/>
                <w:bCs/>
                <w:color w:val="000000" w:themeColor="text1"/>
                <w:kern w:val="0"/>
                <w:sz w:val="22"/>
                <w14:textFill>
                  <w14:solidFill>
                    <w14:schemeClr w14:val="tx1"/>
                  </w14:solidFill>
                </w14:textFill>
              </w:rPr>
            </w:pPr>
            <w:r>
              <w:rPr>
                <w:rFonts w:hint="eastAsia" w:ascii="楷体" w:hAnsi="楷体" w:eastAsia="楷体" w:cs="宋体"/>
                <w:b/>
                <w:bCs/>
                <w:color w:val="000000" w:themeColor="text1"/>
                <w:kern w:val="0"/>
                <w:sz w:val="22"/>
                <w14:textFill>
                  <w14:solidFill>
                    <w14:schemeClr w14:val="tx1"/>
                  </w14:solidFill>
                </w14:textFill>
              </w:rPr>
              <w:t>重要措施：</w:t>
            </w:r>
          </w:p>
          <w:p>
            <w:pPr>
              <w:ind w:firstLine="442"/>
              <w:rPr>
                <w:rFonts w:ascii="楷体" w:hAnsi="楷体" w:eastAsia="楷体" w:cs="宋体"/>
                <w:color w:val="000000" w:themeColor="text1"/>
                <w:kern w:val="0"/>
                <w:sz w:val="22"/>
                <w14:textFill>
                  <w14:solidFill>
                    <w14:schemeClr w14:val="tx1"/>
                  </w14:solidFill>
                </w14:textFill>
              </w:rPr>
            </w:pPr>
            <w:r>
              <w:rPr>
                <w:rFonts w:hint="eastAsia" w:ascii="楷体" w:hAnsi="楷体" w:eastAsia="楷体" w:cs="宋体"/>
                <w:b/>
                <w:color w:val="000000" w:themeColor="text1"/>
                <w:kern w:val="0"/>
                <w:sz w:val="22"/>
                <w14:textFill>
                  <w14:solidFill>
                    <w14:schemeClr w14:val="tx1"/>
                  </w14:solidFill>
                </w14:textFill>
              </w:rPr>
              <w:t>创作文艺精品：</w:t>
            </w:r>
            <w:r>
              <w:rPr>
                <w:rFonts w:hint="eastAsia" w:ascii="楷体" w:hAnsi="楷体" w:eastAsia="楷体" w:cs="宋体"/>
                <w:color w:val="000000" w:themeColor="text1"/>
                <w:kern w:val="0"/>
                <w:sz w:val="22"/>
                <w14:textFill>
                  <w14:solidFill>
                    <w14:schemeClr w14:val="tx1"/>
                  </w14:solidFill>
                </w14:textFill>
              </w:rPr>
              <w:t>策划举办“三峡地质文化高峰论坛”等系列活动，整合出版《云阳历史传统文化系列丛书》，创编梯城故事荟。创作《云阳记忆》、《三峡，三峡》等大型实景演出剧目，提升“又见张飞”文化主题灯光秀，引进商业演艺团队合作推出《天下龙缸》大舞台展演等演艺项目。</w:t>
            </w:r>
          </w:p>
        </w:tc>
      </w:tr>
    </w:tbl>
    <w:p>
      <w:pPr>
        <w:pStyle w:val="3"/>
        <w:ind w:firstLine="720"/>
      </w:pPr>
      <w:bookmarkStart w:id="36" w:name="_Toc82624335"/>
      <w:r>
        <w:rPr>
          <w:rFonts w:hint="eastAsia"/>
        </w:rPr>
        <w:t>第六章 推动文化产业发展</w:t>
      </w:r>
      <w:bookmarkEnd w:id="36"/>
    </w:p>
    <w:p>
      <w:pPr>
        <w:ind w:firstLine="600"/>
      </w:pPr>
      <w:r>
        <w:rPr>
          <w:rFonts w:hint="eastAsia"/>
        </w:rPr>
        <w:t>创造</w:t>
      </w:r>
      <w:r>
        <w:t>高品质文化生活要借助产业化</w:t>
      </w:r>
      <w:r>
        <w:rPr>
          <w:rFonts w:hint="eastAsia"/>
        </w:rPr>
        <w:t>发展</w:t>
      </w:r>
      <w:r>
        <w:t>为手段</w:t>
      </w:r>
      <w:r>
        <w:rPr>
          <w:rFonts w:hint="eastAsia"/>
        </w:rPr>
        <w:t>。坚持社会效益与经济效益相统一，建立完善</w:t>
      </w:r>
      <w:r>
        <w:t>的文化产业体系</w:t>
      </w:r>
      <w:r>
        <w:rPr>
          <w:rFonts w:hint="eastAsia"/>
        </w:rPr>
        <w:t>，丰富现代文化服务业态，支撑地区</w:t>
      </w:r>
      <w:r>
        <w:t>经济、服务文化生活</w:t>
      </w:r>
      <w:r>
        <w:rPr>
          <w:rFonts w:hint="eastAsia"/>
        </w:rPr>
        <w:t>。</w:t>
      </w:r>
    </w:p>
    <w:p>
      <w:pPr>
        <w:pStyle w:val="4"/>
        <w:ind w:firstLine="640"/>
      </w:pPr>
      <w:bookmarkStart w:id="37" w:name="_Toc82624336"/>
      <w:r>
        <w:rPr>
          <w:rFonts w:hint="eastAsia" w:ascii="方正黑体_GBK" w:hAnsi="方正黑体_GBK" w:cs="方正黑体_GBK"/>
          <w:szCs w:val="20"/>
        </w:rPr>
        <w:t xml:space="preserve">第一节 </w:t>
      </w:r>
      <w:r>
        <w:rPr>
          <w:rFonts w:hint="eastAsia"/>
        </w:rPr>
        <w:t>创新</w:t>
      </w:r>
      <w:r>
        <w:t>驱动文创产业</w:t>
      </w:r>
      <w:r>
        <w:rPr>
          <w:rFonts w:hint="eastAsia"/>
        </w:rPr>
        <w:t>发展</w:t>
      </w:r>
      <w:bookmarkEnd w:id="37"/>
    </w:p>
    <w:p>
      <w:pPr>
        <w:ind w:firstLine="600"/>
        <w:rPr>
          <w:b/>
        </w:rPr>
      </w:pPr>
      <w:r>
        <w:rPr>
          <w:rFonts w:hint="eastAsia"/>
        </w:rPr>
        <w:t>实施创新驱动工程，加快推进重点领域</w:t>
      </w:r>
      <w:r>
        <w:t>4</w:t>
      </w:r>
      <w:r>
        <w:rPr>
          <w:rFonts w:hint="eastAsia"/>
        </w:rPr>
        <w:t>类文化产业发展，满足群众日益丰富的文化娱乐生活需求，培育文创消费新热点。</w:t>
      </w:r>
    </w:p>
    <w:p>
      <w:pPr>
        <w:ind w:firstLine="602"/>
      </w:pPr>
      <w:r>
        <w:rPr>
          <w:rFonts w:hint="eastAsia"/>
          <w:b/>
        </w:rPr>
        <w:t>——加快数字文化产业发展</w:t>
      </w:r>
      <w:r>
        <w:rPr>
          <w:rFonts w:hint="eastAsia"/>
          <w:b/>
          <w:shd w:val="clear" w:color="auto" w:fill="FFFFFF"/>
        </w:rPr>
        <w:t>。</w:t>
      </w:r>
      <w:r>
        <w:rPr>
          <w:rFonts w:hint="eastAsia"/>
          <w:shd w:val="clear" w:color="auto" w:fill="FFFFFF"/>
        </w:rPr>
        <w:t>以水口数智森林小镇为核心</w:t>
      </w:r>
      <w:r>
        <w:rPr>
          <w:rFonts w:hint="eastAsia"/>
        </w:rPr>
        <w:t>，科技赋能+文创思维+互联网为载体，加快发展VR/AR、电竞、数字影视产业、网络影视、网络文学、直播等，加快发展移动多媒体，完善数字文化产业服务体系。</w:t>
      </w:r>
    </w:p>
    <w:p>
      <w:pPr>
        <w:ind w:firstLine="600"/>
      </w:pPr>
      <w:r>
        <w:rPr>
          <w:rFonts w:hint="eastAsia"/>
        </w:rPr>
        <w:t>——</w:t>
      </w:r>
      <w:r>
        <w:rPr>
          <w:rFonts w:hint="eastAsia"/>
          <w:b/>
        </w:rPr>
        <w:t>加快发展实景演艺和舞蹈产业。</w:t>
      </w:r>
      <w:r>
        <w:rPr>
          <w:rFonts w:hint="eastAsia"/>
        </w:rPr>
        <w:t>依托张飞庙和龙缸</w:t>
      </w:r>
      <w:r>
        <w:t>景区</w:t>
      </w:r>
      <w:r>
        <w:rPr>
          <w:rFonts w:hint="eastAsia"/>
        </w:rPr>
        <w:t>，做优竹琴、歌舞、曲艺等文艺产业，推进演艺旅游融合，打造一批文旅演艺精品剧目，推动演艺企业、机构“上云上线”，提升云阳文化品牌传播力度。</w:t>
      </w:r>
    </w:p>
    <w:p>
      <w:pPr>
        <w:ind w:firstLine="600"/>
      </w:pPr>
      <w:r>
        <w:rPr>
          <w:rFonts w:hint="eastAsia"/>
        </w:rPr>
        <w:t>——</w:t>
      </w:r>
      <w:r>
        <w:rPr>
          <w:rFonts w:hint="eastAsia"/>
          <w:b/>
        </w:rPr>
        <w:t>加快发展文化影视产业。</w:t>
      </w:r>
      <w:r>
        <w:rPr>
          <w:rFonts w:hint="eastAsia"/>
        </w:rPr>
        <w:t>健全云阳电影院布局体系，</w:t>
      </w:r>
      <w:r>
        <w:t>推进江口、</w:t>
      </w:r>
      <w:r>
        <w:rPr>
          <w:rFonts w:hint="eastAsia"/>
        </w:rPr>
        <w:t>南溪</w:t>
      </w:r>
      <w:r>
        <w:t>、龙角、普安等乡镇电影院建设</w:t>
      </w:r>
      <w:r>
        <w:rPr>
          <w:rFonts w:hint="eastAsia"/>
        </w:rPr>
        <w:t>。构建文化影视产业联盟，依托龙缸景区</w:t>
      </w:r>
      <w:r>
        <w:t>、清水湖、彭氏宗祠</w:t>
      </w:r>
      <w:r>
        <w:rPr>
          <w:rFonts w:hint="eastAsia"/>
        </w:rPr>
        <w:t>等建设发展影视基地，支持动画片、影视剧原创生产，打造本土标志性IP，推动文化影视与音乐、玩具、服饰等衍生产业联动发展。</w:t>
      </w:r>
    </w:p>
    <w:p>
      <w:pPr>
        <w:ind w:firstLine="600"/>
      </w:pPr>
      <w:r>
        <w:rPr>
          <w:rFonts w:hint="eastAsia"/>
        </w:rPr>
        <w:t>——</w:t>
      </w:r>
      <w:r>
        <w:rPr>
          <w:rFonts w:hint="eastAsia"/>
          <w:b/>
        </w:rPr>
        <w:t>培育乡村手工产品成为文创产品。</w:t>
      </w:r>
      <w:r>
        <w:rPr>
          <w:rFonts w:hint="eastAsia"/>
          <w:shd w:val="clear" w:color="auto" w:fill="FFFFFF"/>
        </w:rPr>
        <w:t>推进文化文创平台建设，塑造“江上风清”区域文创品牌。</w:t>
      </w:r>
      <w:r>
        <w:rPr>
          <w:rFonts w:hint="eastAsia"/>
        </w:rPr>
        <w:t>鼓励文化创意设计，振兴传统工艺，推动</w:t>
      </w:r>
      <w:r>
        <w:t>陈大毛手工面</w:t>
      </w:r>
      <w:r>
        <w:rPr>
          <w:rFonts w:hint="eastAsia"/>
        </w:rPr>
        <w:t>、</w:t>
      </w:r>
      <w:r>
        <w:t>逢亨堂</w:t>
      </w:r>
      <w:r>
        <w:rPr>
          <w:rFonts w:hint="eastAsia"/>
        </w:rPr>
        <w:t>土红糖</w:t>
      </w:r>
      <w:r>
        <w:t>、</w:t>
      </w:r>
      <w:r>
        <w:rPr>
          <w:rFonts w:hint="eastAsia"/>
        </w:rPr>
        <w:t>冉菊花</w:t>
      </w:r>
      <w:r>
        <w:t>等</w:t>
      </w:r>
      <w:r>
        <w:rPr>
          <w:rFonts w:hint="eastAsia"/>
        </w:rPr>
        <w:t>工艺产业向文创品牌升级发展。</w:t>
      </w:r>
    </w:p>
    <w:p>
      <w:pPr>
        <w:pStyle w:val="4"/>
        <w:ind w:firstLine="640"/>
      </w:pPr>
      <w:bookmarkStart w:id="38" w:name="_Toc82624337"/>
      <w:r>
        <w:rPr>
          <w:rFonts w:hint="eastAsia"/>
        </w:rPr>
        <w:t>第二节</w:t>
      </w:r>
      <w:bookmarkStart w:id="39" w:name="_Toc68706396"/>
      <w:r>
        <w:rPr>
          <w:rFonts w:hint="eastAsia"/>
        </w:rPr>
        <w:t xml:space="preserve"> 推动</w:t>
      </w:r>
      <w:r>
        <w:t>文化产业集聚发展</w:t>
      </w:r>
      <w:bookmarkEnd w:id="38"/>
      <w:bookmarkEnd w:id="39"/>
    </w:p>
    <w:p>
      <w:pPr>
        <w:ind w:firstLine="600"/>
        <w:rPr>
          <w:b/>
        </w:rPr>
      </w:pPr>
      <w:r>
        <w:rPr>
          <w:rFonts w:hint="eastAsia"/>
        </w:rPr>
        <w:t>实施产业集聚发展工程，引导文化要素资源集聚发展，优化云阳全域“1+</w:t>
      </w:r>
      <w:r>
        <w:t>3</w:t>
      </w:r>
      <w:r>
        <w:rPr>
          <w:rFonts w:hint="eastAsia"/>
        </w:rPr>
        <w:t>”文化产业项目布局。</w:t>
      </w:r>
    </w:p>
    <w:p>
      <w:pPr>
        <w:ind w:firstLine="602"/>
        <w:rPr>
          <w:b/>
        </w:rPr>
      </w:pPr>
      <w:r>
        <w:rPr>
          <w:rFonts w:hint="eastAsia"/>
          <w:b/>
        </w:rPr>
        <w:t>——建设水口数智森林小镇文化产业园。</w:t>
      </w:r>
      <w:r>
        <w:rPr>
          <w:rFonts w:hint="eastAsia"/>
        </w:rPr>
        <w:t>紧扣文旅融合发展契机，依托云阳“远古地质”特色文化，着力建设为水口数智森林小镇为集远古地质文化展示、文创产业、数字影音于一体的文创产业园。</w:t>
      </w:r>
      <w:r>
        <w:t>建立</w:t>
      </w:r>
      <w:r>
        <w:rPr>
          <w:rFonts w:hint="eastAsia"/>
        </w:rPr>
        <w:t>政府邀请、减免租金等长效优惠</w:t>
      </w:r>
      <w:r>
        <w:t>机制引导文化企业入驻</w:t>
      </w:r>
      <w:r>
        <w:rPr>
          <w:rFonts w:hint="eastAsia"/>
        </w:rPr>
        <w:t>。</w:t>
      </w:r>
    </w:p>
    <w:p>
      <w:pPr>
        <w:ind w:firstLine="602"/>
      </w:pPr>
      <w:r>
        <w:rPr>
          <w:rFonts w:hint="eastAsia"/>
          <w:b/>
        </w:rPr>
        <w:t>——重点布局</w:t>
      </w:r>
      <w:r>
        <w:rPr>
          <w:b/>
        </w:rPr>
        <w:t>文化产业基地</w:t>
      </w:r>
      <w:r>
        <w:rPr>
          <w:rFonts w:hint="eastAsia"/>
          <w:b/>
        </w:rPr>
        <w:t>。</w:t>
      </w:r>
      <w:r>
        <w:rPr>
          <w:rFonts w:hint="eastAsia"/>
        </w:rPr>
        <w:t>推动</w:t>
      </w:r>
      <w:r>
        <w:rPr>
          <w:rFonts w:hint="eastAsia" w:ascii="方正仿宋_GBK" w:hAnsi="方正仿宋_GBK"/>
        </w:rPr>
        <w:t>县城</w:t>
      </w:r>
      <w:r>
        <w:rPr>
          <w:rFonts w:ascii="方正仿宋_GBK" w:hAnsi="方正仿宋_GBK"/>
        </w:rPr>
        <w:t>、</w:t>
      </w:r>
      <w:r>
        <w:rPr>
          <w:rFonts w:hint="eastAsia" w:ascii="方正仿宋_GBK" w:hAnsi="方正仿宋_GBK"/>
        </w:rPr>
        <w:t>清水乡和凤鸣镇</w:t>
      </w:r>
      <w:r>
        <w:rPr>
          <w:rFonts w:ascii="方正仿宋_GBK" w:hAnsi="方正仿宋_GBK"/>
        </w:rPr>
        <w:t>分别围绕</w:t>
      </w:r>
      <w:r>
        <w:rPr>
          <w:rFonts w:hint="eastAsia" w:ascii="方正仿宋_GBK" w:hAnsi="方正仿宋_GBK"/>
        </w:rPr>
        <w:t>三国文化</w:t>
      </w:r>
      <w:r>
        <w:rPr>
          <w:rFonts w:ascii="方正仿宋_GBK" w:hAnsi="方正仿宋_GBK"/>
        </w:rPr>
        <w:t>、</w:t>
      </w:r>
      <w:r>
        <w:rPr>
          <w:rFonts w:hint="eastAsia" w:ascii="方正仿宋_GBK" w:hAnsi="方正仿宋_GBK"/>
        </w:rPr>
        <w:t>土家风情和三峡民俗文化主题构建</w:t>
      </w:r>
      <w:r>
        <w:t>文化基地</w:t>
      </w:r>
      <w:r>
        <w:rPr>
          <w:rFonts w:hint="eastAsia"/>
        </w:rPr>
        <w:t>，建设以博览展示、艺术创作、影视制作、数字创意、文创消费等为主营业态的特色文化产业园、文化基地、文化小镇、文化街区。</w:t>
      </w:r>
    </w:p>
    <w:p>
      <w:pPr>
        <w:pStyle w:val="4"/>
        <w:ind w:firstLine="640"/>
      </w:pPr>
      <w:bookmarkStart w:id="40" w:name="_Toc82624338"/>
      <w:r>
        <w:rPr>
          <w:rFonts w:hint="eastAsia"/>
        </w:rPr>
        <w:t>第三节 培育和促进文化消费</w:t>
      </w:r>
      <w:bookmarkEnd w:id="40"/>
    </w:p>
    <w:p>
      <w:pPr>
        <w:ind w:firstLine="600"/>
      </w:pPr>
      <w:r>
        <w:rPr>
          <w:rFonts w:hint="eastAsia"/>
        </w:rPr>
        <w:t>实施消费提升工程，</w:t>
      </w:r>
      <w:r>
        <w:rPr>
          <w:rFonts w:hint="eastAsia" w:ascii="方正仿宋_GBK"/>
        </w:rPr>
        <w:t>坚持市场主导，政府推动、需求引领，创新驱动；融合发展，产业联动。</w:t>
      </w:r>
      <w:r>
        <w:rPr>
          <w:rFonts w:hint="eastAsia"/>
        </w:rPr>
        <w:t>力争到2025年，全县规上文化产业市场主体达</w:t>
      </w:r>
      <w:r>
        <w:t>50</w:t>
      </w:r>
      <w:r>
        <w:rPr>
          <w:rFonts w:hint="eastAsia"/>
        </w:rPr>
        <w:t>家以上、文化产业增加值突破10亿元。</w:t>
      </w:r>
    </w:p>
    <w:p>
      <w:pPr>
        <w:ind w:firstLine="602"/>
      </w:pPr>
      <w:r>
        <w:rPr>
          <w:rFonts w:hint="eastAsia"/>
          <w:b/>
        </w:rPr>
        <w:t>——丰富</w:t>
      </w:r>
      <w:r>
        <w:rPr>
          <w:b/>
        </w:rPr>
        <w:t>文化业态，</w:t>
      </w:r>
      <w:r>
        <w:rPr>
          <w:rFonts w:hint="eastAsia"/>
          <w:b/>
        </w:rPr>
        <w:t>优化</w:t>
      </w:r>
      <w:r>
        <w:rPr>
          <w:b/>
        </w:rPr>
        <w:t>产品</w:t>
      </w:r>
      <w:r>
        <w:rPr>
          <w:rFonts w:hint="eastAsia"/>
          <w:b/>
        </w:rPr>
        <w:t>供给。</w:t>
      </w:r>
      <w:r>
        <w:rPr>
          <w:rFonts w:hint="eastAsia"/>
        </w:rPr>
        <w:t>优化文化产品供给结构，打造符合云阳市场需求的原创文化精品，通过政府购买、消费补贴等方式，引导文化企业为市民提供更多高质量的适合云阳市民消费水平和消费习惯的文化产品和服务。</w:t>
      </w:r>
    </w:p>
    <w:p>
      <w:pPr>
        <w:ind w:firstLine="602"/>
        <w:rPr>
          <w:rFonts w:ascii="方正仿宋_GBK"/>
        </w:rPr>
      </w:pPr>
      <w:r>
        <w:rPr>
          <w:rFonts w:hint="eastAsia"/>
          <w:b/>
        </w:rPr>
        <w:t>——</w:t>
      </w:r>
      <w:r>
        <w:rPr>
          <w:rFonts w:hint="eastAsia" w:ascii="方正仿宋_GBK"/>
          <w:b/>
        </w:rPr>
        <w:t>促进文化演出消费。</w:t>
      </w:r>
      <w:r>
        <w:rPr>
          <w:rFonts w:hint="eastAsia" w:ascii="方正仿宋_GBK"/>
        </w:rPr>
        <w:t>支持通过票价直接补贴与优秀作品奖励相结合的方式，发展</w:t>
      </w:r>
      <w:r>
        <w:rPr>
          <w:rFonts w:hint="eastAsia"/>
        </w:rPr>
        <w:t>实景演出、灯光秀等剧目。</w:t>
      </w:r>
      <w:r>
        <w:rPr>
          <w:rFonts w:hint="eastAsia" w:ascii="方正仿宋_GBK"/>
        </w:rPr>
        <w:t>引导市民和演出团体积极参与各类文化演出活动。</w:t>
      </w:r>
    </w:p>
    <w:p>
      <w:pPr>
        <w:ind w:firstLine="602"/>
      </w:pPr>
      <w:r>
        <w:rPr>
          <w:rFonts w:hint="eastAsia"/>
          <w:b/>
        </w:rPr>
        <w:t>——建立文化产业引导和监管机制。</w:t>
      </w:r>
      <w:r>
        <w:rPr>
          <w:rFonts w:hint="eastAsia"/>
        </w:rPr>
        <w:t>建立文化</w:t>
      </w:r>
      <w:r>
        <w:t>产业</w:t>
      </w:r>
      <w:r>
        <w:rPr>
          <w:rFonts w:hint="eastAsia"/>
        </w:rPr>
        <w:t>动态监管</w:t>
      </w:r>
      <w:r>
        <w:t>“</w:t>
      </w:r>
      <w:r>
        <w:rPr>
          <w:rFonts w:hint="eastAsia"/>
        </w:rPr>
        <w:t>黑白名单</w:t>
      </w:r>
      <w:r>
        <w:t>”</w:t>
      </w:r>
      <w:r>
        <w:rPr>
          <w:rFonts w:hint="eastAsia"/>
        </w:rPr>
        <w:t>制度，</w:t>
      </w:r>
      <w:r>
        <w:t>完善</w:t>
      </w:r>
      <w:r>
        <w:rPr>
          <w:rFonts w:hint="eastAsia"/>
        </w:rPr>
        <w:t>文化产品准入和退出机制、强化文化市场精确管理，明确市场主体责任、加强行业自律、扩大社会监督。</w:t>
      </w:r>
    </w:p>
    <w:p>
      <w:pPr>
        <w:pStyle w:val="4"/>
        <w:ind w:firstLine="640"/>
      </w:pPr>
      <w:bookmarkStart w:id="41" w:name="_Toc82624339"/>
      <w:r>
        <w:rPr>
          <w:rFonts w:hint="eastAsia"/>
        </w:rPr>
        <w:t>第四节 健全文化产业市场体系</w:t>
      </w:r>
      <w:bookmarkEnd w:id="41"/>
    </w:p>
    <w:p>
      <w:pPr>
        <w:ind w:firstLine="600"/>
      </w:pPr>
      <w:r>
        <w:rPr>
          <w:rFonts w:hint="eastAsia"/>
        </w:rPr>
        <w:t>在市场机制下完善文化市场产业体系，持续繁荣文化艺术主体市场，加强文化市场管理，引导文化市场行业健康发展。</w:t>
      </w:r>
    </w:p>
    <w:p>
      <w:pPr>
        <w:ind w:firstLine="602"/>
      </w:pPr>
      <w:r>
        <w:rPr>
          <w:rFonts w:hint="eastAsia"/>
          <w:b/>
        </w:rPr>
        <w:t>——加强文化市场主体建设。</w:t>
      </w:r>
      <w:r>
        <w:rPr>
          <w:rFonts w:hint="eastAsia"/>
        </w:rPr>
        <w:t>推进国有经营性文化单位改革，推动文化资源和要素向优质文化企业、优势文化产业集聚。进一步降低准入门槛，引导社会资本以多种形式投资文化产业。积极发展小微文化企业，活跃文化市场。繁荣文化艺术创作和音体美等艺术培训市场。支持实体书店健康发展。有序发展文化产权、版权、人才、技术、信息等要素市场，建立健全文化资产评估体系和文化产权交易体系。</w:t>
      </w:r>
    </w:p>
    <w:p>
      <w:pPr>
        <w:ind w:firstLine="602"/>
      </w:pPr>
      <w:r>
        <w:rPr>
          <w:rFonts w:hint="eastAsia"/>
          <w:b/>
        </w:rPr>
        <w:t>——加强文化市场管理。</w:t>
      </w:r>
      <w:r>
        <w:rPr>
          <w:rFonts w:hint="eastAsia"/>
        </w:rPr>
        <w:t>健全综合执法制度机制，完善文化市场信用体系。严厉打击违法出版活动、违法经营活动、著作权侵权、“伪基站”设备等违法行为。落实市场主体守法经营的主体责任。推动文化行业协会、商会等社会组织建立健全行业经营自律规范、自律公约和职业道德准则，引导行业健康发展。</w:t>
      </w:r>
    </w:p>
    <w:p>
      <w:pPr>
        <w:ind w:firstLine="440"/>
        <w:jc w:val="center"/>
        <w:rPr>
          <w:rFonts w:ascii="黑体" w:hAnsi="黑体" w:eastAsia="黑体" w:cs="宋体"/>
          <w:bCs/>
          <w:color w:val="000000" w:themeColor="text1"/>
          <w:kern w:val="0"/>
          <w:sz w:val="22"/>
          <w14:textFill>
            <w14:solidFill>
              <w14:schemeClr w14:val="tx1"/>
            </w14:solidFill>
          </w14:textFill>
        </w:rPr>
      </w:pPr>
      <w:r>
        <w:rPr>
          <w:rFonts w:hint="eastAsia" w:ascii="黑体" w:hAnsi="黑体" w:eastAsia="黑体" w:cs="宋体"/>
          <w:bCs/>
          <w:color w:val="000000" w:themeColor="text1"/>
          <w:kern w:val="0"/>
          <w:sz w:val="22"/>
          <w14:textFill>
            <w14:solidFill>
              <w14:schemeClr w14:val="tx1"/>
            </w14:solidFill>
          </w14:textFill>
        </w:rPr>
        <w:t>专栏</w:t>
      </w:r>
      <w:r>
        <w:rPr>
          <w:rFonts w:ascii="黑体" w:hAnsi="黑体" w:eastAsia="黑体" w:cs="宋体"/>
          <w:bCs/>
          <w:color w:val="000000" w:themeColor="text1"/>
          <w:kern w:val="0"/>
          <w:sz w:val="22"/>
          <w14:textFill>
            <w14:solidFill>
              <w14:schemeClr w14:val="tx1"/>
            </w14:solidFill>
          </w14:textFill>
        </w:rPr>
        <w:t>3</w:t>
      </w:r>
      <w:r>
        <w:rPr>
          <w:rFonts w:hint="eastAsia" w:ascii="黑体" w:hAnsi="黑体" w:eastAsia="黑体" w:cs="宋体"/>
          <w:bCs/>
          <w:color w:val="000000" w:themeColor="text1"/>
          <w:kern w:val="0"/>
          <w:sz w:val="22"/>
          <w14:textFill>
            <w14:solidFill>
              <w14:schemeClr w14:val="tx1"/>
            </w14:solidFill>
          </w14:textFill>
        </w:rPr>
        <w:t xml:space="preserve"> 推动文化产业发展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ind w:firstLine="0" w:firstLineChars="0"/>
              <w:jc w:val="left"/>
              <w:rPr>
                <w:rFonts w:ascii="楷体" w:hAnsi="楷体" w:eastAsia="楷体" w:cs="宋体"/>
                <w:b/>
                <w:bCs/>
                <w:color w:val="000000" w:themeColor="text1"/>
                <w:kern w:val="0"/>
                <w:sz w:val="22"/>
                <w14:textFill>
                  <w14:solidFill>
                    <w14:schemeClr w14:val="tx1"/>
                  </w14:solidFill>
                </w14:textFill>
              </w:rPr>
            </w:pPr>
            <w:r>
              <w:rPr>
                <w:rFonts w:hint="eastAsia" w:ascii="楷体" w:hAnsi="楷体" w:eastAsia="楷体" w:cs="宋体"/>
                <w:b/>
                <w:bCs/>
                <w:color w:val="000000" w:themeColor="text1"/>
                <w:kern w:val="0"/>
                <w:sz w:val="22"/>
                <w14:textFill>
                  <w14:solidFill>
                    <w14:schemeClr w14:val="tx1"/>
                  </w14:solidFill>
                </w14:textFill>
              </w:rPr>
              <w:t>重大项目：</w:t>
            </w:r>
          </w:p>
          <w:p>
            <w:pPr>
              <w:ind w:firstLine="442"/>
              <w:rPr>
                <w:rFonts w:ascii="楷体" w:hAnsi="楷体" w:eastAsia="楷体" w:cs="宋体"/>
                <w:color w:val="000000" w:themeColor="text1"/>
                <w:kern w:val="0"/>
                <w:sz w:val="22"/>
                <w14:textFill>
                  <w14:solidFill>
                    <w14:schemeClr w14:val="tx1"/>
                  </w14:solidFill>
                </w14:textFill>
              </w:rPr>
            </w:pPr>
            <w:r>
              <w:rPr>
                <w:rFonts w:hint="eastAsia" w:ascii="楷体" w:hAnsi="楷体" w:eastAsia="楷体" w:cs="宋体"/>
                <w:b/>
                <w:color w:val="000000" w:themeColor="text1"/>
                <w:kern w:val="0"/>
                <w:sz w:val="22"/>
                <w14:textFill>
                  <w14:solidFill>
                    <w14:schemeClr w14:val="tx1"/>
                  </w14:solidFill>
                </w14:textFill>
              </w:rPr>
              <w:t>建设文化产业产业园、基地。</w:t>
            </w:r>
            <w:r>
              <w:rPr>
                <w:rFonts w:hint="eastAsia" w:ascii="楷体" w:hAnsi="楷体" w:eastAsia="楷体" w:cs="宋体"/>
                <w:color w:val="000000" w:themeColor="text1"/>
                <w:kern w:val="0"/>
                <w:sz w:val="22"/>
                <w14:textFill>
                  <w14:solidFill>
                    <w14:schemeClr w14:val="tx1"/>
                  </w14:solidFill>
                </w14:textFill>
              </w:rPr>
              <w:t>推动以“水口数智小镇”为核心打造数字文化企业集聚区，支持龙缸、清水湖、彭氏宗祠建设发展影视基地和文化产业园；推动陈大毛手工面、逢亨堂土红糖、冉菊花等非遗工艺产业向文化品牌化集群化升级发展。</w:t>
            </w:r>
          </w:p>
          <w:p>
            <w:pPr>
              <w:widowControl/>
              <w:ind w:firstLine="0" w:firstLineChars="0"/>
              <w:jc w:val="left"/>
              <w:rPr>
                <w:rFonts w:ascii="楷体" w:hAnsi="楷体" w:eastAsia="楷体" w:cs="宋体"/>
                <w:b/>
                <w:bCs/>
                <w:color w:val="000000" w:themeColor="text1"/>
                <w:kern w:val="0"/>
                <w:sz w:val="22"/>
                <w14:textFill>
                  <w14:solidFill>
                    <w14:schemeClr w14:val="tx1"/>
                  </w14:solidFill>
                </w14:textFill>
              </w:rPr>
            </w:pPr>
            <w:r>
              <w:rPr>
                <w:rFonts w:hint="eastAsia" w:ascii="楷体" w:hAnsi="楷体" w:eastAsia="楷体" w:cs="宋体"/>
                <w:b/>
                <w:bCs/>
                <w:color w:val="000000" w:themeColor="text1"/>
                <w:kern w:val="0"/>
                <w:sz w:val="22"/>
                <w14:textFill>
                  <w14:solidFill>
                    <w14:schemeClr w14:val="tx1"/>
                  </w14:solidFill>
                </w14:textFill>
              </w:rPr>
              <w:t>重要措施：</w:t>
            </w:r>
          </w:p>
          <w:p>
            <w:pPr>
              <w:ind w:firstLine="440"/>
              <w:rPr>
                <w:rFonts w:ascii="楷体" w:hAnsi="楷体" w:eastAsia="楷体" w:cs="宋体"/>
                <w:color w:val="000000" w:themeColor="text1"/>
                <w:kern w:val="0"/>
                <w:sz w:val="22"/>
                <w14:textFill>
                  <w14:solidFill>
                    <w14:schemeClr w14:val="tx1"/>
                  </w14:solidFill>
                </w14:textFill>
              </w:rPr>
            </w:pPr>
            <w:r>
              <w:rPr>
                <w:rFonts w:hint="eastAsia" w:ascii="楷体" w:hAnsi="楷体" w:eastAsia="楷体" w:cs="宋体"/>
                <w:bCs/>
                <w:sz w:val="22"/>
                <w:szCs w:val="21"/>
              </w:rPr>
              <w:t>成立文化</w:t>
            </w:r>
            <w:r>
              <w:rPr>
                <w:rFonts w:ascii="楷体" w:hAnsi="楷体" w:eastAsia="楷体" w:cs="宋体"/>
                <w:bCs/>
                <w:sz w:val="22"/>
                <w:szCs w:val="21"/>
              </w:rPr>
              <w:t>消费项目建设扶持专项基金</w:t>
            </w:r>
            <w:r>
              <w:rPr>
                <w:rFonts w:hint="eastAsia" w:ascii="楷体" w:hAnsi="楷体" w:eastAsia="楷体" w:cs="宋体"/>
                <w:bCs/>
                <w:sz w:val="22"/>
                <w:szCs w:val="21"/>
              </w:rPr>
              <w:t>。加强</w:t>
            </w:r>
            <w:r>
              <w:rPr>
                <w:rFonts w:ascii="楷体" w:hAnsi="楷体" w:eastAsia="楷体" w:cs="宋体"/>
                <w:bCs/>
                <w:sz w:val="22"/>
                <w:szCs w:val="21"/>
              </w:rPr>
              <w:t>文化</w:t>
            </w:r>
            <w:r>
              <w:rPr>
                <w:rFonts w:hint="eastAsia" w:ascii="楷体" w:hAnsi="楷体" w:eastAsia="楷体" w:cs="宋体"/>
                <w:bCs/>
                <w:sz w:val="22"/>
                <w:szCs w:val="21"/>
              </w:rPr>
              <w:t>市场</w:t>
            </w:r>
            <w:r>
              <w:rPr>
                <w:rFonts w:ascii="楷体" w:hAnsi="楷体" w:eastAsia="楷体" w:cs="宋体"/>
                <w:bCs/>
                <w:sz w:val="22"/>
                <w:szCs w:val="21"/>
              </w:rPr>
              <w:t>主体培育</w:t>
            </w:r>
            <w:r>
              <w:rPr>
                <w:rFonts w:hint="eastAsia" w:ascii="楷体" w:hAnsi="楷体" w:eastAsia="楷体" w:cs="宋体"/>
                <w:bCs/>
                <w:sz w:val="22"/>
                <w:szCs w:val="21"/>
              </w:rPr>
              <w:t>、</w:t>
            </w:r>
            <w:r>
              <w:rPr>
                <w:rFonts w:ascii="楷体" w:hAnsi="楷体" w:eastAsia="楷体" w:cs="宋体"/>
                <w:bCs/>
                <w:sz w:val="22"/>
                <w:szCs w:val="21"/>
              </w:rPr>
              <w:t>监管</w:t>
            </w:r>
            <w:r>
              <w:rPr>
                <w:rFonts w:hint="eastAsia" w:ascii="楷体" w:hAnsi="楷体" w:eastAsia="楷体" w:cs="宋体"/>
                <w:color w:val="000000" w:themeColor="text1"/>
                <w:kern w:val="0"/>
                <w:sz w:val="22"/>
                <w14:textFill>
                  <w14:solidFill>
                    <w14:schemeClr w14:val="tx1"/>
                  </w14:solidFill>
                </w14:textFill>
              </w:rPr>
              <w:t>。</w:t>
            </w:r>
          </w:p>
        </w:tc>
      </w:tr>
      <w:bookmarkEnd w:id="19"/>
    </w:tbl>
    <w:p>
      <w:pPr>
        <w:pStyle w:val="3"/>
        <w:ind w:firstLine="720"/>
      </w:pPr>
      <w:bookmarkStart w:id="42" w:name="_Toc82624340"/>
      <w:r>
        <w:rPr>
          <w:rFonts w:hint="eastAsia"/>
          <w:color w:val="000000" w:themeColor="text1"/>
          <w14:textFill>
            <w14:solidFill>
              <w14:schemeClr w14:val="tx1"/>
            </w14:solidFill>
          </w14:textFill>
        </w:rPr>
        <w:t xml:space="preserve">第七章 </w:t>
      </w:r>
      <w:r>
        <w:rPr>
          <w:rFonts w:hint="eastAsia"/>
        </w:rPr>
        <w:t>升级现代文化传播体系</w:t>
      </w:r>
      <w:bookmarkEnd w:id="42"/>
    </w:p>
    <w:p>
      <w:pPr>
        <w:ind w:firstLine="600"/>
      </w:pPr>
      <w:r>
        <w:rPr>
          <w:rFonts w:hint="eastAsia"/>
        </w:rPr>
        <w:t>创造</w:t>
      </w:r>
      <w:r>
        <w:t>高品质文化生活要</w:t>
      </w:r>
      <w:r>
        <w:rPr>
          <w:rFonts w:hint="eastAsia"/>
        </w:rPr>
        <w:t>推进传统媒体和新媒体深度融合，</w:t>
      </w:r>
      <w:r>
        <w:t>升级现代文化传播体系</w:t>
      </w:r>
      <w:r>
        <w:rPr>
          <w:rFonts w:hint="eastAsia"/>
        </w:rPr>
        <w:t>，巩固壮大主流舆论阵地，增强媒体的传播力、影响力、公信力、引导力和服务能力，推动媒体行业高质量发展，为地方文化传播助力。</w:t>
      </w:r>
    </w:p>
    <w:p>
      <w:pPr>
        <w:pStyle w:val="4"/>
        <w:ind w:firstLine="640"/>
      </w:pPr>
      <w:bookmarkStart w:id="43" w:name="_Toc82624341"/>
      <w:r>
        <w:rPr>
          <w:rFonts w:hint="eastAsia"/>
        </w:rPr>
        <w:t>第一节 拓展现代文化传播阵地</w:t>
      </w:r>
      <w:bookmarkEnd w:id="43"/>
    </w:p>
    <w:p>
      <w:pPr>
        <w:ind w:firstLine="602"/>
        <w:rPr>
          <w:b/>
        </w:rPr>
      </w:pPr>
      <w:r>
        <w:rPr>
          <w:rFonts w:hint="eastAsia"/>
          <w:b/>
        </w:rPr>
        <w:t>——构建现代化智能传播体系。</w:t>
      </w:r>
      <w:r>
        <w:t>打造以</w:t>
      </w:r>
      <w:r>
        <w:rPr>
          <w:rFonts w:hint="eastAsia"/>
        </w:rPr>
        <w:t>云阳数字日报</w:t>
      </w:r>
      <w:r>
        <w:t>为核心，以电视新闻、官方网站、官方微博、官方微信为支撑</w:t>
      </w:r>
      <w:r>
        <w:rPr>
          <w:rFonts w:hint="eastAsia"/>
        </w:rPr>
        <w:t>的</w:t>
      </w:r>
      <w:r>
        <w:t>“五位一体”多渠道、多形式、多维度的现代传播体系。</w:t>
      </w:r>
    </w:p>
    <w:p>
      <w:pPr>
        <w:ind w:firstLine="602"/>
        <w:rPr>
          <w:b/>
        </w:rPr>
      </w:pPr>
      <w:r>
        <w:rPr>
          <w:rFonts w:hint="eastAsia"/>
          <w:b/>
        </w:rPr>
        <w:t>——推进传播媒体终端建设。</w:t>
      </w:r>
      <w:r>
        <w:rPr>
          <w:rFonts w:hint="eastAsia"/>
        </w:rPr>
        <w:t>加强广播电视网络数字化、宽带化建设，推广应用现代智能终端设备，充分利用互联网推进云媒体、云出版、云阅读平台建设，加快建设广播调频同频覆盖网。</w:t>
      </w:r>
    </w:p>
    <w:p>
      <w:pPr>
        <w:ind w:firstLine="602"/>
        <w:rPr>
          <w:b/>
        </w:rPr>
      </w:pPr>
      <w:r>
        <w:rPr>
          <w:rFonts w:hint="eastAsia"/>
          <w:b/>
        </w:rPr>
        <w:t>——发展壮大新兴传播媒介</w:t>
      </w:r>
      <w:r>
        <w:rPr>
          <w:rFonts w:hint="eastAsia" w:ascii="方正仿宋_GBK" w:hAnsi="方正仿宋_GBK"/>
          <w:sz w:val="32"/>
          <w:szCs w:val="32"/>
        </w:rPr>
        <w:t>。</w:t>
      </w:r>
      <w:r>
        <w:rPr>
          <w:rFonts w:hint="eastAsia"/>
        </w:rPr>
        <w:t>顺应电信网、广播电视网、互联网“三网融合”发展趋势，构建广播电视数字化传播体系。深化传统传媒与新兴传媒有机结合，支持媒体客跨地域、跨行业发展经营。</w:t>
      </w:r>
    </w:p>
    <w:p>
      <w:pPr>
        <w:ind w:firstLine="602"/>
      </w:pPr>
      <w:r>
        <w:rPr>
          <w:rFonts w:hint="eastAsia"/>
          <w:b/>
        </w:rPr>
        <w:t>——加快媒体数字化建设。</w:t>
      </w:r>
      <w:r>
        <w:rPr>
          <w:rFonts w:hint="eastAsia"/>
        </w:rPr>
        <w:t>发展网络等新兴媒体，支持云阳媒体发展手机网站、手机刊、手机电视等新兴传播载体，建设一批具有一定影响力的新闻门户网站。</w:t>
      </w:r>
    </w:p>
    <w:p>
      <w:pPr>
        <w:pStyle w:val="4"/>
        <w:ind w:firstLine="640"/>
      </w:pPr>
      <w:bookmarkStart w:id="44" w:name="_Toc69996950"/>
      <w:bookmarkStart w:id="45" w:name="_Toc82624342"/>
      <w:r>
        <w:rPr>
          <w:rFonts w:hint="eastAsia"/>
        </w:rPr>
        <w:t>第二节 推进内容</w:t>
      </w:r>
      <w:r>
        <w:t>创作提质升级</w:t>
      </w:r>
      <w:bookmarkEnd w:id="44"/>
      <w:bookmarkEnd w:id="45"/>
    </w:p>
    <w:p>
      <w:pPr>
        <w:ind w:firstLine="600"/>
      </w:pPr>
      <w:r>
        <w:rPr>
          <w:rFonts w:hint="eastAsia"/>
        </w:rPr>
        <w:t>坚持</w:t>
      </w:r>
      <w:r>
        <w:t>以人民为中心的</w:t>
      </w:r>
      <w:r>
        <w:rPr>
          <w:rFonts w:hint="eastAsia"/>
        </w:rPr>
        <w:t>创作</w:t>
      </w:r>
      <w:r>
        <w:t>导向和“</w:t>
      </w:r>
      <w:r>
        <w:rPr>
          <w:rFonts w:hint="eastAsia"/>
        </w:rPr>
        <w:t>内容</w:t>
      </w:r>
      <w:r>
        <w:t>为王”</w:t>
      </w:r>
      <w:r>
        <w:rPr>
          <w:rFonts w:hint="eastAsia"/>
        </w:rPr>
        <w:t>的</w:t>
      </w:r>
      <w:r>
        <w:t>发展理念，</w:t>
      </w:r>
      <w:r>
        <w:rPr>
          <w:rFonts w:hint="eastAsia"/>
        </w:rPr>
        <w:t>以</w:t>
      </w:r>
      <w:r>
        <w:t>弘扬“</w:t>
      </w:r>
      <w:r>
        <w:rPr>
          <w:rFonts w:hint="eastAsia"/>
        </w:rPr>
        <w:t>中国梦</w:t>
      </w:r>
      <w:r>
        <w:t>”</w:t>
      </w:r>
      <w:r>
        <w:rPr>
          <w:rFonts w:hint="eastAsia"/>
        </w:rPr>
        <w:t>和</w:t>
      </w:r>
      <w:r>
        <w:t>社会主义核心价值观为主题，</w:t>
      </w:r>
      <w:r>
        <w:rPr>
          <w:rFonts w:hint="eastAsia"/>
        </w:rPr>
        <w:t>以远古地质文化为</w:t>
      </w:r>
      <w:r>
        <w:t>主要创作方向，</w:t>
      </w:r>
      <w:r>
        <w:rPr>
          <w:rFonts w:hint="eastAsia"/>
        </w:rPr>
        <w:t>建立内容</w:t>
      </w:r>
      <w:r>
        <w:t>生成骨干队伍</w:t>
      </w:r>
      <w:r>
        <w:rPr>
          <w:rFonts w:hint="eastAsia"/>
        </w:rPr>
        <w:t>，强化</w:t>
      </w:r>
      <w:r>
        <w:t>内容创作专业指导。</w:t>
      </w:r>
      <w:r>
        <w:rPr>
          <w:rFonts w:hint="eastAsia"/>
        </w:rPr>
        <w:t>加强专业</w:t>
      </w:r>
      <w:r>
        <w:t>人才队伍建设。</w:t>
      </w:r>
      <w:r>
        <w:rPr>
          <w:rFonts w:hint="eastAsia"/>
        </w:rPr>
        <w:t>外引、内育并举，激励、管理齐抓，依托</w:t>
      </w:r>
      <w:r>
        <w:t>高校</w:t>
      </w:r>
      <w:r>
        <w:rPr>
          <w:rFonts w:hint="eastAsia"/>
        </w:rPr>
        <w:t>、地方</w:t>
      </w:r>
      <w:r>
        <w:t>历史文化研究会、</w:t>
      </w:r>
      <w:r>
        <w:rPr>
          <w:rFonts w:hint="eastAsia"/>
        </w:rPr>
        <w:t>全域</w:t>
      </w:r>
      <w:r>
        <w:t>旅游研究院、</w:t>
      </w:r>
      <w:r>
        <w:rPr>
          <w:rFonts w:hint="eastAsia"/>
        </w:rPr>
        <w:t>文艺</w:t>
      </w:r>
      <w:r>
        <w:t>协会、社会</w:t>
      </w:r>
      <w:r>
        <w:rPr>
          <w:rFonts w:hint="eastAsia"/>
        </w:rPr>
        <w:t>人才</w:t>
      </w:r>
      <w:r>
        <w:t>等</w:t>
      </w:r>
      <w:r>
        <w:rPr>
          <w:rFonts w:hint="eastAsia"/>
        </w:rPr>
        <w:t>，</w:t>
      </w:r>
      <w:r>
        <w:t>建立</w:t>
      </w:r>
      <w:r>
        <w:rPr>
          <w:rFonts w:hint="eastAsia"/>
        </w:rPr>
        <w:t>内容</w:t>
      </w:r>
      <w:r>
        <w:t>生成骨干队伍</w:t>
      </w:r>
      <w:r>
        <w:rPr>
          <w:rFonts w:hint="eastAsia"/>
        </w:rPr>
        <w:t>。推动文艺</w:t>
      </w:r>
      <w:r>
        <w:t>精品创作工程。</w:t>
      </w:r>
      <w:r>
        <w:rPr>
          <w:rFonts w:hint="eastAsia"/>
        </w:rPr>
        <w:t>深入挖掘远古地质、山地康体、三峡历史、农耕民俗等文化</w:t>
      </w:r>
      <w:r>
        <w:t>内涵，切实强化</w:t>
      </w:r>
      <w:r>
        <w:rPr>
          <w:rFonts w:hint="eastAsia"/>
        </w:rPr>
        <w:t>历史人文纪录片、广播</w:t>
      </w:r>
      <w:r>
        <w:t>电视和网络视听节目、栏目及文艺作品的创作指导。</w:t>
      </w:r>
    </w:p>
    <w:p>
      <w:pPr>
        <w:pStyle w:val="4"/>
        <w:ind w:firstLine="640"/>
      </w:pPr>
      <w:bookmarkStart w:id="46" w:name="_Toc82624343"/>
      <w:bookmarkStart w:id="47" w:name="_Toc70180495"/>
      <w:r>
        <w:rPr>
          <w:rFonts w:hint="eastAsia"/>
        </w:rPr>
        <w:t>第三节</w:t>
      </w:r>
      <w:r>
        <w:t xml:space="preserve"> </w:t>
      </w:r>
      <w:r>
        <w:rPr>
          <w:rFonts w:hint="eastAsia"/>
        </w:rPr>
        <w:t>推动广电产业转型升级</w:t>
      </w:r>
      <w:bookmarkEnd w:id="46"/>
      <w:bookmarkEnd w:id="47"/>
    </w:p>
    <w:p>
      <w:pPr>
        <w:ind w:firstLine="600"/>
      </w:pPr>
      <w:r>
        <w:rPr>
          <w:rFonts w:hint="eastAsia"/>
        </w:rPr>
        <w:t>坚持聚焦核心、聚焦主题，积极推进融媒体中心创新发展，做强做优网上正面宣传、构建网上网下同心圆。坚持以内容为王、导向为魂、大力扶持引导网络视听精品创作生产和扶优推优，瞄准“短、精、新”，生产播出一批群众喜爱、刷屏热传的网络视听作品，推动媒体服务业由传统广告营销为主，向以“媒体+服务”为主与服务业融合发展的方向转型发展。挖掘我县优势资源，打造具有地方特色的网络视听精品，助力优秀地方文化传承发展。以“国网整合”为契机，支持重庆有线云阳分公司向上积极争取政策和资金支持，开展智慧广电运营、数字生活及综合信息服务项目建设。</w:t>
      </w:r>
    </w:p>
    <w:p>
      <w:pPr>
        <w:pStyle w:val="4"/>
        <w:ind w:firstLine="640"/>
      </w:pPr>
      <w:bookmarkStart w:id="48" w:name="_Toc70180496"/>
      <w:bookmarkStart w:id="49" w:name="_Toc82624344"/>
      <w:r>
        <w:rPr>
          <w:rFonts w:hint="eastAsia"/>
        </w:rPr>
        <w:t>第四节 推进广电文旅融合发展</w:t>
      </w:r>
      <w:bookmarkEnd w:id="48"/>
      <w:bookmarkEnd w:id="49"/>
    </w:p>
    <w:p>
      <w:pPr>
        <w:ind w:firstLine="600"/>
        <w:rPr>
          <w:rFonts w:ascii="Arial" w:hAnsi="Arial" w:cs="Arial"/>
          <w:shd w:val="clear" w:color="auto" w:fill="FFFFFF"/>
        </w:rPr>
      </w:pPr>
      <w:r>
        <w:rPr>
          <w:rFonts w:hint="eastAsia"/>
        </w:rPr>
        <w:t>以“影视文旅”建设为依托，支持以县融媒体中心为主，其他社会机构积极参与的专题片、纪录片创作、传播，主动参与、融入重庆“纪录片之都”城市品牌建设工程，力争获得国家级奖项。积极争取市文旅委支持，充分挖掘、整合我县特有文旅资源，并将其纳入全市文旅影视拍摄基地。持续开展“双晒”以及公众广泛参与的文旅影视融合的云阳形象营销活动。</w:t>
      </w:r>
    </w:p>
    <w:p>
      <w:pPr>
        <w:ind w:firstLine="440"/>
        <w:jc w:val="center"/>
        <w:rPr>
          <w:rFonts w:ascii="黑体" w:hAnsi="黑体" w:eastAsia="黑体" w:cs="宋体"/>
          <w:bCs/>
          <w:color w:val="000000" w:themeColor="text1"/>
          <w:kern w:val="0"/>
          <w:sz w:val="22"/>
          <w14:textFill>
            <w14:solidFill>
              <w14:schemeClr w14:val="tx1"/>
            </w14:solidFill>
          </w14:textFill>
        </w:rPr>
      </w:pPr>
      <w:r>
        <w:rPr>
          <w:rFonts w:hint="eastAsia" w:ascii="黑体" w:hAnsi="黑体" w:eastAsia="黑体" w:cs="宋体"/>
          <w:bCs/>
          <w:color w:val="000000" w:themeColor="text1"/>
          <w:kern w:val="0"/>
          <w:sz w:val="22"/>
          <w14:textFill>
            <w14:solidFill>
              <w14:schemeClr w14:val="tx1"/>
            </w14:solidFill>
          </w14:textFill>
        </w:rPr>
        <w:t>专栏</w:t>
      </w:r>
      <w:r>
        <w:rPr>
          <w:rFonts w:ascii="黑体" w:hAnsi="黑体" w:eastAsia="黑体" w:cs="宋体"/>
          <w:bCs/>
          <w:color w:val="000000" w:themeColor="text1"/>
          <w:kern w:val="0"/>
          <w:sz w:val="22"/>
          <w14:textFill>
            <w14:solidFill>
              <w14:schemeClr w14:val="tx1"/>
            </w14:solidFill>
          </w14:textFill>
        </w:rPr>
        <w:t xml:space="preserve">5 </w:t>
      </w:r>
      <w:r>
        <w:rPr>
          <w:rFonts w:hint="eastAsia" w:ascii="黑体" w:hAnsi="黑体" w:eastAsia="黑体" w:cs="宋体"/>
          <w:bCs/>
          <w:color w:val="000000" w:themeColor="text1"/>
          <w:kern w:val="0"/>
          <w:sz w:val="22"/>
          <w14:textFill>
            <w14:solidFill>
              <w14:schemeClr w14:val="tx1"/>
            </w14:solidFill>
          </w14:textFill>
        </w:rPr>
        <w:t>升级现代文化传播体系</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widowControl/>
              <w:ind w:firstLine="0" w:firstLineChars="0"/>
              <w:jc w:val="left"/>
              <w:rPr>
                <w:rFonts w:ascii="楷体" w:hAnsi="楷体" w:eastAsia="楷体" w:cs="宋体"/>
                <w:b/>
                <w:color w:val="000000" w:themeColor="text1"/>
                <w:kern w:val="0"/>
                <w:sz w:val="21"/>
                <w:szCs w:val="21"/>
                <w14:textFill>
                  <w14:solidFill>
                    <w14:schemeClr w14:val="tx1"/>
                  </w14:solidFill>
                </w14:textFill>
              </w:rPr>
            </w:pPr>
            <w:r>
              <w:rPr>
                <w:rFonts w:hint="eastAsia" w:ascii="楷体" w:hAnsi="楷体" w:eastAsia="楷体" w:cs="宋体"/>
                <w:b/>
                <w:color w:val="000000" w:themeColor="text1"/>
                <w:kern w:val="0"/>
                <w:sz w:val="21"/>
                <w:szCs w:val="21"/>
                <w14:textFill>
                  <w14:solidFill>
                    <w14:schemeClr w14:val="tx1"/>
                  </w14:solidFill>
                </w14:textFill>
              </w:rPr>
              <w:t>重点项目：</w:t>
            </w:r>
          </w:p>
          <w:p>
            <w:pPr>
              <w:ind w:firstLine="422"/>
              <w:rPr>
                <w:color w:val="000000" w:themeColor="text1"/>
                <w14:textFill>
                  <w14:solidFill>
                    <w14:schemeClr w14:val="tx1"/>
                  </w14:solidFill>
                </w14:textFill>
              </w:rPr>
            </w:pPr>
            <w:r>
              <w:rPr>
                <w:rFonts w:hint="eastAsia" w:ascii="楷体" w:hAnsi="楷体" w:eastAsia="楷体" w:cs="宋体"/>
                <w:b/>
                <w:color w:val="000000" w:themeColor="text1"/>
                <w:kern w:val="0"/>
                <w:sz w:val="21"/>
                <w:szCs w:val="21"/>
                <w14:textFill>
                  <w14:solidFill>
                    <w14:schemeClr w14:val="tx1"/>
                  </w14:solidFill>
                </w14:textFill>
              </w:rPr>
              <w:t>云阳广电体系建设完善工程。</w:t>
            </w:r>
            <w:r>
              <w:rPr>
                <w:rFonts w:hint="eastAsia" w:ascii="楷体" w:hAnsi="楷体" w:eastAsia="楷体" w:cs="宋体"/>
                <w:color w:val="000000" w:themeColor="text1"/>
                <w:kern w:val="0"/>
                <w:sz w:val="21"/>
                <w:szCs w:val="21"/>
                <w14:textFill>
                  <w14:solidFill>
                    <w14:schemeClr w14:val="tx1"/>
                  </w14:solidFill>
                </w14:textFill>
              </w:rPr>
              <w:t>重点推进 “标改高”工程建设、融媒体指挥平台建设。</w:t>
            </w:r>
          </w:p>
          <w:p>
            <w:pPr>
              <w:widowControl/>
              <w:ind w:firstLine="0" w:firstLineChars="0"/>
              <w:jc w:val="left"/>
              <w:rPr>
                <w:rFonts w:ascii="楷体" w:hAnsi="楷体" w:eastAsia="楷体" w:cs="宋体"/>
                <w:b/>
                <w:bCs/>
                <w:color w:val="000000" w:themeColor="text1"/>
                <w:kern w:val="0"/>
                <w:sz w:val="21"/>
                <w:szCs w:val="21"/>
                <w14:textFill>
                  <w14:solidFill>
                    <w14:schemeClr w14:val="tx1"/>
                  </w14:solidFill>
                </w14:textFill>
              </w:rPr>
            </w:pPr>
            <w:r>
              <w:rPr>
                <w:rFonts w:hint="eastAsia" w:ascii="楷体" w:hAnsi="楷体" w:eastAsia="楷体" w:cs="宋体"/>
                <w:b/>
                <w:bCs/>
                <w:color w:val="000000" w:themeColor="text1"/>
                <w:kern w:val="0"/>
                <w:sz w:val="21"/>
                <w:szCs w:val="21"/>
                <w14:textFill>
                  <w14:solidFill>
                    <w14:schemeClr w14:val="tx1"/>
                  </w14:solidFill>
                </w14:textFill>
              </w:rPr>
              <w:t>重要措施：</w:t>
            </w:r>
          </w:p>
          <w:p>
            <w:pPr>
              <w:widowControl/>
              <w:ind w:firstLine="440"/>
              <w:jc w:val="left"/>
              <w:rPr>
                <w:rFonts w:ascii="Calibri" w:hAnsi="Calibri" w:eastAsia="仿宋"/>
                <w:color w:val="000000" w:themeColor="text1"/>
                <w:szCs w:val="28"/>
                <w14:textFill>
                  <w14:solidFill>
                    <w14:schemeClr w14:val="tx1"/>
                  </w14:solidFill>
                </w14:textFill>
              </w:rPr>
            </w:pPr>
            <w:r>
              <w:rPr>
                <w:rFonts w:hint="eastAsia" w:ascii="楷体" w:hAnsi="楷体" w:eastAsia="楷体" w:cs="宋体"/>
                <w:bCs/>
                <w:sz w:val="22"/>
                <w:szCs w:val="21"/>
              </w:rPr>
              <w:t>建立内容创作生成骨干队伍</w:t>
            </w:r>
            <w:r>
              <w:rPr>
                <w:rFonts w:hint="eastAsia" w:ascii="楷体" w:hAnsi="楷体" w:eastAsia="楷体" w:cs="宋体"/>
                <w:color w:val="000000" w:themeColor="text1"/>
                <w:kern w:val="0"/>
                <w:sz w:val="21"/>
                <w:szCs w:val="21"/>
                <w14:textFill>
                  <w14:solidFill>
                    <w14:schemeClr w14:val="tx1"/>
                  </w14:solidFill>
                </w14:textFill>
              </w:rPr>
              <w:t>。</w:t>
            </w:r>
          </w:p>
        </w:tc>
      </w:tr>
    </w:tbl>
    <w:p>
      <w:pPr>
        <w:pStyle w:val="2"/>
        <w:ind w:firstLine="0" w:firstLineChars="0"/>
      </w:pPr>
      <w:r>
        <w:br w:type="page"/>
      </w:r>
      <w:bookmarkStart w:id="50" w:name="_Toc82624345"/>
      <w:r>
        <w:rPr>
          <w:rFonts w:hint="eastAsia"/>
        </w:rPr>
        <w:t>第三篇 加快国内外知名旅游目的地建设</w:t>
      </w:r>
      <w:bookmarkEnd w:id="50"/>
    </w:p>
    <w:p>
      <w:pPr>
        <w:ind w:firstLine="600"/>
        <w:rPr>
          <w:rFonts w:ascii="方正仿宋_GBK" w:hAnsi="方正仿宋_GBK"/>
          <w:color w:val="000000" w:themeColor="text1"/>
          <w14:textFill>
            <w14:solidFill>
              <w14:schemeClr w14:val="tx1"/>
            </w14:solidFill>
          </w14:textFill>
        </w:rPr>
      </w:pPr>
      <w:r>
        <w:rPr>
          <w:rFonts w:hint="eastAsia"/>
        </w:rPr>
        <w:t>坚持</w:t>
      </w:r>
      <w:r>
        <w:t>文旅融合发展基本思路，以拓展全域旅游体验产品为中心</w:t>
      </w:r>
      <w:r>
        <w:rPr>
          <w:rFonts w:hint="eastAsia"/>
        </w:rPr>
        <w:t>建设</w:t>
      </w:r>
      <w:r>
        <w:t>国内外知名旅游目的地</w:t>
      </w:r>
      <w:r>
        <w:rPr>
          <w:rFonts w:hint="eastAsia"/>
        </w:rPr>
        <w:t>、打造</w:t>
      </w:r>
      <w:r>
        <w:t>长江三峡国际黄金旅游带重要支点，</w:t>
      </w:r>
      <w:r>
        <w:rPr>
          <w:rFonts w:hint="eastAsia"/>
        </w:rPr>
        <w:t>发展</w:t>
      </w:r>
      <w:r>
        <w:t>大旅游产业为</w:t>
      </w:r>
      <w:r>
        <w:rPr>
          <w:rFonts w:hint="eastAsia"/>
        </w:rPr>
        <w:t>云阳</w:t>
      </w:r>
      <w:r>
        <w:t>全面发展的重要支撑</w:t>
      </w:r>
      <w:r>
        <w:rPr>
          <w:rFonts w:hint="eastAsia"/>
        </w:rPr>
        <w:t>，</w:t>
      </w:r>
      <w:r>
        <w:t>助推</w:t>
      </w:r>
      <w:r>
        <w:rPr>
          <w:rFonts w:hint="eastAsia"/>
        </w:rPr>
        <w:t>实现</w:t>
      </w:r>
      <w:r>
        <w:t>云阳“</w:t>
      </w:r>
      <w:r>
        <w:rPr>
          <w:rFonts w:hint="eastAsia"/>
        </w:rPr>
        <w:t>五地一支撑</w:t>
      </w:r>
      <w:r>
        <w:t>”</w:t>
      </w:r>
      <w:r>
        <w:rPr>
          <w:rFonts w:hint="eastAsia"/>
        </w:rPr>
        <w:t>发展</w:t>
      </w:r>
      <w:r>
        <w:t>目标</w:t>
      </w:r>
      <w:r>
        <w:rPr>
          <w:rFonts w:ascii="方正仿宋_GBK" w:hAnsi="方正仿宋_GBK"/>
          <w:color w:val="000000" w:themeColor="text1"/>
          <w14:textFill>
            <w14:solidFill>
              <w14:schemeClr w14:val="tx1"/>
            </w14:solidFill>
          </w14:textFill>
        </w:rPr>
        <w:t>。</w:t>
      </w:r>
    </w:p>
    <w:p>
      <w:pPr>
        <w:pStyle w:val="3"/>
        <w:ind w:firstLine="720"/>
      </w:pPr>
      <w:bookmarkStart w:id="51" w:name="_Toc82624346"/>
      <w:r>
        <w:rPr>
          <w:rFonts w:hint="eastAsia"/>
        </w:rPr>
        <w:t>第八章 拓展全域旅游体验产品</w:t>
      </w:r>
      <w:bookmarkEnd w:id="51"/>
    </w:p>
    <w:p>
      <w:pPr>
        <w:ind w:firstLine="600"/>
      </w:pPr>
      <w:r>
        <w:rPr>
          <w:rFonts w:hint="eastAsia"/>
        </w:rPr>
        <w:t>推动文旅</w:t>
      </w:r>
      <w:r>
        <w:t>深度融合发展，</w:t>
      </w:r>
      <w:r>
        <w:rPr>
          <w:rFonts w:hint="eastAsia"/>
        </w:rPr>
        <w:t>植入地方文化拓展“三峡</w:t>
      </w:r>
      <w:r>
        <w:t>人文旅游</w:t>
      </w:r>
      <w:r>
        <w:rPr>
          <w:rFonts w:hint="eastAsia"/>
        </w:rPr>
        <w:t>之城</w:t>
      </w:r>
      <w:r>
        <w:t>、世界恐龙之都、地质旅居目的地、</w:t>
      </w:r>
      <w:r>
        <w:rPr>
          <w:rFonts w:hint="eastAsia"/>
        </w:rPr>
        <w:t>生态</w:t>
      </w:r>
      <w:r>
        <w:t>康体目的地、</w:t>
      </w:r>
      <w:r>
        <w:rPr>
          <w:rFonts w:hint="eastAsia"/>
        </w:rPr>
        <w:t>农创</w:t>
      </w:r>
      <w:r>
        <w:t>体验目的地</w:t>
      </w:r>
      <w:r>
        <w:rPr>
          <w:rFonts w:hint="eastAsia"/>
        </w:rPr>
        <w:t>”，构建</w:t>
      </w:r>
      <w:r>
        <w:t>全域吸引物体系。</w:t>
      </w:r>
    </w:p>
    <w:p>
      <w:pPr>
        <w:pStyle w:val="4"/>
        <w:ind w:firstLine="640"/>
      </w:pPr>
      <w:bookmarkStart w:id="52" w:name="_Toc82624347"/>
      <w:r>
        <w:rPr>
          <w:rFonts w:hint="eastAsia"/>
        </w:rPr>
        <w:t>第一节 打造三峡人文旅游之城</w:t>
      </w:r>
      <w:bookmarkEnd w:id="52"/>
    </w:p>
    <w:p>
      <w:pPr>
        <w:ind w:firstLine="600"/>
      </w:pPr>
      <w:r>
        <w:rPr>
          <w:rFonts w:hint="eastAsia"/>
        </w:rPr>
        <w:t>整合“双100”城市核心区、辐射区重要景点，建设三峡人文旅游之城，城景融合助推城镇化</w:t>
      </w:r>
      <w:r>
        <w:rPr>
          <w:rFonts w:ascii="Calibri" w:hAnsi="Calibri"/>
        </w:rPr>
        <w:t>。</w:t>
      </w:r>
    </w:p>
    <w:p>
      <w:pPr>
        <w:ind w:firstLine="602"/>
        <w:rPr>
          <w:rFonts w:ascii="仿宋" w:eastAsia="仿宋" w:cs="Times New Roman"/>
        </w:rPr>
      </w:pPr>
      <w:r>
        <w:rPr>
          <w:rFonts w:ascii="仿宋" w:eastAsia="仿宋" w:cs="Times New Roman"/>
          <w:b/>
        </w:rPr>
        <w:t>——</w:t>
      </w:r>
      <w:r>
        <w:rPr>
          <w:rFonts w:hint="eastAsia" w:ascii="仿宋" w:eastAsia="仿宋" w:cs="Times New Roman"/>
          <w:b/>
        </w:rPr>
        <w:t>升级张飞庙景区。</w:t>
      </w:r>
      <w:r>
        <w:rPr>
          <w:rFonts w:hint="eastAsia" w:ascii="仿宋" w:eastAsia="仿宋" w:cs="Times New Roman"/>
        </w:rPr>
        <w:t>以</w:t>
      </w:r>
      <w:r>
        <w:rPr>
          <w:rFonts w:ascii="仿宋" w:eastAsia="仿宋" w:cs="Times New Roman"/>
        </w:rPr>
        <w:t>创建国家</w:t>
      </w:r>
      <w:r>
        <w:rPr>
          <w:rFonts w:hint="eastAsia"/>
        </w:rPr>
        <w:t>5A</w:t>
      </w:r>
      <w:r>
        <w:rPr>
          <w:rFonts w:ascii="仿宋" w:eastAsia="仿宋" w:cs="Times New Roman"/>
        </w:rPr>
        <w:t>级</w:t>
      </w:r>
      <w:r>
        <w:rPr>
          <w:rFonts w:hint="eastAsia" w:ascii="仿宋" w:eastAsia="仿宋" w:cs="Times New Roman"/>
        </w:rPr>
        <w:t>旅游景区</w:t>
      </w:r>
      <w:r>
        <w:rPr>
          <w:rFonts w:ascii="仿宋" w:eastAsia="仿宋" w:cs="Times New Roman"/>
        </w:rPr>
        <w:t>为抓手，</w:t>
      </w:r>
      <w:r>
        <w:rPr>
          <w:rFonts w:hint="eastAsia" w:ascii="仿宋" w:eastAsia="仿宋" w:cs="Times New Roman"/>
        </w:rPr>
        <w:t>推动</w:t>
      </w:r>
      <w:r>
        <w:rPr>
          <w:rFonts w:ascii="仿宋" w:eastAsia="仿宋" w:cs="Times New Roman"/>
        </w:rPr>
        <w:t>景区扩容升级，提升</w:t>
      </w:r>
      <w:r>
        <w:rPr>
          <w:rFonts w:hint="eastAsia" w:ascii="仿宋" w:eastAsia="仿宋" w:cs="Times New Roman"/>
        </w:rPr>
        <w:t>水上交通</w:t>
      </w:r>
      <w:r>
        <w:rPr>
          <w:rFonts w:ascii="仿宋" w:eastAsia="仿宋" w:cs="Times New Roman"/>
        </w:rPr>
        <w:t>接揽三峡游客</w:t>
      </w:r>
      <w:r>
        <w:rPr>
          <w:rFonts w:hint="eastAsia" w:ascii="仿宋" w:eastAsia="仿宋" w:cs="Times New Roman"/>
        </w:rPr>
        <w:t>，整体</w:t>
      </w:r>
      <w:r>
        <w:rPr>
          <w:rFonts w:ascii="仿宋" w:eastAsia="仿宋" w:cs="Times New Roman"/>
        </w:rPr>
        <w:t>向文创</w:t>
      </w:r>
      <w:r>
        <w:rPr>
          <w:rFonts w:hint="eastAsia" w:ascii="仿宋" w:eastAsia="仿宋" w:cs="Times New Roman"/>
        </w:rPr>
        <w:t>体验</w:t>
      </w:r>
      <w:r>
        <w:rPr>
          <w:rFonts w:ascii="仿宋" w:eastAsia="仿宋" w:cs="Times New Roman"/>
        </w:rPr>
        <w:t>转型发展。</w:t>
      </w:r>
      <w:r>
        <w:rPr>
          <w:rFonts w:hint="eastAsia" w:ascii="仿宋" w:eastAsia="仿宋" w:cs="Times New Roman"/>
        </w:rPr>
        <w:t>以三国文化为主题创意文旅体验项目、策划设计文创商品，提升“佑见张飞”大型主题灯光秀，加大宣传引流，用好“张飞庙会”文旅营销活动，打造刻画第一张飞形象旅游景区。</w:t>
      </w:r>
    </w:p>
    <w:p>
      <w:pPr>
        <w:ind w:firstLine="602"/>
        <w:rPr>
          <w:rFonts w:ascii="仿宋" w:eastAsia="仿宋"/>
        </w:rPr>
      </w:pPr>
      <w:r>
        <w:rPr>
          <w:rFonts w:ascii="仿宋" w:eastAsia="仿宋" w:cs="Times New Roman"/>
          <w:b/>
        </w:rPr>
        <w:t>——</w:t>
      </w:r>
      <w:r>
        <w:rPr>
          <w:rFonts w:hint="eastAsia" w:ascii="仿宋" w:eastAsia="仿宋" w:cs="Times New Roman"/>
          <w:b/>
        </w:rPr>
        <w:t>升级</w:t>
      </w:r>
      <w:r>
        <w:rPr>
          <w:rFonts w:hint="eastAsia"/>
          <w:b/>
        </w:rPr>
        <w:t>环湖绿道。</w:t>
      </w:r>
      <w:r>
        <w:rPr>
          <w:rFonts w:hint="eastAsia" w:ascii="仿宋" w:eastAsia="仿宋"/>
        </w:rPr>
        <w:t>依托龙脊岭公园打造云阳城市生态绿心，沿澎溪河和长江沿岸整合滨江公园和月光草坪启动视觉系统</w:t>
      </w:r>
      <w:r>
        <w:rPr>
          <w:rFonts w:ascii="仿宋" w:eastAsia="仿宋"/>
        </w:rPr>
        <w:t>工程</w:t>
      </w:r>
      <w:r>
        <w:rPr>
          <w:rFonts w:hint="eastAsia" w:ascii="仿宋" w:eastAsia="仿宋"/>
        </w:rPr>
        <w:t>，</w:t>
      </w:r>
      <w:r>
        <w:rPr>
          <w:rFonts w:ascii="仿宋" w:eastAsia="仿宋"/>
        </w:rPr>
        <w:t>完</w:t>
      </w:r>
      <w:r>
        <w:rPr>
          <w:rFonts w:hint="eastAsia" w:ascii="仿宋" w:eastAsia="仿宋"/>
        </w:rPr>
        <w:t>善</w:t>
      </w:r>
      <w:r>
        <w:rPr>
          <w:rFonts w:hint="eastAsia"/>
        </w:rPr>
        <w:t>33</w:t>
      </w:r>
      <w:r>
        <w:rPr>
          <w:rFonts w:hint="eastAsia" w:ascii="仿宋" w:eastAsia="仿宋"/>
        </w:rPr>
        <w:t>公里环湖绿道观赏、简餐、休憩、运动休闲等功能要素，打造城市滨江水岸旅游区。</w:t>
      </w:r>
    </w:p>
    <w:p>
      <w:pPr>
        <w:ind w:firstLine="602"/>
        <w:rPr>
          <w:rFonts w:ascii="仿宋" w:eastAsia="仿宋" w:cs="Times New Roman"/>
        </w:rPr>
      </w:pPr>
      <w:r>
        <w:rPr>
          <w:rFonts w:ascii="仿宋" w:eastAsia="仿宋"/>
          <w:b/>
        </w:rPr>
        <w:t>——</w:t>
      </w:r>
      <w:r>
        <w:rPr>
          <w:rFonts w:hint="eastAsia" w:ascii="仿宋" w:eastAsia="仿宋"/>
          <w:b/>
        </w:rPr>
        <w:t>强化三峡梯城人文价值。</w:t>
      </w:r>
      <w:r>
        <w:rPr>
          <w:rFonts w:hint="eastAsia" w:ascii="仿宋" w:eastAsia="仿宋"/>
        </w:rPr>
        <w:t>以磐石城核心区联合申报世界文化遗产工作为抓手，围绕龙脊岭文化长廊启动县城与磐石城、三峡文物园、登云梯通廊文化植入工程。</w:t>
      </w:r>
      <w:r>
        <w:rPr>
          <w:rFonts w:hint="eastAsia" w:ascii="仿宋" w:eastAsia="仿宋" w:cs="Times New Roman"/>
        </w:rPr>
        <w:t>升级策划“梯城十景”，提升梯城人文价值，策划文化体验项目，提升</w:t>
      </w:r>
      <w:r>
        <w:rPr>
          <w:rFonts w:ascii="仿宋" w:eastAsia="仿宋" w:cs="Times New Roman"/>
        </w:rPr>
        <w:t>城市</w:t>
      </w:r>
      <w:r>
        <w:rPr>
          <w:rFonts w:hint="eastAsia" w:ascii="仿宋" w:eastAsia="仿宋" w:cs="Times New Roman"/>
        </w:rPr>
        <w:t>人文</w:t>
      </w:r>
      <w:r>
        <w:rPr>
          <w:rFonts w:ascii="仿宋" w:eastAsia="仿宋" w:cs="Times New Roman"/>
        </w:rPr>
        <w:t>气质</w:t>
      </w:r>
      <w:r>
        <w:rPr>
          <w:rFonts w:hint="eastAsia" w:ascii="仿宋" w:eastAsia="仿宋" w:cs="Times New Roman"/>
        </w:rPr>
        <w:t>。</w:t>
      </w:r>
    </w:p>
    <w:p>
      <w:pPr>
        <w:ind w:firstLine="602"/>
      </w:pPr>
      <w:r>
        <w:rPr>
          <w:rFonts w:hint="eastAsia"/>
          <w:b/>
        </w:rPr>
        <w:t>——建设彭氏宗祠景区。</w:t>
      </w:r>
      <w:r>
        <w:rPr>
          <w:rFonts w:hint="eastAsia"/>
        </w:rPr>
        <w:t>在复原性保护的前提下，按照国家5A级旅游景区标准，强化彭氏宗祠旅游基础设施建设，提升旅游配套服务，引导入驻青年创客、美术工作室等文化业态，</w:t>
      </w:r>
      <w:r>
        <w:t>打造</w:t>
      </w:r>
      <w:r>
        <w:rPr>
          <w:rFonts w:hint="eastAsia"/>
        </w:rPr>
        <w:t>云阳南部</w:t>
      </w:r>
      <w:r>
        <w:t>民俗</w:t>
      </w:r>
      <w:r>
        <w:rPr>
          <w:rFonts w:hint="eastAsia"/>
        </w:rPr>
        <w:t>文创聚集区</w:t>
      </w:r>
      <w:r>
        <w:t>。</w:t>
      </w:r>
    </w:p>
    <w:p>
      <w:pPr>
        <w:ind w:firstLine="602"/>
      </w:pPr>
      <w:r>
        <w:rPr>
          <w:rFonts w:hint="eastAsia"/>
          <w:b/>
        </w:rPr>
        <w:t>——加快建设水口数智森林小镇。</w:t>
      </w:r>
      <w:r>
        <w:rPr>
          <w:rFonts w:ascii="Arial" w:hAnsi="Arial" w:cs="Arial"/>
          <w:shd w:val="clear" w:color="auto" w:fill="FFFFFF"/>
        </w:rPr>
        <w:t>按照“生态生产生活、科普科学科技、智慧智能智造、宜居宜游宜业”的思路建设</w:t>
      </w:r>
      <w:r>
        <w:rPr>
          <w:rFonts w:hint="eastAsia" w:ascii="Arial" w:hAnsi="Arial" w:cs="Arial"/>
          <w:shd w:val="clear" w:color="auto" w:fill="FFFFFF"/>
        </w:rPr>
        <w:t>推动</w:t>
      </w:r>
      <w:r>
        <w:rPr>
          <w:rFonts w:hint="eastAsia"/>
        </w:rPr>
        <w:t>数智森林小镇基础设施建设，重点完成大数据产业园、配套商业、会展中心等前期项目落地，推动城区-水口景观云轨通廊建设，加快高新大数据产业等新业态引进。</w:t>
      </w:r>
    </w:p>
    <w:p>
      <w:pPr>
        <w:ind w:firstLine="602"/>
      </w:pPr>
      <w:r>
        <w:rPr>
          <w:rFonts w:hint="eastAsia"/>
          <w:b/>
        </w:rPr>
        <w:t>——加快建设黄石三峡旅游集散中心。</w:t>
      </w:r>
      <w:r>
        <w:rPr>
          <w:rFonts w:hint="eastAsia"/>
        </w:rPr>
        <w:t>以黄石高铁站为引擎，推动云阳旅游集散中心及博物馆项目建设，融入远古地质文化，</w:t>
      </w:r>
      <w:r>
        <w:rPr>
          <w:rFonts w:hint="eastAsia"/>
          <w:szCs w:val="32"/>
        </w:rPr>
        <w:t>加快市政基础设施和公共服务设施建设</w:t>
      </w:r>
      <w:r>
        <w:rPr>
          <w:szCs w:val="32"/>
        </w:rPr>
        <w:t>，</w:t>
      </w:r>
      <w:r>
        <w:rPr>
          <w:rFonts w:hint="eastAsia"/>
        </w:rPr>
        <w:t>把黄石高铁新城建设成为渝东北城市群公园城市典范、云阳高质量发展引领区、</w:t>
      </w:r>
      <w:r>
        <w:rPr>
          <w:rFonts w:hint="eastAsia"/>
          <w:szCs w:val="32"/>
        </w:rPr>
        <w:t>三峡</w:t>
      </w:r>
      <w:r>
        <w:rPr>
          <w:szCs w:val="32"/>
        </w:rPr>
        <w:t>全域</w:t>
      </w:r>
      <w:r>
        <w:rPr>
          <w:rFonts w:hint="eastAsia"/>
          <w:szCs w:val="32"/>
        </w:rPr>
        <w:t>旅游集散功能中心和云阳文旅形象展示窗口。</w:t>
      </w:r>
    </w:p>
    <w:p>
      <w:pPr>
        <w:ind w:firstLine="602"/>
      </w:pPr>
      <w:r>
        <w:rPr>
          <w:rFonts w:hint="eastAsia"/>
          <w:b/>
        </w:rPr>
        <w:t>——加快建设巴阳峡花园休闲旅游中心。</w:t>
      </w:r>
      <w:r>
        <w:rPr>
          <w:rFonts w:hint="eastAsia"/>
          <w:szCs w:val="32"/>
        </w:rPr>
        <w:t>把握万开云同城化机遇</w:t>
      </w:r>
      <w:r>
        <w:rPr>
          <w:rFonts w:hint="eastAsia"/>
        </w:rPr>
        <w:t>，发挥巴阳与万州临边的区位优势，壮大枇杷等优势农业产业，融入巴阳峡历史人文积淀，结合乡村艺术打造枇杷人家、峡谷枇杷街等乡村文化旅游形式，建成巴阳峡花园休闲旅游中心。</w:t>
      </w:r>
    </w:p>
    <w:p>
      <w:pPr>
        <w:pStyle w:val="4"/>
        <w:ind w:firstLine="640"/>
      </w:pPr>
      <w:bookmarkStart w:id="53" w:name="_Toc82624348"/>
      <w:r>
        <w:rPr>
          <w:rFonts w:hint="eastAsia"/>
        </w:rPr>
        <w:t>第二节 打造世界恐龙之都</w:t>
      </w:r>
      <w:bookmarkEnd w:id="53"/>
    </w:p>
    <w:p>
      <w:pPr>
        <w:ind w:firstLine="600"/>
      </w:pPr>
      <w:r>
        <w:rPr>
          <w:rFonts w:hint="eastAsia"/>
        </w:rPr>
        <w:t>利用恐龙化石群，以云阳龙文化植入恐龙IP为主要策略，转化化石群地质科学价值为文旅体验价值，在顶层设计阶段推动恐龙主题公园以地质游学和主题游乐为核心，与龙普新区、乡村产业协同建设，打造世界恐龙之都，构建县域南部文旅新引擎。</w:t>
      </w:r>
    </w:p>
    <w:p>
      <w:pPr>
        <w:ind w:firstLine="602"/>
      </w:pPr>
      <w:r>
        <w:rPr>
          <w:rFonts w:hint="eastAsia"/>
          <w:b/>
          <w:bCs/>
        </w:rPr>
        <w:t>——</w:t>
      </w:r>
      <w:r>
        <w:rPr>
          <w:rFonts w:hint="eastAsia"/>
          <w:b/>
        </w:rPr>
        <w:t>加快</w:t>
      </w:r>
      <w:r>
        <w:rPr>
          <w:b/>
        </w:rPr>
        <w:t>建设普安</w:t>
      </w:r>
      <w:r>
        <w:rPr>
          <w:rFonts w:hint="eastAsia"/>
          <w:b/>
        </w:rPr>
        <w:t>侏罗纪世界（中国）恐龙</w:t>
      </w:r>
      <w:r>
        <w:rPr>
          <w:b/>
        </w:rPr>
        <w:t>公园</w:t>
      </w:r>
      <w:r>
        <w:rPr>
          <w:rFonts w:hint="eastAsia"/>
          <w:b/>
        </w:rPr>
        <w:t>。</w:t>
      </w:r>
      <w:r>
        <w:rPr>
          <w:rFonts w:hint="eastAsia"/>
        </w:rPr>
        <w:t>围绕世界恐龙之都定位，保护性开发普安侏罗纪恐龙化石群资源，不断拓展产业业态，丰富产品结构，融合现代科技，打造世界级旅游目的地。按照恐龙公园奇幻侏罗纪 5A 景区、主题度假酒店区、生态涵养区“三区”结构，引进美国好莱坞侏罗纪恐龙IP，开发地质科普类、主题探险类、文化创意类、文化娱乐类产品，打造“一个中心”-国际恐龙化石研学中心，“四大主题公园”-侏罗纪奇幻乐园、恐龙溪漂浮乐园、侏罗纪恐龙山探险公园、恐龙化石遗迹公园，“三大核心建筑”-侏罗纪游客中心、恐龙博物馆、恐龙化石遗迹馆，“三大主题演艺”-4D裸眼奇幻水幕秀、恐龙博物馆音乐建筑光影秀、云阳先生养龙记室内漂流剧场，“三大视觉景观”-恐龙源、恐龙之眼、恐龙长城，形成全天、全季、全年龄“三全产品”，构建“143333”核心产品体系。</w:t>
      </w:r>
    </w:p>
    <w:p>
      <w:pPr>
        <w:ind w:firstLine="602"/>
      </w:pPr>
      <w:r>
        <w:rPr>
          <w:rFonts w:hint="eastAsia"/>
          <w:b/>
          <w:bCs/>
        </w:rPr>
        <w:t>——</w:t>
      </w:r>
      <w:r>
        <w:rPr>
          <w:rFonts w:hint="eastAsia"/>
          <w:b/>
        </w:rPr>
        <w:t>加快</w:t>
      </w:r>
      <w:r>
        <w:rPr>
          <w:b/>
        </w:rPr>
        <w:t>建设龙乡橘海</w:t>
      </w:r>
      <w:r>
        <w:rPr>
          <w:rFonts w:hint="eastAsia"/>
          <w:b/>
        </w:rPr>
        <w:t>农业产业园。</w:t>
      </w:r>
      <w:r>
        <w:rPr>
          <w:rFonts w:hint="eastAsia"/>
        </w:rPr>
        <w:t>依托龙-普新区大规模高品质的柑橘产业基础，从提升农产品品牌和娱乐体验等角度融合建设普安“龙乡橘海”农业产业园。</w:t>
      </w:r>
      <w:r>
        <w:rPr>
          <w:rFonts w:hint="eastAsia"/>
          <w:bCs/>
        </w:rPr>
        <w:t>建设磨刀溪水岸民宿体验带</w:t>
      </w:r>
      <w:r>
        <w:rPr>
          <w:rFonts w:hint="eastAsia"/>
        </w:rPr>
        <w:t>。整合龙普公路及磨刀溪水域，建成旅游风景道，以此轴线串联龙普新区，形成联动发展格局。</w:t>
      </w:r>
    </w:p>
    <w:p>
      <w:pPr>
        <w:ind w:firstLine="602"/>
        <w:rPr>
          <w:rFonts w:ascii="Calibri" w:hAnsi="Calibri" w:eastAsia="宋体"/>
          <w:szCs w:val="21"/>
        </w:rPr>
      </w:pPr>
      <w:r>
        <w:rPr>
          <w:rFonts w:hint="eastAsia"/>
          <w:b/>
          <w:bCs/>
        </w:rPr>
        <w:t>——</w:t>
      </w:r>
      <w:r>
        <w:rPr>
          <w:rFonts w:hint="eastAsia"/>
          <w:b/>
        </w:rPr>
        <w:t>加快</w:t>
      </w:r>
      <w:r>
        <w:rPr>
          <w:b/>
        </w:rPr>
        <w:t>建设</w:t>
      </w:r>
      <w:r>
        <w:rPr>
          <w:rFonts w:hint="eastAsia"/>
          <w:b/>
        </w:rPr>
        <w:t>龙角</w:t>
      </w:r>
      <w:r>
        <w:rPr>
          <w:b/>
        </w:rPr>
        <w:t>旅游集散中心</w:t>
      </w:r>
      <w:r>
        <w:rPr>
          <w:rFonts w:hint="eastAsia"/>
          <w:b/>
        </w:rPr>
        <w:t>。</w:t>
      </w:r>
      <w:r>
        <w:rPr>
          <w:rFonts w:hint="eastAsia"/>
          <w:bCs/>
        </w:rPr>
        <w:t>以旅游城镇化推动龙普新区建成云阳南部旅游产业中心</w:t>
      </w:r>
      <w:r>
        <w:rPr>
          <w:rFonts w:hint="eastAsia"/>
        </w:rPr>
        <w:t>。利用江龙高速龙角下道和地处干线的交通区位建好龙角旅游集散中心。融入恐龙主题改造普安场镇为恐龙主题文旅小镇，配建龙普新区住宿和餐饮接待功能，打造旅游食宿中心。</w:t>
      </w:r>
    </w:p>
    <w:p>
      <w:pPr>
        <w:pStyle w:val="4"/>
        <w:ind w:firstLine="640"/>
      </w:pPr>
      <w:bookmarkStart w:id="54" w:name="_Toc82624349"/>
      <w:r>
        <w:rPr>
          <w:rFonts w:hint="eastAsia"/>
        </w:rPr>
        <w:t xml:space="preserve">第三节 </w:t>
      </w:r>
      <w:r>
        <w:t>打造地质旅居目的地</w:t>
      </w:r>
      <w:bookmarkEnd w:id="54"/>
    </w:p>
    <w:p>
      <w:pPr>
        <w:ind w:firstLine="600"/>
        <w:rPr>
          <w:rFonts w:hAnsi="方正仿宋_GBK"/>
        </w:rPr>
      </w:pPr>
      <w:r>
        <w:rPr>
          <w:rFonts w:hint="eastAsia" w:hAnsi="方正仿宋_GBK"/>
        </w:rPr>
        <w:t>植入地质康体文化，深化推广</w:t>
      </w:r>
      <w:r>
        <w:rPr>
          <w:rFonts w:hAnsi="方正仿宋_GBK"/>
        </w:rPr>
        <w:t>“</w:t>
      </w:r>
      <w:r>
        <w:rPr>
          <w:rFonts w:hint="eastAsia" w:hAnsi="方正仿宋_GBK"/>
        </w:rPr>
        <w:t>景区</w:t>
      </w:r>
      <w:r>
        <w:rPr>
          <w:rFonts w:hAnsi="方正仿宋_GBK"/>
        </w:rPr>
        <w:t>+度假”模式</w:t>
      </w:r>
      <w:r>
        <w:rPr>
          <w:rFonts w:hint="eastAsia" w:hAnsi="方正仿宋_GBK"/>
        </w:rPr>
        <w:t>，</w:t>
      </w:r>
      <w:r>
        <w:t>升级龙缸景区、</w:t>
      </w:r>
      <w:r>
        <w:rPr>
          <w:rFonts w:hint="eastAsia"/>
        </w:rPr>
        <w:t>歧山草原等景区，</w:t>
      </w:r>
      <w:r>
        <w:t>打造清水旅游度假区，共同构建地质旅居目的地。</w:t>
      </w:r>
    </w:p>
    <w:p>
      <w:pPr>
        <w:ind w:firstLine="602"/>
      </w:pPr>
      <w:r>
        <w:rPr>
          <w:rFonts w:hint="eastAsia"/>
          <w:b/>
        </w:rPr>
        <w:t>——创建清水国家级旅游度假区</w:t>
      </w:r>
      <w:r>
        <w:rPr>
          <w:rFonts w:hint="eastAsia"/>
        </w:rPr>
        <w:t>。充分发挥龙缸品牌效应，以创建国家级旅游度假区为目标，用好“云海、高山、湖泊、草场、茶山、森林”资源优势，合理规划“一心三区两廊”空间结构，加快开发森林休闲、生态康养、体育运动、主题度假、文化体验等产品业态，打造重庆生态旅游新标杆、川渝鄂避暑度假目的地、全国森林康养旅游示范区、全国研学旅游基地。</w:t>
      </w:r>
    </w:p>
    <w:p>
      <w:pPr>
        <w:ind w:firstLine="602"/>
      </w:pPr>
      <w:r>
        <w:rPr>
          <w:rFonts w:hint="eastAsia"/>
          <w:b/>
        </w:rPr>
        <w:t>——升级龙缸景区。</w:t>
      </w:r>
      <w:r>
        <w:rPr>
          <w:rFonts w:hint="eastAsia"/>
        </w:rPr>
        <w:t>继续提升地质观光旅游品质，发挥观光客流和市场知名度优势，以山地极限游乐为方向推动龙缸景区体验升级。拓展以“山地康体，极限运动”为主题的极限赛事体验产品。持续开发“云端飞悦”品牌系列，举办云端英雄会、龙跃云端等极限运动赛事，丰富山地极限游乐产品。发展清水湖滨水游乐项目，打造生态垂钓、水上游乐等体验性产品，建好清水湖美丽家园，丰富游客体验。</w:t>
      </w:r>
    </w:p>
    <w:p>
      <w:pPr>
        <w:ind w:firstLine="602"/>
      </w:pPr>
      <w:r>
        <w:rPr>
          <w:rFonts w:hint="eastAsia"/>
          <w:b/>
        </w:rPr>
        <w:t>——升级岐山草原景区。</w:t>
      </w:r>
      <w:r>
        <w:rPr>
          <w:rFonts w:hint="eastAsia"/>
        </w:rPr>
        <w:t>持续壮大4A级旅游景区品牌影响力，不断丰富完善高山度假业态，提升和打造亲近自然、枕凉而居的高端旅居度假产品，配套运动休闲、特色餐饮商业等业态，整体打造高端品质度假胜地。</w:t>
      </w:r>
      <w:r>
        <w:rPr>
          <w:rFonts w:hint="eastAsia"/>
          <w:b/>
        </w:rPr>
        <w:t xml:space="preserve"> </w:t>
      </w:r>
      <w:r>
        <w:rPr>
          <w:rFonts w:hint="eastAsia"/>
        </w:rPr>
        <w:t>依托省道发展清水-蔈草镇乡村休闲旅游带，扩大龙缸景区对周边乡镇的辐射力。</w:t>
      </w:r>
    </w:p>
    <w:p>
      <w:pPr>
        <w:pStyle w:val="4"/>
        <w:ind w:firstLine="640"/>
      </w:pPr>
      <w:bookmarkStart w:id="55" w:name="_Toc82624350"/>
      <w:r>
        <w:rPr>
          <w:rFonts w:hint="eastAsia"/>
        </w:rPr>
        <w:t>第四节 打造生态</w:t>
      </w:r>
      <w:r>
        <w:t>康体</w:t>
      </w:r>
      <w:r>
        <w:rPr>
          <w:rFonts w:hint="eastAsia"/>
        </w:rPr>
        <w:t>目的地</w:t>
      </w:r>
      <w:bookmarkEnd w:id="55"/>
    </w:p>
    <w:p>
      <w:pPr>
        <w:ind w:firstLine="600"/>
      </w:pPr>
      <w:r>
        <w:rPr>
          <w:rFonts w:hint="eastAsia"/>
        </w:rPr>
        <w:t>利用江南旅游品牌，导入全域客流，以上坝-农坝、高阳湖周边两大片区为载体，依托三峡平湖、巴山生态旅游资源，推动发展生态康体旅游。</w:t>
      </w:r>
    </w:p>
    <w:p>
      <w:pPr>
        <w:ind w:firstLine="602"/>
      </w:pPr>
      <w:r>
        <w:rPr>
          <w:rFonts w:hint="eastAsia"/>
          <w:b/>
        </w:rPr>
        <w:t>——升级上坝生态旅游区。</w:t>
      </w:r>
      <w:r>
        <w:rPr>
          <w:rFonts w:hint="eastAsia"/>
        </w:rPr>
        <w:t>推动上坝度假小镇建设。按照国家AAAA级景区标准完善上坝场镇旅游接待服务设施，形成集餐饮住宿、服务接待、养生度假等为一体的上坝生态康养小镇。升级轿顶山、天鹅湖和锣鼓宕三大康养组团为“乐活”主题慢生活体验区、自驾车营地及运动基地和高山湖泊休闲度假片。</w:t>
      </w:r>
    </w:p>
    <w:p>
      <w:pPr>
        <w:ind w:firstLine="602"/>
      </w:pPr>
      <w:r>
        <w:rPr>
          <w:rFonts w:hint="eastAsia"/>
          <w:b/>
        </w:rPr>
        <w:t>——建设云峰山避暑旅游度假区</w:t>
      </w:r>
      <w:r>
        <w:rPr>
          <w:rFonts w:hint="eastAsia"/>
        </w:rPr>
        <w:t>。依托农坝镇高山避暑生态资源和天麻等中药材资源，打造云峰山为集高山揽景、生态康养、避暑纳凉、田园休闲于一体的高山康养度假地。</w:t>
      </w:r>
    </w:p>
    <w:p>
      <w:pPr>
        <w:ind w:firstLine="602"/>
      </w:pPr>
      <w:r>
        <w:rPr>
          <w:rFonts w:hint="eastAsia"/>
          <w:b/>
        </w:rPr>
        <w:t>——建设农坝生态康养小镇。</w:t>
      </w:r>
      <w:r>
        <w:rPr>
          <w:rFonts w:hint="eastAsia"/>
        </w:rPr>
        <w:t>以云峰山为核心，横纵两条交通为轴线，结合接待中心、爱情花谷、生态康养、高山露营和天麻研学五大片区，联动双人寨、仙女寨、云山石笋等景点构成农坝“两轴五片一核心”整体格局，推进农坝建成渝东北生态康养第一镇。</w:t>
      </w:r>
    </w:p>
    <w:p>
      <w:pPr>
        <w:ind w:firstLine="602"/>
      </w:pPr>
      <w:r>
        <w:rPr>
          <w:rFonts w:hint="eastAsia"/>
          <w:b/>
        </w:rPr>
        <w:t>——升级高阳湖国家湿地公园。</w:t>
      </w:r>
      <w:r>
        <w:rPr>
          <w:rFonts w:hint="eastAsia"/>
        </w:rPr>
        <w:t>按照国家湿地生态公园申报创建要求进行基础设施打造和湿地景观修复。</w:t>
      </w:r>
      <w:r>
        <w:rPr>
          <w:rFonts w:hint="eastAsia" w:ascii="微软雅黑" w:hAnsi="微软雅黑"/>
          <w:shd w:val="clear" w:color="auto" w:fill="FFFFFF"/>
        </w:rPr>
        <w:t>按照</w:t>
      </w:r>
      <w:r>
        <w:rPr>
          <w:rFonts w:ascii="微软雅黑" w:hAnsi="微软雅黑"/>
          <w:shd w:val="clear" w:color="auto" w:fill="FFFFFF"/>
        </w:rPr>
        <w:t>春夏赏滩涂，秋冬赏平湖</w:t>
      </w:r>
      <w:r>
        <w:rPr>
          <w:rFonts w:hint="eastAsia"/>
        </w:rPr>
        <w:t>开发思路，引导夏季开展滩涂露营节、夏季音乐节等营销活动聚集人气；冬季引入游船观鸟、骑行慢跑、湿地科普等项目补齐体验。</w:t>
      </w:r>
    </w:p>
    <w:p>
      <w:pPr>
        <w:ind w:firstLine="602"/>
        <w:rPr>
          <w:rFonts w:hAnsi="方正仿宋_GBK"/>
          <w:b/>
        </w:rPr>
      </w:pPr>
      <w:r>
        <w:rPr>
          <w:rFonts w:hint="eastAsia"/>
          <w:b/>
        </w:rPr>
        <w:t>——推动建设高阳湖滨水旅游度假区。</w:t>
      </w:r>
      <w:r>
        <w:rPr>
          <w:rFonts w:hint="eastAsia" w:ascii="微软雅黑" w:hAnsi="微软雅黑"/>
          <w:shd w:val="clear" w:color="auto" w:fill="FFFFFF"/>
        </w:rPr>
        <w:t>以高阳湖为核心，强化湖区与周边地区联动发展，依托柑橘等乡村产业资源，推动高阳、双龙等乡镇旅游基础设施建设，联创“高峡平湖”康养品牌，奠定渝东北滨湖康养第一品牌基础。</w:t>
      </w:r>
    </w:p>
    <w:p>
      <w:pPr>
        <w:pStyle w:val="4"/>
        <w:ind w:firstLine="640"/>
      </w:pPr>
      <w:bookmarkStart w:id="56" w:name="_Toc82624351"/>
      <w:r>
        <w:rPr>
          <w:rFonts w:hint="eastAsia"/>
        </w:rPr>
        <w:t>第五节 打造农创体验</w:t>
      </w:r>
      <w:r>
        <w:t>目的地</w:t>
      </w:r>
      <w:bookmarkEnd w:id="56"/>
    </w:p>
    <w:p>
      <w:pPr>
        <w:ind w:firstLine="600"/>
      </w:pPr>
      <w:r>
        <w:rPr>
          <w:rFonts w:hint="eastAsia"/>
        </w:rPr>
        <w:t>发挥江口—南溪增长极带动作用，依托云阳北部山水生态资源、商贸民俗盐运历史及乡村产业，以农旅融合为思路，</w:t>
      </w:r>
      <w:r>
        <w:t>打造农创体验目的地。</w:t>
      </w:r>
    </w:p>
    <w:p>
      <w:pPr>
        <w:ind w:firstLine="602"/>
      </w:pPr>
      <w:r>
        <w:rPr>
          <w:rFonts w:hint="eastAsia"/>
          <w:b/>
        </w:rPr>
        <w:t>——推动建设</w:t>
      </w:r>
      <w:r>
        <w:rPr>
          <w:b/>
        </w:rPr>
        <w:t>汤溪河</w:t>
      </w:r>
      <w:r>
        <w:rPr>
          <w:rFonts w:hint="eastAsia"/>
          <w:b/>
        </w:rPr>
        <w:t>农旅体验带。</w:t>
      </w:r>
      <w:r>
        <w:rPr>
          <w:rFonts w:hint="eastAsia"/>
        </w:rPr>
        <w:t>以江口镇农业产业园为核心，沿岸智慧柑橘园、标准柑橘采摘园及柑橘加工产业为支撑，紧扣汤溪河沿岸柑橘产业资源，推进沿岸60公里标准化柑橘基地建设，形成集生产、休闲、观光、生态于一体的沿河特色柑橘产业景观带。</w:t>
      </w:r>
    </w:p>
    <w:p>
      <w:pPr>
        <w:ind w:firstLine="602"/>
      </w:pPr>
      <w:r>
        <w:rPr>
          <w:rFonts w:hint="eastAsia"/>
          <w:b/>
        </w:rPr>
        <w:t>——建设</w:t>
      </w:r>
      <w:r>
        <w:rPr>
          <w:b/>
        </w:rPr>
        <w:t>江口望乡康养体验风景区</w:t>
      </w:r>
      <w:r>
        <w:rPr>
          <w:rFonts w:hint="eastAsia"/>
          <w:b/>
        </w:rPr>
        <w:t>。</w:t>
      </w:r>
      <w:r>
        <w:t>依托江口</w:t>
      </w:r>
      <w:r>
        <w:rPr>
          <w:rFonts w:hint="eastAsia"/>
        </w:rPr>
        <w:t>区域</w:t>
      </w:r>
      <w:r>
        <w:t>12</w:t>
      </w:r>
      <w:r>
        <w:rPr>
          <w:rFonts w:hint="eastAsia"/>
        </w:rPr>
        <w:t>个村社区，围绕农业产业园打造“一园多点”特色农贸集市，实施“防、治、养”综合康养体验项目，恢复农业食疗康养传统，推动农产品“生产-加工-销售-食疗”产业链集聚，以渡口文化+商贸文化+康养文化为特色，打造水岸康养，推进建成江口为云阳北部农业传统康养小镇。</w:t>
      </w:r>
    </w:p>
    <w:p>
      <w:pPr>
        <w:ind w:firstLine="602"/>
      </w:pPr>
      <w:r>
        <w:rPr>
          <w:rFonts w:hint="eastAsia"/>
          <w:b/>
        </w:rPr>
        <w:t>——加快</w:t>
      </w:r>
      <w:r>
        <w:rPr>
          <w:b/>
        </w:rPr>
        <w:t>建设</w:t>
      </w:r>
      <w:r>
        <w:rPr>
          <w:rFonts w:hint="eastAsia"/>
          <w:b/>
        </w:rPr>
        <w:t>江口</w:t>
      </w:r>
      <w:r>
        <w:rPr>
          <w:b/>
        </w:rPr>
        <w:t>旅游集散中心</w:t>
      </w:r>
      <w:r>
        <w:rPr>
          <w:rFonts w:hint="eastAsia"/>
          <w:b/>
        </w:rPr>
        <w:t>。</w:t>
      </w:r>
      <w:r>
        <w:rPr>
          <w:rFonts w:hint="eastAsia"/>
        </w:rPr>
        <w:t>依托江口区位优势和交通道口优势，融合游客服务作为推动江北新城建设的动能之一，丰富完善区域旅游集散功能、配套服务水平，打造云阳二级旅游集散中心。</w:t>
      </w:r>
    </w:p>
    <w:p>
      <w:pPr>
        <w:ind w:firstLine="602"/>
      </w:pPr>
      <w:r>
        <w:rPr>
          <w:rFonts w:hint="eastAsia"/>
          <w:b/>
        </w:rPr>
        <w:t>——建设</w:t>
      </w:r>
      <w:r>
        <w:rPr>
          <w:b/>
        </w:rPr>
        <w:t>洞鹿农创产业园</w:t>
      </w:r>
      <w:r>
        <w:rPr>
          <w:rFonts w:hint="eastAsia"/>
          <w:b/>
        </w:rPr>
        <w:t>。</w:t>
      </w:r>
      <w:r>
        <w:rPr>
          <w:rFonts w:hint="eastAsia"/>
        </w:rPr>
        <w:t>依托洞鹿镇生态水稻、稻田鱼、中草药等特色种养业基础，打造洞鹿农业创意产业园。引进水稻大地艺术、创意果蔬村落等创意农业项目，推进河道公园环线建设，通过旧房拆除、农房改造等方式形成农创民宿带。结合仙鹿洞、草坪梁等地质生态资源开发纳凉露营、地质探险等项目丰富游客体验。</w:t>
      </w:r>
    </w:p>
    <w:p>
      <w:pPr>
        <w:ind w:firstLine="602"/>
      </w:pPr>
      <w:r>
        <w:rPr>
          <w:rFonts w:hint="eastAsia"/>
          <w:b/>
        </w:rPr>
        <w:t>——推动</w:t>
      </w:r>
      <w:r>
        <w:rPr>
          <w:b/>
        </w:rPr>
        <w:t>建设</w:t>
      </w:r>
      <w:r>
        <w:rPr>
          <w:rFonts w:hint="eastAsia"/>
          <w:b/>
        </w:rPr>
        <w:t>大</w:t>
      </w:r>
      <w:r>
        <w:rPr>
          <w:b/>
        </w:rPr>
        <w:t>无量山</w:t>
      </w:r>
      <w:r>
        <w:rPr>
          <w:rFonts w:hint="eastAsia"/>
          <w:b/>
        </w:rPr>
        <w:t>运动</w:t>
      </w:r>
      <w:r>
        <w:rPr>
          <w:b/>
        </w:rPr>
        <w:t>康养综合体</w:t>
      </w:r>
      <w:r>
        <w:rPr>
          <w:rFonts w:hint="eastAsia"/>
          <w:b/>
        </w:rPr>
        <w:t>。</w:t>
      </w:r>
      <w:r>
        <w:rPr>
          <w:rFonts w:hint="eastAsia"/>
        </w:rPr>
        <w:t>依托无量山森林公园野生映山红资源和咸池水库水利生态资源，积极打造特色鲜明的乡村旅游品牌，推动发展环湖康养运动项目，完善停车场、住宿、餐饮等接待配套设施，打造康养综合体。</w:t>
      </w:r>
    </w:p>
    <w:p>
      <w:pPr>
        <w:pStyle w:val="4"/>
        <w:ind w:firstLine="640"/>
      </w:pPr>
      <w:bookmarkStart w:id="57" w:name="_Toc82624352"/>
      <w:r>
        <w:rPr>
          <w:rFonts w:hint="eastAsia"/>
        </w:rPr>
        <w:t>第六节 拓展全域体验产品</w:t>
      </w:r>
      <w:bookmarkEnd w:id="57"/>
    </w:p>
    <w:p>
      <w:pPr>
        <w:ind w:firstLine="600"/>
      </w:pPr>
      <w:r>
        <w:rPr>
          <w:rFonts w:hint="eastAsia"/>
        </w:rPr>
        <w:t>发挥引擎项目的驱动作用，对接研学市场，挖掘生态、民俗、农耕、滨水等资源，推动全域发展、旅游富民和产业联动。</w:t>
      </w:r>
    </w:p>
    <w:p>
      <w:pPr>
        <w:ind w:firstLine="602"/>
      </w:pPr>
      <w:r>
        <w:rPr>
          <w:rFonts w:hint="eastAsia"/>
          <w:b/>
        </w:rPr>
        <w:t>——升级红色旅游。</w:t>
      </w:r>
      <w:r>
        <w:rPr>
          <w:rFonts w:hint="eastAsia"/>
        </w:rPr>
        <w:t>对接研学市场，依托北部三条交通支线，连接农坝、沙市、鱼泉和上坝镇的战斗遗址、烈士陵园、名人旧居等红色旅游资源，按照完善基础设置、布展数字化升级等方式打造云阳红色体验旅游支线。</w:t>
      </w:r>
    </w:p>
    <w:p>
      <w:pPr>
        <w:ind w:firstLine="602"/>
      </w:pPr>
      <w:r>
        <w:rPr>
          <w:rFonts w:hint="eastAsia"/>
          <w:b/>
        </w:rPr>
        <w:t>——升级民俗</w:t>
      </w:r>
      <w:r>
        <w:rPr>
          <w:b/>
        </w:rPr>
        <w:t>旅游</w:t>
      </w:r>
      <w:r>
        <w:rPr>
          <w:rFonts w:hint="eastAsia"/>
          <w:b/>
        </w:rPr>
        <w:t>。</w:t>
      </w:r>
      <w:r>
        <w:rPr>
          <w:rFonts w:hint="eastAsia"/>
        </w:rPr>
        <w:t>深耕文旅融合，依托江龙高速-</w:t>
      </w:r>
      <w:r>
        <w:t>南北</w:t>
      </w:r>
      <w:r>
        <w:rPr>
          <w:rFonts w:hint="eastAsia"/>
        </w:rPr>
        <w:t>联动</w:t>
      </w:r>
      <w:r>
        <w:t>轴</w:t>
      </w:r>
      <w:r>
        <w:rPr>
          <w:rFonts w:hint="eastAsia"/>
        </w:rPr>
        <w:t>，串联石佛寺、云安古镇、云阳老城公园、栖霞宫、祖师观、高祖庙、彭氏宗祠、将军寨等民俗宗教旅游节点，以保护修缮历史建筑为前提，加大文化要素植入，发挥“一城一都三地”引擎项目带动作用，构建云阳民俗体验旅游支线。</w:t>
      </w:r>
    </w:p>
    <w:p>
      <w:pPr>
        <w:ind w:firstLine="602"/>
      </w:pPr>
      <w:r>
        <w:rPr>
          <w:rFonts w:hint="eastAsia"/>
          <w:b/>
        </w:rPr>
        <w:t>——升级乡村</w:t>
      </w:r>
      <w:r>
        <w:rPr>
          <w:b/>
        </w:rPr>
        <w:t>旅游</w:t>
      </w:r>
      <w:r>
        <w:rPr>
          <w:rFonts w:hint="eastAsia"/>
          <w:b/>
        </w:rPr>
        <w:t>。</w:t>
      </w:r>
      <w:r>
        <w:rPr>
          <w:rFonts w:hint="eastAsia"/>
        </w:rPr>
        <w:t>按照“产业融合化、园区景区化、乡村旅游化”思路，推动乡村旅游发展与实施乡村振兴战略紧密结合，形成北部现代农业乡村研学旅游带、龙脉大道乡村旅游带和滨水地质乡村研学旅游带。加快构建北部现代农业研学乡村旅游带，依托</w:t>
      </w:r>
      <w:r>
        <w:t>云阳北部</w:t>
      </w:r>
      <w:r>
        <w:rPr>
          <w:rFonts w:hint="eastAsia"/>
        </w:rPr>
        <w:t>四条交通支线纵深，连接后叶、路阳、双龙、渠马、养鹿、平安</w:t>
      </w:r>
      <w:r>
        <w:t>等乡镇</w:t>
      </w:r>
      <w:r>
        <w:rPr>
          <w:rFonts w:hint="eastAsia"/>
        </w:rPr>
        <w:t>的柑橘产业和特色农业产业资源，形成云阳北部现代农业研学乡村旅游带。加快构建百里龙脉大道乡村旅游带，依托云阳龙普组团交通干线，连接盘龙、凤鸣、龙角、泥溪、宝坪的农业产业资源和农耕故土园、彭氏宗祠等重要资源，形成农耕民俗主题乡村旅游。加快构建南部滨水地质乡村研学旅游，依托长江、长滩河等内河航线及乡村路网，以水为轴贯通新津、蔈草、耀灵、堰坪和故陵，发展云阳南部滨水地质乡村研学旅游。</w:t>
      </w:r>
    </w:p>
    <w:p>
      <w:pPr>
        <w:pStyle w:val="37"/>
        <w:widowControl/>
        <w:spacing w:line="240" w:lineRule="auto"/>
        <w:ind w:firstLine="420"/>
        <w:jc w:val="center"/>
        <w:rPr>
          <w:rFonts w:hint="default" w:ascii="黑体" w:hAnsi="黑体" w:eastAsia="黑体"/>
          <w:bCs/>
          <w:color w:val="000000" w:themeColor="text1"/>
          <w:sz w:val="21"/>
          <w14:textFill>
            <w14:solidFill>
              <w14:schemeClr w14:val="tx1"/>
            </w14:solidFill>
          </w14:textFill>
        </w:rPr>
      </w:pPr>
      <w:r>
        <w:rPr>
          <w:rFonts w:ascii="黑体" w:hAnsi="黑体" w:eastAsia="黑体"/>
          <w:bCs/>
          <w:color w:val="000000" w:themeColor="text1"/>
          <w:sz w:val="21"/>
          <w14:textFill>
            <w14:solidFill>
              <w14:schemeClr w14:val="tx1"/>
            </w14:solidFill>
          </w14:textFill>
        </w:rPr>
        <w:t>专栏</w:t>
      </w:r>
      <w:r>
        <w:rPr>
          <w:rFonts w:hint="default" w:ascii="黑体" w:hAnsi="黑体" w:eastAsia="黑体"/>
          <w:bCs/>
          <w:color w:val="000000" w:themeColor="text1"/>
          <w:sz w:val="21"/>
          <w14:textFill>
            <w14:solidFill>
              <w14:schemeClr w14:val="tx1"/>
            </w14:solidFill>
          </w14:textFill>
        </w:rPr>
        <w:t>6</w:t>
      </w:r>
      <w:r>
        <w:rPr>
          <w:rFonts w:ascii="黑体" w:hAnsi="黑体" w:eastAsia="黑体"/>
          <w:bCs/>
          <w:color w:val="000000" w:themeColor="text1"/>
          <w:sz w:val="21"/>
          <w14:textFill>
            <w14:solidFill>
              <w14:schemeClr w14:val="tx1"/>
            </w14:solidFill>
          </w14:textFill>
        </w:rPr>
        <w:t xml:space="preserve"> 拓展提升全域旅游品质体验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6" w:type="dxa"/>
            <w:tcBorders>
              <w:top w:val="single" w:color="auto" w:sz="4" w:space="0"/>
              <w:left w:val="single" w:color="auto" w:sz="4" w:space="0"/>
              <w:bottom w:val="single" w:color="auto" w:sz="4" w:space="0"/>
              <w:right w:val="single" w:color="auto" w:sz="4" w:space="0"/>
            </w:tcBorders>
          </w:tcPr>
          <w:p>
            <w:pPr>
              <w:pStyle w:val="37"/>
              <w:widowControl/>
              <w:spacing w:line="240" w:lineRule="auto"/>
              <w:ind w:firstLine="0" w:firstLineChars="0"/>
              <w:jc w:val="left"/>
              <w:rPr>
                <w:rFonts w:hint="default" w:ascii="楷体" w:hAnsi="楷体" w:eastAsia="楷体"/>
                <w:b/>
                <w:bCs/>
                <w:color w:val="000000" w:themeColor="text1"/>
                <w:sz w:val="21"/>
                <w14:textFill>
                  <w14:solidFill>
                    <w14:schemeClr w14:val="tx1"/>
                  </w14:solidFill>
                </w14:textFill>
              </w:rPr>
            </w:pPr>
            <w:r>
              <w:rPr>
                <w:rFonts w:ascii="楷体" w:hAnsi="楷体" w:eastAsia="楷体"/>
                <w:b/>
                <w:bCs/>
                <w:color w:val="000000" w:themeColor="text1"/>
                <w:sz w:val="21"/>
                <w14:textFill>
                  <w14:solidFill>
                    <w14:schemeClr w14:val="tx1"/>
                  </w14:solidFill>
                </w14:textFill>
              </w:rPr>
              <w:t>重点项目：</w:t>
            </w:r>
          </w:p>
          <w:p>
            <w:pPr>
              <w:pStyle w:val="37"/>
              <w:widowControl/>
              <w:spacing w:line="240" w:lineRule="auto"/>
              <w:ind w:firstLine="422"/>
              <w:jc w:val="left"/>
              <w:rPr>
                <w:rFonts w:hint="default" w:ascii="楷体" w:hAnsi="楷体" w:eastAsia="楷体"/>
                <w:bCs/>
                <w:color w:val="000000" w:themeColor="text1"/>
                <w:sz w:val="21"/>
                <w14:textFill>
                  <w14:solidFill>
                    <w14:schemeClr w14:val="tx1"/>
                  </w14:solidFill>
                </w14:textFill>
              </w:rPr>
            </w:pPr>
            <w:r>
              <w:rPr>
                <w:rFonts w:ascii="楷体" w:hAnsi="楷体" w:eastAsia="楷体"/>
                <w:b/>
                <w:bCs/>
                <w:color w:val="000000" w:themeColor="text1"/>
                <w:sz w:val="21"/>
                <w14:textFill>
                  <w14:solidFill>
                    <w14:schemeClr w14:val="tx1"/>
                  </w14:solidFill>
                </w14:textFill>
              </w:rPr>
              <w:t>打造三峡人文旅游之城。</w:t>
            </w:r>
            <w:r>
              <w:rPr>
                <w:rFonts w:ascii="楷体" w:hAnsi="楷体" w:eastAsia="楷体"/>
                <w:bCs/>
                <w:color w:val="000000" w:themeColor="text1"/>
                <w:sz w:val="21"/>
                <w14:textFill>
                  <w14:solidFill>
                    <w14:schemeClr w14:val="tx1"/>
                  </w14:solidFill>
                </w14:textFill>
              </w:rPr>
              <w:t>推动张飞庙景区升级。环湖绿道升级。三峡梯城升级。彭氏宗祠景区建设。水口数智森林小镇建设。云阳旅游集散中心及博物馆项目建设和巴阳峡花园休闲旅游项目建设。</w:t>
            </w:r>
          </w:p>
          <w:p>
            <w:pPr>
              <w:pStyle w:val="37"/>
              <w:widowControl/>
              <w:spacing w:line="240" w:lineRule="auto"/>
              <w:ind w:firstLine="422"/>
              <w:jc w:val="left"/>
              <w:rPr>
                <w:rFonts w:hint="default" w:ascii="楷体" w:hAnsi="楷体" w:eastAsia="楷体"/>
                <w:bCs/>
                <w:color w:val="000000" w:themeColor="text1"/>
                <w:sz w:val="21"/>
                <w14:textFill>
                  <w14:solidFill>
                    <w14:schemeClr w14:val="tx1"/>
                  </w14:solidFill>
                </w14:textFill>
              </w:rPr>
            </w:pPr>
            <w:r>
              <w:rPr>
                <w:rFonts w:ascii="楷体" w:hAnsi="楷体" w:eastAsia="楷体"/>
                <w:b/>
                <w:bCs/>
                <w:color w:val="000000" w:themeColor="text1"/>
                <w:sz w:val="21"/>
                <w14:textFill>
                  <w14:solidFill>
                    <w14:schemeClr w14:val="tx1"/>
                  </w14:solidFill>
                </w14:textFill>
              </w:rPr>
              <w:t>打造世界恐龙之都。</w:t>
            </w:r>
            <w:r>
              <w:rPr>
                <w:rFonts w:ascii="楷体" w:hAnsi="楷体" w:eastAsia="楷体"/>
                <w:bCs/>
                <w:color w:val="000000" w:themeColor="text1"/>
                <w:sz w:val="21"/>
                <w14:textFill>
                  <w14:solidFill>
                    <w14:schemeClr w14:val="tx1"/>
                  </w14:solidFill>
                </w14:textFill>
              </w:rPr>
              <w:t>推动普安恐龙公园建设，普安龙乡橘海农业产业园建设。配建龙腾马跃文旅小镇、侏罗纪龙城农场学院、云阳先生康乐园、普安柑橘采摘体验园。打造龙角旅游集散中心。</w:t>
            </w:r>
          </w:p>
          <w:p>
            <w:pPr>
              <w:ind w:firstLine="422"/>
              <w:rPr>
                <w:rFonts w:ascii="楷体" w:hAnsi="楷体" w:eastAsia="楷体"/>
                <w:bCs/>
                <w:color w:val="000000" w:themeColor="text1"/>
                <w:sz w:val="21"/>
                <w14:textFill>
                  <w14:solidFill>
                    <w14:schemeClr w14:val="tx1"/>
                  </w14:solidFill>
                </w14:textFill>
              </w:rPr>
            </w:pPr>
            <w:r>
              <w:rPr>
                <w:rFonts w:hint="eastAsia" w:ascii="楷体" w:hAnsi="楷体" w:eastAsia="楷体"/>
                <w:b/>
                <w:bCs/>
                <w:color w:val="000000" w:themeColor="text1"/>
                <w:sz w:val="21"/>
                <w14:textFill>
                  <w14:solidFill>
                    <w14:schemeClr w14:val="tx1"/>
                  </w14:solidFill>
                </w14:textFill>
              </w:rPr>
              <w:t>打造地质旅居目的地。</w:t>
            </w:r>
            <w:r>
              <w:rPr>
                <w:rFonts w:hint="eastAsia" w:ascii="楷体" w:hAnsi="楷体" w:eastAsia="楷体"/>
                <w:bCs/>
                <w:color w:val="000000" w:themeColor="text1"/>
                <w:sz w:val="21"/>
                <w14:textFill>
                  <w14:solidFill>
                    <w14:schemeClr w14:val="tx1"/>
                  </w14:solidFill>
                </w14:textFill>
              </w:rPr>
              <w:t>推动</w:t>
            </w:r>
            <w:r>
              <w:rPr>
                <w:rFonts w:ascii="楷体" w:hAnsi="楷体" w:eastAsia="楷体"/>
                <w:bCs/>
                <w:color w:val="000000" w:themeColor="text1"/>
                <w:sz w:val="21"/>
                <w14:textFill>
                  <w14:solidFill>
                    <w14:schemeClr w14:val="tx1"/>
                  </w14:solidFill>
                </w14:textFill>
              </w:rPr>
              <w:t>清水</w:t>
            </w:r>
            <w:r>
              <w:rPr>
                <w:rFonts w:hint="eastAsia" w:ascii="楷体" w:hAnsi="楷体" w:eastAsia="楷体"/>
                <w:bCs/>
                <w:color w:val="000000" w:themeColor="text1"/>
                <w:sz w:val="21"/>
                <w14:textFill>
                  <w14:solidFill>
                    <w14:schemeClr w14:val="tx1"/>
                  </w14:solidFill>
                </w14:textFill>
              </w:rPr>
              <w:t>颐养小镇建设</w:t>
            </w:r>
            <w:r>
              <w:rPr>
                <w:rFonts w:ascii="楷体" w:hAnsi="楷体" w:eastAsia="楷体"/>
                <w:bCs/>
                <w:color w:val="000000" w:themeColor="text1"/>
                <w:sz w:val="21"/>
                <w14:textFill>
                  <w14:solidFill>
                    <w14:schemeClr w14:val="tx1"/>
                  </w14:solidFill>
                </w14:textFill>
              </w:rPr>
              <w:t>。</w:t>
            </w:r>
            <w:r>
              <w:rPr>
                <w:rFonts w:hint="eastAsia" w:ascii="楷体" w:hAnsi="楷体" w:eastAsia="楷体" w:cs="宋体"/>
                <w:bCs/>
                <w:color w:val="000000" w:themeColor="text1"/>
                <w:kern w:val="0"/>
                <w:sz w:val="21"/>
                <w14:textFill>
                  <w14:solidFill>
                    <w14:schemeClr w14:val="tx1"/>
                  </w14:solidFill>
                </w14:textFill>
              </w:rPr>
              <w:t>推动</w:t>
            </w:r>
            <w:r>
              <w:rPr>
                <w:rFonts w:ascii="楷体" w:hAnsi="楷体" w:eastAsia="楷体"/>
                <w:bCs/>
                <w:color w:val="000000" w:themeColor="text1"/>
                <w:sz w:val="21"/>
                <w14:textFill>
                  <w14:solidFill>
                    <w14:schemeClr w14:val="tx1"/>
                  </w14:solidFill>
                </w14:textFill>
              </w:rPr>
              <w:t>龙缸景区升级。</w:t>
            </w:r>
            <w:r>
              <w:rPr>
                <w:rFonts w:ascii="楷体" w:hAnsi="楷体" w:eastAsia="楷体" w:cs="宋体"/>
                <w:bCs/>
                <w:color w:val="000000" w:themeColor="text1"/>
                <w:sz w:val="21"/>
                <w14:textFill>
                  <w14:solidFill>
                    <w14:schemeClr w14:val="tx1"/>
                  </w14:solidFill>
                </w14:textFill>
              </w:rPr>
              <w:t>开发“云端飞悦”系列活动，推进夜游龙缸地质探险项目、风情民宿建设和龙缸户外休闲运动基地、石笋河滨河景观带、石笋河亲子水上运动乐园、清水湖钓鱼基地建设。</w:t>
            </w:r>
            <w:r>
              <w:rPr>
                <w:rFonts w:hint="eastAsia" w:ascii="楷体" w:hAnsi="楷体" w:eastAsia="楷体" w:cs="宋体"/>
                <w:bCs/>
                <w:color w:val="000000" w:themeColor="text1"/>
                <w:sz w:val="21"/>
                <w14:textFill>
                  <w14:solidFill>
                    <w14:schemeClr w14:val="tx1"/>
                  </w14:solidFill>
                </w14:textFill>
              </w:rPr>
              <w:t>推动</w:t>
            </w:r>
            <w:r>
              <w:rPr>
                <w:rFonts w:ascii="楷体" w:hAnsi="楷体" w:eastAsia="楷体"/>
                <w:bCs/>
                <w:color w:val="000000" w:themeColor="text1"/>
                <w:sz w:val="21"/>
                <w14:textFill>
                  <w14:solidFill>
                    <w14:schemeClr w14:val="tx1"/>
                  </w14:solidFill>
                </w14:textFill>
              </w:rPr>
              <w:t>歧山草原升级</w:t>
            </w:r>
            <w:r>
              <w:rPr>
                <w:rFonts w:hint="eastAsia" w:ascii="楷体" w:hAnsi="楷体" w:eastAsia="楷体" w:cs="宋体"/>
                <w:bCs/>
                <w:color w:val="000000" w:themeColor="text1"/>
                <w:kern w:val="0"/>
                <w:sz w:val="21"/>
                <w14:textFill>
                  <w14:solidFill>
                    <w14:schemeClr w14:val="tx1"/>
                  </w14:solidFill>
                </w14:textFill>
              </w:rPr>
              <w:t>。打造清水湖滨湖休闲度假地。建好清水湖美丽家园项目。打造福利坝生活社区，推动建好云栖山院、云顶体育部落和云居生活中心。</w:t>
            </w:r>
          </w:p>
          <w:p>
            <w:pPr>
              <w:pStyle w:val="37"/>
              <w:widowControl/>
              <w:spacing w:line="240" w:lineRule="auto"/>
              <w:ind w:firstLine="422"/>
              <w:jc w:val="left"/>
              <w:rPr>
                <w:rFonts w:hint="default" w:ascii="楷体" w:hAnsi="楷体" w:eastAsia="楷体"/>
                <w:bCs/>
                <w:color w:val="000000" w:themeColor="text1"/>
                <w:sz w:val="21"/>
                <w14:textFill>
                  <w14:solidFill>
                    <w14:schemeClr w14:val="tx1"/>
                  </w14:solidFill>
                </w14:textFill>
              </w:rPr>
            </w:pPr>
            <w:r>
              <w:rPr>
                <w:rFonts w:ascii="楷体" w:hAnsi="楷体" w:eastAsia="楷体"/>
                <w:b/>
                <w:bCs/>
                <w:color w:val="000000" w:themeColor="text1"/>
                <w:sz w:val="21"/>
                <w14:textFill>
                  <w14:solidFill>
                    <w14:schemeClr w14:val="tx1"/>
                  </w14:solidFill>
                </w14:textFill>
              </w:rPr>
              <w:t>打造生态康体目的地。</w:t>
            </w:r>
            <w:r>
              <w:rPr>
                <w:rFonts w:ascii="楷体" w:hAnsi="楷体" w:eastAsia="楷体"/>
                <w:bCs/>
                <w:color w:val="000000" w:themeColor="text1"/>
                <w:sz w:val="21"/>
                <w14:textFill>
                  <w14:solidFill>
                    <w14:schemeClr w14:val="tx1"/>
                  </w14:solidFill>
                </w14:textFill>
              </w:rPr>
              <w:t>打造上坝山地康体综合体</w:t>
            </w:r>
            <w:r>
              <w:rPr>
                <w:rFonts w:hint="default" w:ascii="楷体" w:hAnsi="楷体" w:eastAsia="楷体"/>
                <w:bCs/>
                <w:color w:val="000000" w:themeColor="text1"/>
                <w:sz w:val="21"/>
                <w14:textFill>
                  <w14:solidFill>
                    <w14:schemeClr w14:val="tx1"/>
                  </w14:solidFill>
                </w14:textFill>
              </w:rPr>
              <w:t>。</w:t>
            </w:r>
            <w:r>
              <w:rPr>
                <w:rFonts w:ascii="楷体" w:hAnsi="楷体" w:eastAsia="楷体"/>
                <w:bCs/>
                <w:color w:val="000000" w:themeColor="text1"/>
                <w:sz w:val="21"/>
                <w14:textFill>
                  <w14:solidFill>
                    <w14:schemeClr w14:val="tx1"/>
                  </w14:solidFill>
                </w14:textFill>
              </w:rPr>
              <w:t>推动游客服务中心、山地风情美食街、山地康养度假社区和上坝人家建设项目</w:t>
            </w:r>
            <w:r>
              <w:rPr>
                <w:rFonts w:hint="default" w:ascii="楷体" w:hAnsi="楷体" w:eastAsia="楷体"/>
                <w:bCs/>
                <w:color w:val="000000" w:themeColor="text1"/>
                <w:sz w:val="21"/>
                <w14:textFill>
                  <w14:solidFill>
                    <w14:schemeClr w14:val="tx1"/>
                  </w14:solidFill>
                </w14:textFill>
              </w:rPr>
              <w:t>，</w:t>
            </w:r>
            <w:r>
              <w:rPr>
                <w:rFonts w:ascii="楷体" w:hAnsi="楷体" w:eastAsia="楷体"/>
                <w:bCs/>
                <w:color w:val="000000" w:themeColor="text1"/>
                <w:sz w:val="21"/>
                <w14:textFill>
                  <w14:solidFill>
                    <w14:schemeClr w14:val="tx1"/>
                  </w14:solidFill>
                </w14:textFill>
              </w:rPr>
              <w:t>完成轿顶山民俗风情街、乐活山谷、川祖庙修缮开发、轿顶山临崖茶社、锣鼓宕山地自驾车营地建设项目。打造云峰山避暑旅游度假区。推动云峰山康养露营中心、乌天麻国际博览城和乌天麻研学基地建设。打造农坝生态康养小镇。推动接待中心、双人寨、仙女寨、云山石笋等景点建设。打造高阳湖国家湿地公园。推动高阳湖环湖生态栈道、游客接待中心等接待设施建设。推动高阳湖滨水旅游度假区建设。</w:t>
            </w:r>
          </w:p>
          <w:p>
            <w:pPr>
              <w:pStyle w:val="37"/>
              <w:widowControl/>
              <w:spacing w:line="240" w:lineRule="auto"/>
              <w:ind w:firstLine="422"/>
              <w:jc w:val="left"/>
              <w:rPr>
                <w:rFonts w:hint="default" w:ascii="楷体" w:hAnsi="楷体" w:eastAsia="楷体"/>
                <w:bCs/>
                <w:color w:val="000000" w:themeColor="text1"/>
                <w:sz w:val="21"/>
                <w14:textFill>
                  <w14:solidFill>
                    <w14:schemeClr w14:val="tx1"/>
                  </w14:solidFill>
                </w14:textFill>
              </w:rPr>
            </w:pPr>
            <w:r>
              <w:rPr>
                <w:rFonts w:ascii="楷体" w:hAnsi="楷体" w:eastAsia="楷体"/>
                <w:b/>
                <w:bCs/>
                <w:color w:val="000000" w:themeColor="text1"/>
                <w:sz w:val="21"/>
                <w14:textFill>
                  <w14:solidFill>
                    <w14:schemeClr w14:val="tx1"/>
                  </w14:solidFill>
                </w14:textFill>
              </w:rPr>
              <w:t>打造农创体验目的地。</w:t>
            </w:r>
            <w:r>
              <w:rPr>
                <w:rFonts w:ascii="楷体" w:hAnsi="楷体" w:eastAsia="楷体"/>
                <w:bCs/>
                <w:color w:val="000000" w:themeColor="text1"/>
                <w:sz w:val="21"/>
                <w14:textFill>
                  <w14:solidFill>
                    <w14:schemeClr w14:val="tx1"/>
                  </w14:solidFill>
                </w14:textFill>
              </w:rPr>
              <w:t>打造汤溪河农旅体验带。推动汤溪河河岸农业景观打造、一江四河柑橘补植补造、河畔人家乡村民宿群建设项目。打造江口望乡康养体验风景区建设。推动江口农业产业园建设。打造江口旅游集散中心建设。打造洞鹿农创产业园。推动河道公园、水稻大地艺术、创意果蔬村落、趣味中药园、农创民宿带、仙鹿洞、草坪梁项目建设。打造大无量山康养运动综合体建设。推动映山红森林公园升级、桑坪镇邓家老屋活化利用、桑坪镇咸池水库体旅融合建设、洞鹿乡青衫水库水旅融合建设和洞鹿乡村运动探险项目。</w:t>
            </w:r>
          </w:p>
          <w:p>
            <w:pPr>
              <w:ind w:firstLine="422"/>
              <w:jc w:val="left"/>
              <w:rPr>
                <w:rFonts w:ascii="楷体" w:hAnsi="楷体" w:eastAsia="楷体" w:cs="宋体"/>
                <w:bCs/>
                <w:color w:val="000000" w:themeColor="text1"/>
                <w:sz w:val="21"/>
                <w14:textFill>
                  <w14:solidFill>
                    <w14:schemeClr w14:val="tx1"/>
                  </w14:solidFill>
                </w14:textFill>
              </w:rPr>
            </w:pPr>
            <w:r>
              <w:rPr>
                <w:rFonts w:hint="eastAsia" w:ascii="楷体" w:hAnsi="楷体" w:eastAsia="楷体" w:cs="宋体"/>
                <w:b/>
                <w:bCs/>
                <w:color w:val="000000" w:themeColor="text1"/>
                <w:sz w:val="21"/>
                <w14:textFill>
                  <w14:solidFill>
                    <w14:schemeClr w14:val="tx1"/>
                  </w14:solidFill>
                </w14:textFill>
              </w:rPr>
              <w:t>发展全域旅游。</w:t>
            </w:r>
            <w:r>
              <w:rPr>
                <w:rFonts w:hint="eastAsia" w:ascii="楷体" w:hAnsi="楷体" w:eastAsia="楷体" w:cs="宋体"/>
                <w:bCs/>
                <w:color w:val="000000" w:themeColor="text1"/>
                <w:sz w:val="21"/>
                <w14:textFill>
                  <w14:solidFill>
                    <w14:schemeClr w14:val="tx1"/>
                  </w14:solidFill>
                </w14:textFill>
              </w:rPr>
              <w:t>升级红色体验旅游：推动云北战斗遗址、烈士陵园、名人旧居升级。升级民俗体验旅游：推动石佛寺、云安古镇、云阳老城公园、栖霞宫、祖师观、高祖庙、将军寨等民俗旅游景点升级。</w:t>
            </w:r>
            <w:r>
              <w:rPr>
                <w:rFonts w:ascii="楷体" w:hAnsi="楷体" w:eastAsia="楷体" w:cs="宋体"/>
                <w:bCs/>
                <w:color w:val="000000" w:themeColor="text1"/>
                <w:sz w:val="21"/>
                <w14:textFill>
                  <w14:solidFill>
                    <w14:schemeClr w14:val="tx1"/>
                  </w14:solidFill>
                </w14:textFill>
              </w:rPr>
              <w:t>升级乡村研学旅游。重点</w:t>
            </w:r>
            <w:r>
              <w:rPr>
                <w:rFonts w:ascii="楷体" w:hAnsi="楷体" w:eastAsia="楷体"/>
                <w:bCs/>
                <w:color w:val="000000" w:themeColor="text1"/>
                <w:sz w:val="21"/>
                <w14:textFill>
                  <w14:solidFill>
                    <w14:schemeClr w14:val="tx1"/>
                  </w14:solidFill>
                </w14:textFill>
              </w:rPr>
              <w:t>推动形成北部现代农业乡村研学旅游带、龙脉大道乡村旅游带和滨水地质研学乡村旅游带。</w:t>
            </w:r>
          </w:p>
        </w:tc>
      </w:tr>
    </w:tbl>
    <w:p>
      <w:pPr>
        <w:pStyle w:val="3"/>
        <w:ind w:firstLine="720"/>
      </w:pPr>
      <w:bookmarkStart w:id="58" w:name="_Toc82624353"/>
      <w:r>
        <w:rPr>
          <w:rFonts w:hint="eastAsia"/>
        </w:rPr>
        <w:t>第九章 提升文旅接待品质</w:t>
      </w:r>
      <w:bookmarkEnd w:id="58"/>
    </w:p>
    <w:p>
      <w:pPr>
        <w:ind w:firstLine="600"/>
      </w:pPr>
      <w:r>
        <w:rPr>
          <w:rFonts w:hint="eastAsia"/>
        </w:rPr>
        <w:t>经济双循环背景下提升旅游消费水平加快推动内需升级，紧抓新阶段旅游消费更加注重高品质和体验性的需求特点，尤其注重与农业、康养、林业、水利、教育深度融合发展，在丰富和提升旅游消费水平的同时，利用旅游消费供给链和口碑传播带动乡村产业围绕旅游产业高品质、集群式、品牌化发展，助推乡村振兴战略落地。</w:t>
      </w:r>
    </w:p>
    <w:p>
      <w:pPr>
        <w:pStyle w:val="4"/>
        <w:ind w:firstLine="640"/>
      </w:pPr>
      <w:bookmarkStart w:id="59" w:name="_Toc82624354"/>
      <w:r>
        <w:rPr>
          <w:rFonts w:hint="eastAsia"/>
        </w:rPr>
        <w:t>第一节 打造高品质旅游接待服务</w:t>
      </w:r>
      <w:bookmarkEnd w:id="59"/>
    </w:p>
    <w:p>
      <w:pPr>
        <w:ind w:firstLine="602"/>
      </w:pPr>
      <w:r>
        <w:rPr>
          <w:rFonts w:hint="eastAsia" w:ascii="方正仿宋_GBK"/>
          <w:b/>
          <w:bCs/>
        </w:rPr>
        <w:t>——品牌化提升旅游餐饮体验</w:t>
      </w:r>
      <w:r>
        <w:rPr>
          <w:rFonts w:hint="eastAsia" w:ascii="方正仿宋_GBK"/>
        </w:rPr>
        <w:t>。</w:t>
      </w:r>
      <w:r>
        <w:rPr>
          <w:rFonts w:hint="eastAsia"/>
        </w:rPr>
        <w:t>以“内容土特化、管理标准化、布局集聚化”为路径</w:t>
      </w:r>
      <w:r>
        <w:rPr>
          <w:rFonts w:hint="eastAsia" w:ascii="方正仿宋_GBK"/>
        </w:rPr>
        <w:t>提升品牌体验，打造旅游餐饮为吸引游客的金字招牌之一。坚持</w:t>
      </w:r>
      <w:r>
        <w:rPr>
          <w:rFonts w:hint="eastAsia"/>
        </w:rPr>
        <w:t>“内容土特化”，全面挖掘云阳老字号、生态、农家美食，继续培育滨江美食街、金科美食城等美食街区，动态培育十大云阳名宴、十大云阳小吃、十大餐饮名店“三个十”餐饮品牌。坚持“管理标准化”，建立“云阳美食”认证商标和管理标准，培训本土餐饮企业（店）或引入现代化餐饮经营企业，通过建立示范和管理认证的形式全面提升云阳旅游餐饮系统。坚持“布局集聚化”，在重点城镇、景区建设美食街，建立机制引导重要旅游道路沿线，布局形成点轴均衡的多形式旅游餐饮店。</w:t>
      </w:r>
    </w:p>
    <w:p>
      <w:pPr>
        <w:ind w:firstLine="602"/>
      </w:pPr>
      <w:r>
        <w:rPr>
          <w:rFonts w:hint="eastAsia"/>
          <w:b/>
        </w:rPr>
        <w:t>——注重标准和非标住宿共同发展，</w:t>
      </w:r>
      <w:r>
        <w:rPr>
          <w:rFonts w:hint="eastAsia" w:ascii="方正仿宋_GBK"/>
          <w:b/>
          <w:bCs/>
        </w:rPr>
        <w:t>升级现代</w:t>
      </w:r>
      <w:r>
        <w:rPr>
          <w:rFonts w:ascii="方正仿宋_GBK"/>
          <w:b/>
          <w:bCs/>
        </w:rPr>
        <w:t>住宿系统</w:t>
      </w:r>
      <w:r>
        <w:rPr>
          <w:rFonts w:hint="eastAsia"/>
          <w:b/>
        </w:rPr>
        <w:t>。</w:t>
      </w:r>
      <w:r>
        <w:rPr>
          <w:rFonts w:hint="eastAsia"/>
        </w:rPr>
        <w:t>加快高星级饭店引进和认定工作，积极培育优质饭店主体企业，打造高星级饭店集群。推动云阳品牌民宿建设，通过标准化指导、特色化开发，形成高中低搭配的民宿体系。健全住宿服务监管措施，制定住宿行业评价标准，实行品牌动态管理。</w:t>
      </w:r>
    </w:p>
    <w:p>
      <w:pPr>
        <w:ind w:firstLine="602"/>
      </w:pPr>
      <w:r>
        <w:rPr>
          <w:rFonts w:hint="eastAsia"/>
          <w:b/>
        </w:rPr>
        <w:t>——围绕本土产业品牌化做强旅游商品。</w:t>
      </w:r>
      <w:r>
        <w:rPr>
          <w:rFonts w:hint="eastAsia"/>
        </w:rPr>
        <w:t>推动“商品品牌化”，通过招商、引导、合作等多种商品开发形式，积极探索IP授权等文创开发模式，做响“江上风清”旅游商品品牌。推动“供给规范化”，围绕文旅产业绿色、生态、健康的发展趋势，健全农业、中药材和手工业供应营销链条，创造以文旅产品为主要方向的种养加工制造产业，培育农业、手工业经济新亮点。推动“布局全域化”，沿游客界面全域布局旅游商品购销点，实现有游客的地方就有旅游商品，既是购物点又是品牌展示点。</w:t>
      </w:r>
    </w:p>
    <w:p>
      <w:pPr>
        <w:pStyle w:val="4"/>
        <w:ind w:firstLine="640"/>
      </w:pPr>
      <w:bookmarkStart w:id="60" w:name="_Toc82624355"/>
      <w:r>
        <w:rPr>
          <w:rFonts w:hint="eastAsia"/>
        </w:rPr>
        <w:t>第二节 争创文旅消费试点城市</w:t>
      </w:r>
      <w:bookmarkEnd w:id="60"/>
    </w:p>
    <w:p>
      <w:pPr>
        <w:ind w:firstLine="600"/>
      </w:pPr>
      <w:r>
        <w:rPr>
          <w:rFonts w:hint="eastAsia"/>
        </w:rPr>
        <w:t>按照《开展文化和旅游消费试点示范工作的通知》要求</w:t>
      </w:r>
      <w:r>
        <w:rPr>
          <w:rFonts w:hint="eastAsia"/>
          <w:bCs/>
        </w:rPr>
        <w:t>提档城市商业业态，争创文旅消费试点（示范）城市</w:t>
      </w:r>
      <w:r>
        <w:rPr>
          <w:rFonts w:hint="eastAsia"/>
        </w:rPr>
        <w:t>。</w:t>
      </w:r>
    </w:p>
    <w:p>
      <w:pPr>
        <w:ind w:firstLine="602"/>
      </w:pPr>
      <w:r>
        <w:rPr>
          <w:rFonts w:hint="eastAsia"/>
          <w:b/>
        </w:rPr>
        <w:t>——构建“城区-景区-集散网络”文旅</w:t>
      </w:r>
      <w:r>
        <w:rPr>
          <w:rFonts w:ascii="方正仿宋_GBK"/>
          <w:b/>
        </w:rPr>
        <w:t>消费集聚区</w:t>
      </w:r>
      <w:r>
        <w:rPr>
          <w:rFonts w:hint="eastAsia" w:ascii="方正仿宋_GBK"/>
          <w:b/>
        </w:rPr>
        <w:t>三级</w:t>
      </w:r>
      <w:r>
        <w:rPr>
          <w:rFonts w:ascii="方正仿宋_GBK"/>
          <w:b/>
        </w:rPr>
        <w:t>系统。</w:t>
      </w:r>
      <w:r>
        <w:rPr>
          <w:rFonts w:hint="eastAsia"/>
        </w:rPr>
        <w:t>城区：以“双100”城区范围为承载，整合打造云阳城区“四街四市”，盘活云阳县城成为集购物、娱乐、休闲、餐饮、住宿等多功能一体化的国家级夜间消费集聚区。景区：依托龙缸景区、普安恐龙公园、江口望乡康养度假风景区等景区打造消费街市。集散网络：在各旅游集散点、路网连接点形成消费点。</w:t>
      </w:r>
    </w:p>
    <w:p>
      <w:pPr>
        <w:ind w:firstLine="602"/>
      </w:pPr>
      <w:r>
        <w:rPr>
          <w:rFonts w:hint="eastAsia"/>
          <w:b/>
        </w:rPr>
        <w:t>——落实“消费三计”，提档文旅消费水平。</w:t>
      </w:r>
      <w:r>
        <w:rPr>
          <w:rFonts w:hint="eastAsia"/>
        </w:rPr>
        <w:t>实施消费夜游计。以县城-重要景区两级消费系统为载体，结合科技、创意、艺术等手段营造丰富的夜间文化生活，丰富夜间演出、美食、购物等多种业态。实施消费攻芯计。数字赋能，推出“云阳文化旅游年卡”，整合云阳文旅景点和商品购销点，积极入驻京东、天猫、去哪儿网等知名电商。鼓励电商平台与超市、便利店、社区商业中心和小区物业合作，搭建直播带货、云购物等智能化平台，形成电商促进消费升级的长效机制。实施消费连环计。</w:t>
      </w:r>
      <w:r>
        <w:rPr>
          <w:rFonts w:hint="eastAsia"/>
          <w:shd w:val="clear" w:color="auto" w:fill="FFFFFF"/>
        </w:rPr>
        <w:t>推动传统商业转型升级为文商旅综合体。鼓励</w:t>
      </w:r>
      <w:r>
        <w:rPr>
          <w:rFonts w:hint="eastAsia"/>
        </w:rPr>
        <w:t>云阳非物质文化遗产产品化，推进云阳非遗入驻线上商城。引导企业参与文旅消费，推出“门票+酒店”、“门票+民宿”、“门票+演出”等活动，找到更多流量入口，实现经济与社会效益双赢。</w:t>
      </w:r>
    </w:p>
    <w:p>
      <w:pPr>
        <w:pStyle w:val="4"/>
        <w:ind w:firstLine="640"/>
      </w:pPr>
      <w:bookmarkStart w:id="61" w:name="_Toc82624356"/>
      <w:r>
        <w:rPr>
          <w:rFonts w:hint="eastAsia"/>
        </w:rPr>
        <w:t>第三节 助推建设</w:t>
      </w:r>
      <w:r>
        <w:t>现代产业体系</w:t>
      </w:r>
      <w:bookmarkEnd w:id="61"/>
    </w:p>
    <w:p>
      <w:pPr>
        <w:ind w:firstLine="600"/>
      </w:pPr>
      <w:r>
        <w:rPr>
          <w:rFonts w:hint="eastAsia"/>
        </w:rPr>
        <w:t>围绕建设以“千亿工业”为引领的现代产业聚集地，全面发挥文化旅游产业涉及面广、带动性强的聚合优势，加快推进文化旅游产业“接一融二连三”。</w:t>
      </w:r>
    </w:p>
    <w:p>
      <w:pPr>
        <w:ind w:firstLine="602"/>
      </w:pPr>
      <w:r>
        <w:rPr>
          <w:rFonts w:hint="eastAsia"/>
          <w:b/>
        </w:rPr>
        <w:t>加快文化旅游与农业融合。</w:t>
      </w:r>
      <w:r>
        <w:rPr>
          <w:rFonts w:hint="eastAsia"/>
        </w:rPr>
        <w:t>讲好农产品故事，通过旅游为农产品品牌赋能，以特色生态土货供给助推农业公共品牌建设。</w:t>
      </w:r>
      <w:r>
        <w:rPr>
          <w:rFonts w:hint="eastAsia"/>
          <w:b/>
        </w:rPr>
        <w:t>加快文化旅游与林业融合。</w:t>
      </w:r>
      <w:r>
        <w:rPr>
          <w:rFonts w:hint="eastAsia"/>
        </w:rPr>
        <w:t>实施彩色林林相改造工程和森林康养工程，以水陆交通两侧为重点打造森林景观带提高旅游视觉效果，建设云利路国家级风景道，与三峡地区区县合力打造三峡红叶美丽中国名片。</w:t>
      </w:r>
      <w:r>
        <w:rPr>
          <w:rFonts w:hint="eastAsia"/>
          <w:b/>
        </w:rPr>
        <w:t>加快文化旅游与工业融合。</w:t>
      </w:r>
      <w:r>
        <w:rPr>
          <w:rFonts w:hint="eastAsia"/>
        </w:rPr>
        <w:t>建立本土文旅商品工业生产体系，试点乌天麻国际博览城、峰谷美地等特色工业园区景区化建设。</w:t>
      </w:r>
      <w:r>
        <w:rPr>
          <w:rFonts w:hint="eastAsia"/>
          <w:b/>
        </w:rPr>
        <w:t>加快文化旅游与教育融合。</w:t>
      </w:r>
      <w:r>
        <w:rPr>
          <w:rFonts w:hint="eastAsia"/>
        </w:rPr>
        <w:t>夯实市级研学旅行目的地地位，加快龙缸、恐龙、张飞庙、梯城等开发地质研学、丰富乡村研学等产品。</w:t>
      </w:r>
      <w:r>
        <w:rPr>
          <w:rFonts w:hint="eastAsia"/>
          <w:b/>
        </w:rPr>
        <w:t>加快文化旅游与康养融合，</w:t>
      </w:r>
      <w:r>
        <w:rPr>
          <w:rFonts w:hint="eastAsia"/>
        </w:rPr>
        <w:t>围绕“食品、药品、用品，养生、养心、养老”思路，结合清水国家级旅游度假区建设，开发食疗、药养、医养等康养度假产品。</w:t>
      </w:r>
      <w:r>
        <w:rPr>
          <w:rFonts w:hint="eastAsia"/>
          <w:b/>
        </w:rPr>
        <w:t>加快文化旅游与体育融合</w:t>
      </w:r>
      <w:r>
        <w:rPr>
          <w:rFonts w:hint="eastAsia"/>
        </w:rPr>
        <w:t>，做强“重庆市体育旅游精品赛事”招牌，持续推进体育品牌赛事与景区度假区结合，打造康养、冰雪、水上、滑翔等多个特色体育运动基地。</w:t>
      </w:r>
    </w:p>
    <w:p>
      <w:pPr>
        <w:ind w:firstLine="420"/>
        <w:jc w:val="center"/>
        <w:rPr>
          <w:rFonts w:ascii="黑体" w:hAnsi="黑体" w:eastAsia="黑体"/>
          <w:color w:val="000000" w:themeColor="text1"/>
          <w14:textFill>
            <w14:solidFill>
              <w14:schemeClr w14:val="tx1"/>
            </w14:solidFill>
          </w14:textFill>
        </w:rPr>
      </w:pPr>
      <w:r>
        <w:rPr>
          <w:rFonts w:hint="eastAsia" w:ascii="黑体" w:hAnsi="黑体" w:eastAsia="黑体" w:cs="宋体"/>
          <w:bCs/>
          <w:color w:val="000000" w:themeColor="text1"/>
          <w:kern w:val="0"/>
          <w:sz w:val="21"/>
          <w14:textFill>
            <w14:solidFill>
              <w14:schemeClr w14:val="tx1"/>
            </w14:solidFill>
          </w14:textFill>
        </w:rPr>
        <w:t>专栏</w:t>
      </w:r>
      <w:r>
        <w:rPr>
          <w:rFonts w:ascii="黑体" w:hAnsi="黑体" w:eastAsia="黑体" w:cs="宋体"/>
          <w:bCs/>
          <w:color w:val="000000" w:themeColor="text1"/>
          <w:kern w:val="0"/>
          <w:sz w:val="21"/>
          <w14:textFill>
            <w14:solidFill>
              <w14:schemeClr w14:val="tx1"/>
            </w14:solidFill>
          </w14:textFill>
        </w:rPr>
        <w:t>7</w:t>
      </w:r>
      <w:r>
        <w:rPr>
          <w:rFonts w:hint="eastAsia" w:ascii="黑体" w:hAnsi="黑体" w:eastAsia="黑体" w:cs="宋体"/>
          <w:bCs/>
          <w:color w:val="000000" w:themeColor="text1"/>
          <w:kern w:val="0"/>
          <w:sz w:val="21"/>
          <w14:textFill>
            <w14:solidFill>
              <w14:schemeClr w14:val="tx1"/>
            </w14:solidFill>
          </w14:textFill>
        </w:rPr>
        <w:t xml:space="preserve">  提升文旅接待品质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楷体" w:hAnsi="楷体" w:eastAsia="楷体" w:cs="宋体"/>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重点项目</w:t>
            </w:r>
            <w:r>
              <w:rPr>
                <w:rFonts w:hint="eastAsia" w:ascii="楷体" w:hAnsi="楷体" w:eastAsia="楷体" w:cs="宋体"/>
                <w:color w:val="000000" w:themeColor="text1"/>
                <w:kern w:val="0"/>
                <w:sz w:val="21"/>
                <w14:textFill>
                  <w14:solidFill>
                    <w14:schemeClr w14:val="tx1"/>
                  </w14:solidFill>
                </w14:textFill>
              </w:rPr>
              <w:t>：</w:t>
            </w:r>
          </w:p>
          <w:p>
            <w:pPr>
              <w:ind w:firstLine="422"/>
              <w:rPr>
                <w:rFonts w:ascii="楷体" w:hAnsi="楷体" w:eastAsia="楷体" w:cs="宋体"/>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云阳高品质接待提升工程。</w:t>
            </w:r>
            <w:r>
              <w:rPr>
                <w:rFonts w:hint="eastAsia" w:ascii="楷体" w:hAnsi="楷体" w:eastAsia="楷体" w:cs="宋体"/>
                <w:color w:val="000000" w:themeColor="text1"/>
                <w:kern w:val="0"/>
                <w:sz w:val="21"/>
                <w14:textFill>
                  <w14:solidFill>
                    <w14:schemeClr w14:val="tx1"/>
                  </w14:solidFill>
                </w14:textFill>
              </w:rPr>
              <w:t>动态培育 “三个十”餐饮品牌、</w:t>
            </w:r>
            <w:r>
              <w:rPr>
                <w:rFonts w:hint="eastAsia" w:ascii="楷体" w:hAnsi="楷体" w:eastAsia="楷体" w:cs="宋体"/>
                <w:bCs/>
                <w:color w:val="000000" w:themeColor="text1"/>
                <w:kern w:val="0"/>
                <w:sz w:val="21"/>
                <w14:textFill>
                  <w14:solidFill>
                    <w14:schemeClr w14:val="tx1"/>
                  </w14:solidFill>
                </w14:textFill>
              </w:rPr>
              <w:t>完成云阳高星级（三星级以上）酒店建设培育、云阳低星级饭店升星培育、云阳特色民宿体系建设、云阳自驾车营地及帐篷自助营地项目建设。</w:t>
            </w:r>
          </w:p>
          <w:p>
            <w:pPr>
              <w:ind w:firstLine="422"/>
              <w:rPr>
                <w:rFonts w:ascii="楷体" w:hAnsi="楷体" w:eastAsia="楷体" w:cs="宋体"/>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云阳消费试点城市创建工程。</w:t>
            </w:r>
            <w:r>
              <w:rPr>
                <w:rFonts w:hint="eastAsia" w:ascii="楷体" w:hAnsi="楷体" w:eastAsia="楷体" w:cs="宋体"/>
                <w:bCs/>
                <w:color w:val="000000" w:themeColor="text1"/>
                <w:kern w:val="0"/>
                <w:sz w:val="21"/>
                <w14:textFill>
                  <w14:solidFill>
                    <w14:schemeClr w14:val="tx1"/>
                  </w14:solidFill>
                </w14:textFill>
              </w:rPr>
              <w:t>构建“城区-景区-集散网络”文旅消费集聚区三级系统。整合打造云阳城区“四街四市”，盘活云阳县城成为国家级夜间消费集聚区；依托龙缸景区、普安恐龙公园、江口农业商贸小镇等重要景区打造消费街市。</w:t>
            </w:r>
          </w:p>
        </w:tc>
      </w:tr>
    </w:tbl>
    <w:p>
      <w:pPr>
        <w:pStyle w:val="3"/>
        <w:ind w:firstLine="720"/>
      </w:pPr>
      <w:bookmarkStart w:id="62" w:name="_Toc82624357"/>
      <w:r>
        <w:rPr>
          <w:rFonts w:hint="eastAsia"/>
        </w:rPr>
        <w:t>第十章 升级</w:t>
      </w:r>
      <w:r>
        <w:t>旅游</w:t>
      </w:r>
      <w:r>
        <w:rPr>
          <w:rFonts w:hint="eastAsia"/>
        </w:rPr>
        <w:t>配套</w:t>
      </w:r>
      <w:r>
        <w:t>设施</w:t>
      </w:r>
      <w:bookmarkEnd w:id="62"/>
    </w:p>
    <w:p>
      <w:pPr>
        <w:ind w:firstLine="600"/>
      </w:pPr>
      <w:r>
        <w:rPr>
          <w:rFonts w:hint="eastAsia"/>
        </w:rPr>
        <w:t>推进“旅游＋互联网”深度融合，借力大数据、物联网、云计算、人工智能与5G等数项高新技术，促进旅游配套</w:t>
      </w:r>
      <w:r>
        <w:t>设施</w:t>
      </w:r>
      <w:r>
        <w:rPr>
          <w:rFonts w:hint="eastAsia"/>
        </w:rPr>
        <w:t>智慧化升级，提升旅游配套设施品质。</w:t>
      </w:r>
    </w:p>
    <w:p>
      <w:pPr>
        <w:pStyle w:val="4"/>
        <w:ind w:firstLine="640"/>
      </w:pPr>
      <w:bookmarkStart w:id="63" w:name="_Toc82624358"/>
      <w:bookmarkStart w:id="64" w:name="_Toc69326012"/>
      <w:r>
        <w:rPr>
          <w:rFonts w:hint="eastAsia"/>
        </w:rPr>
        <w:t>第一节 推进云上智慧</w:t>
      </w:r>
      <w:r>
        <w:t>旅游</w:t>
      </w:r>
      <w:r>
        <w:rPr>
          <w:rFonts w:hint="eastAsia"/>
        </w:rPr>
        <w:t>系统</w:t>
      </w:r>
      <w:r>
        <w:t>建设</w:t>
      </w:r>
      <w:bookmarkEnd w:id="63"/>
      <w:bookmarkEnd w:id="64"/>
    </w:p>
    <w:p>
      <w:pPr>
        <w:ind w:firstLine="600"/>
      </w:pPr>
      <w:r>
        <w:rPr>
          <w:rFonts w:hint="eastAsia"/>
        </w:rPr>
        <w:t>以全域文旅数字化为基础，推动云阳智慧旅游试点示范工作，采用“一中枢，两机制，两端口”的整体设计思路，由智慧核心枢纽试点-景区节点-用户终端三级构建成为智慧文旅服务平台。</w:t>
      </w:r>
    </w:p>
    <w:p>
      <w:pPr>
        <w:ind w:firstLine="602"/>
      </w:pPr>
      <w:r>
        <w:rPr>
          <w:rFonts w:hint="eastAsia"/>
          <w:b/>
        </w:rPr>
        <w:t>——建设智慧文旅试点示范项目。</w:t>
      </w:r>
      <w:r>
        <w:rPr>
          <w:rFonts w:hint="eastAsia"/>
        </w:rPr>
        <w:t>打造智慧文旅综合应用平台，积极并入市级平台联网使用。同时鼓励有条件的企业积极建设智慧景区、智慧游船、智慧文博院馆，形成智慧旅游服务体系。</w:t>
      </w:r>
    </w:p>
    <w:p>
      <w:pPr>
        <w:ind w:firstLine="602"/>
      </w:pPr>
      <w:r>
        <w:rPr>
          <w:rFonts w:hint="eastAsia"/>
          <w:b/>
        </w:rPr>
        <w:t>——建立智慧文旅理论和咨询机制。</w:t>
      </w:r>
      <w:r>
        <w:rPr>
          <w:rFonts w:hint="eastAsia"/>
        </w:rPr>
        <w:t>建立与重庆高校及专家教授团队合作机制，通过大数据中心为各级政府和部门提供决策支撑。</w:t>
      </w:r>
    </w:p>
    <w:p>
      <w:pPr>
        <w:ind w:firstLine="602"/>
      </w:pPr>
      <w:r>
        <w:rPr>
          <w:rFonts w:hint="eastAsia"/>
          <w:b/>
        </w:rPr>
        <w:t>——构建大客户应用端</w:t>
      </w:r>
      <w:r>
        <w:rPr>
          <w:rFonts w:hint="eastAsia"/>
        </w:rPr>
        <w:t>。建立健全旅游信息综合发布平台和云阳旅游手机APP及公众号，推进APP在微信公众号、官方微博、抖音、WEB广泛应用。为游客提供便利及时的公共旅游信息服务。</w:t>
      </w:r>
    </w:p>
    <w:p>
      <w:pPr>
        <w:ind w:firstLine="602"/>
      </w:pPr>
      <w:r>
        <w:rPr>
          <w:rFonts w:hint="eastAsia"/>
          <w:b/>
        </w:rPr>
        <w:t>——构建微文旅管理端。</w:t>
      </w:r>
      <w:r>
        <w:rPr>
          <w:rFonts w:hint="eastAsia"/>
        </w:rPr>
        <w:t>引进国内先进数据平台，打造文旅智慧城市监管中心，对全县各级公共文旅服务窗口运行情况进行实时监管，开展公众满意度调查反馈，以公众监督倒逼服务效能提升。</w:t>
      </w:r>
    </w:p>
    <w:p>
      <w:pPr>
        <w:pStyle w:val="4"/>
        <w:ind w:firstLine="640"/>
      </w:pPr>
      <w:bookmarkStart w:id="65" w:name="_Toc82624359"/>
      <w:r>
        <w:rPr>
          <w:rFonts w:hint="eastAsia" w:ascii="方正黑体_GBK" w:hAnsi="方正黑体_GBK" w:cs="方正黑体_GBK"/>
          <w:szCs w:val="20"/>
        </w:rPr>
        <w:t xml:space="preserve">第二节 </w:t>
      </w:r>
      <w:r>
        <w:rPr>
          <w:rFonts w:hint="eastAsia"/>
        </w:rPr>
        <w:t>升级全域智慧集散系统</w:t>
      </w:r>
      <w:bookmarkEnd w:id="65"/>
    </w:p>
    <w:p>
      <w:pPr>
        <w:ind w:firstLine="600"/>
      </w:pPr>
      <w:r>
        <w:rPr>
          <w:rFonts w:hint="eastAsia"/>
        </w:rPr>
        <w:t>围绕旅游产品空间结构，结合水陆空铁干线交通，构建“一心两极多节点，两轴两环多支线”的集散路网体系，全面提升云阳旅游品质。</w:t>
      </w:r>
    </w:p>
    <w:p>
      <w:pPr>
        <w:ind w:firstLine="602"/>
        <w:rPr>
          <w:color w:val="FF0000"/>
        </w:rPr>
      </w:pPr>
      <w:r>
        <w:rPr>
          <w:rFonts w:hint="eastAsia"/>
          <w:b/>
        </w:rPr>
        <w:t>——构建“一心两极多节点”文旅集散体系。</w:t>
      </w:r>
      <w:r>
        <w:rPr>
          <w:rFonts w:hint="eastAsia"/>
        </w:rPr>
        <w:t>以黄石游客集散中心为核心，建成集旅游接待、形象展示、会议展览推广等综合业务于一体的功能服务区作为云阳集散中心，以江南新区、龙普新区为发展极点，清水、上坝、凤鸣等乡镇为重要节点，构建云阳文旅集散体系。</w:t>
      </w:r>
    </w:p>
    <w:p>
      <w:pPr>
        <w:ind w:firstLine="602"/>
      </w:pPr>
      <w:r>
        <w:rPr>
          <w:rFonts w:hint="eastAsia"/>
          <w:b/>
        </w:rPr>
        <w:t>——完善“两轴两环多支线”全域旅游路网。</w:t>
      </w:r>
      <w:r>
        <w:rPr>
          <w:rFonts w:hint="eastAsia"/>
        </w:rPr>
        <w:t>围绕铁公水空“四位一体”交通体系基础，依托集散网络体系，重点提升云阳县红狮-故陵-云峰高速、云阳至万州江北沿江快速通道、江口公路升级改造工程等六条城区联接线。全面升级各大景区和乡村旅游点的旅游公路。</w:t>
      </w:r>
    </w:p>
    <w:p>
      <w:pPr>
        <w:ind w:firstLine="602"/>
      </w:pPr>
      <w:r>
        <w:rPr>
          <w:rFonts w:hint="eastAsia"/>
          <w:b/>
        </w:rPr>
        <w:t>——提升集散服务水平。</w:t>
      </w:r>
      <w:r>
        <w:rPr>
          <w:rFonts w:hint="eastAsia"/>
        </w:rPr>
        <w:t>实施“水陆联动”旅游交通战略体系，升级江口、普安两大重点码头，建设“水陆零换乘中心”，连接上级路网节点建设“1+2+n”的客运枢纽体系。注重客运集散点游客服务品质提升，建立健全综合管理协调机制，设立投诉机构和投诉电话，定期举行安全培训和宣传。</w:t>
      </w:r>
    </w:p>
    <w:p>
      <w:pPr>
        <w:pStyle w:val="4"/>
        <w:ind w:firstLine="640"/>
      </w:pPr>
      <w:bookmarkStart w:id="66" w:name="_Toc82624360"/>
      <w:r>
        <w:rPr>
          <w:rFonts w:hint="eastAsia" w:ascii="方正黑体_GBK" w:hAnsi="方正黑体_GBK" w:cs="方正黑体_GBK"/>
          <w:szCs w:val="20"/>
        </w:rPr>
        <w:t xml:space="preserve">第三节 </w:t>
      </w:r>
      <w:r>
        <w:rPr>
          <w:rFonts w:hint="eastAsia"/>
        </w:rPr>
        <w:t>升级全域智慧导览系统</w:t>
      </w:r>
      <w:bookmarkEnd w:id="66"/>
    </w:p>
    <w:p>
      <w:pPr>
        <w:ind w:firstLine="602"/>
      </w:pPr>
      <w:r>
        <w:rPr>
          <w:rFonts w:hint="eastAsia"/>
          <w:b/>
        </w:rPr>
        <w:t>——推进景区内外导览设施提升。</w:t>
      </w:r>
      <w:r>
        <w:rPr>
          <w:rFonts w:hint="eastAsia"/>
        </w:rPr>
        <w:t>实施旅游标识导向工程，完成云阳全域旅游全景导游图，完成旅游交通指引标识系统和旅游区导览标识系统标准化改造。</w:t>
      </w:r>
      <w:r>
        <w:rPr>
          <w:rFonts w:hint="eastAsia" w:ascii="方正仿宋_GBK"/>
          <w:szCs w:val="28"/>
        </w:rPr>
        <w:t>整合升级“云阳文旅”微信公众号，实现旅游产品线上订购，景区景点、酒店民宿等查询及导航等功能</w:t>
      </w:r>
      <w:r>
        <w:rPr>
          <w:rFonts w:hint="eastAsia"/>
        </w:rPr>
        <w:t>，实现</w:t>
      </w:r>
      <w:r>
        <w:rPr>
          <w:rFonts w:hint="eastAsia" w:ascii="方正仿宋_GBK"/>
          <w:szCs w:val="28"/>
        </w:rPr>
        <w:t>“一部手机游云阳”。</w:t>
      </w:r>
    </w:p>
    <w:p>
      <w:pPr>
        <w:ind w:firstLine="602"/>
      </w:pPr>
      <w:r>
        <w:rPr>
          <w:rFonts w:hint="eastAsia"/>
          <w:b/>
        </w:rPr>
        <w:t>——实施环卫设施建设工程。</w:t>
      </w:r>
      <w:r>
        <w:rPr>
          <w:rFonts w:hint="eastAsia" w:ascii="方正仿宋_GBK"/>
          <w:szCs w:val="28"/>
        </w:rPr>
        <w:t>管好、用好现有旅游厕所，严格落实旅游厕所属事、属地管理责任，</w:t>
      </w:r>
      <w:r>
        <w:rPr>
          <w:rFonts w:hint="eastAsia" w:ascii="仿宋" w:hAnsi="仿宋" w:eastAsia="仿宋"/>
        </w:rPr>
        <w:t>实现A级及以上景区旅游厕所全面纳入“全国旅游厕所管理系统”管理。高标准建设示范性厕所10座。</w:t>
      </w:r>
      <w:r>
        <w:rPr>
          <w:rFonts w:hint="eastAsia"/>
        </w:rPr>
        <w:t>在各景区、景点、度假区按照标准化、主题化的环卫要求设置分类垃圾箱。</w:t>
      </w:r>
      <w:r>
        <w:rPr>
          <w:rFonts w:hint="eastAsia" w:ascii="方正仿宋_GBK" w:hAnsi="方正仿宋_GBK"/>
          <w:bCs/>
        </w:rPr>
        <w:t>投放分类垃圾回收箱“小黄狗”，实现游客自助垃圾分类投放。</w:t>
      </w:r>
    </w:p>
    <w:p>
      <w:pPr>
        <w:ind w:firstLine="602"/>
      </w:pPr>
      <w:r>
        <w:rPr>
          <w:rFonts w:hint="eastAsia" w:ascii="方正仿宋_GBK" w:hAnsi="方正仿宋_GBK"/>
          <w:b/>
          <w:bCs/>
        </w:rPr>
        <w:t>——持续推进景区智慧化建设。</w:t>
      </w:r>
      <w:r>
        <w:rPr>
          <w:rFonts w:hint="eastAsia" w:ascii="方正仿宋_GBK" w:hAnsi="方正仿宋_GBK"/>
          <w:bCs/>
        </w:rPr>
        <w:t>健全景区预约和流量管控措施，搭建景区预约服务平台、电子门禁系统、流量信息发布系统等，实现精准控流。构建景区大数据分析应用平台，开展数字化信息采集，统筹景区智慧体系平台建设。</w:t>
      </w:r>
      <w:r>
        <w:rPr>
          <w:rFonts w:hint="eastAsia"/>
        </w:rPr>
        <w:t>推进景区红外、云台监控建设，实现景区灾害预警和消防预警。</w:t>
      </w:r>
    </w:p>
    <w:p>
      <w:pPr>
        <w:pStyle w:val="4"/>
        <w:ind w:firstLine="640"/>
      </w:pPr>
      <w:bookmarkStart w:id="67" w:name="_Toc82624361"/>
      <w:r>
        <w:rPr>
          <w:rFonts w:hint="eastAsia"/>
        </w:rPr>
        <w:t>第四节 推进旅游区服务设施升级</w:t>
      </w:r>
    </w:p>
    <w:p>
      <w:pPr>
        <w:ind w:firstLine="600"/>
      </w:pPr>
      <w:r>
        <w:rPr>
          <w:rFonts w:hint="eastAsia"/>
        </w:rPr>
        <w:t>以A级旅游景区、省级/国家级旅游度假区创建为抓手，全面推进各类旅游区服务设施升级。</w:t>
      </w:r>
      <w:bookmarkEnd w:id="67"/>
    </w:p>
    <w:p>
      <w:pPr>
        <w:ind w:firstLine="602"/>
      </w:pPr>
      <w:r>
        <w:rPr>
          <w:rFonts w:hint="eastAsia"/>
          <w:b/>
        </w:rPr>
        <w:t>——推进A级旅游景区评定工作。</w:t>
      </w:r>
      <w:r>
        <w:rPr>
          <w:rFonts w:hint="eastAsia"/>
        </w:rPr>
        <w:t>按照《旅游景区质量等级评定管理办法》（国家旅游局局令23号）重点推进云阳张飞庙景区创5</w:t>
      </w:r>
      <w:r>
        <w:t>A工作</w:t>
      </w:r>
      <w:r>
        <w:rPr>
          <w:rFonts w:hint="eastAsia"/>
        </w:rPr>
        <w:t>，</w:t>
      </w:r>
      <w:r>
        <w:t>推动</w:t>
      </w:r>
      <w:r>
        <w:rPr>
          <w:rFonts w:hint="eastAsia"/>
        </w:rPr>
        <w:t>环湖绿道、泥溪三峡农耕园、凤鸣彭氏宗祠、博物馆（新馆）创4</w:t>
      </w:r>
      <w:r>
        <w:t>A工作</w:t>
      </w:r>
      <w:r>
        <w:rPr>
          <w:rFonts w:hint="eastAsia"/>
        </w:rPr>
        <w:t>，</w:t>
      </w:r>
      <w:r>
        <w:t>推动</w:t>
      </w:r>
      <w:r>
        <w:rPr>
          <w:rFonts w:hint="eastAsia"/>
        </w:rPr>
        <w:t>盘龙三峡阳菊生态农业园、南溪绿岛景区、双土映山红森林公园、江口生态农业园和红狮彭咏梧纪念馆等1</w:t>
      </w:r>
      <w:r>
        <w:t>3个景区升</w:t>
      </w:r>
      <w:r>
        <w:rPr>
          <w:rFonts w:hint="eastAsia"/>
        </w:rPr>
        <w:t>3</w:t>
      </w:r>
      <w:r>
        <w:t>A工作</w:t>
      </w:r>
      <w:r>
        <w:rPr>
          <w:rFonts w:hint="eastAsia"/>
        </w:rPr>
        <w:t>，打造层级丰富的A级旅游景区集群。</w:t>
      </w:r>
    </w:p>
    <w:p>
      <w:pPr>
        <w:ind w:firstLine="602"/>
      </w:pPr>
      <w:r>
        <w:rPr>
          <w:rFonts w:hint="eastAsia"/>
          <w:b/>
        </w:rPr>
        <w:t>——推进旅游度假区创建工作。</w:t>
      </w:r>
      <w:r>
        <w:rPr>
          <w:rFonts w:hint="eastAsia"/>
        </w:rPr>
        <w:t>按照《旅游景区质量等级的划分与评定》国家标准（GB/T17775-2003）的相关评定标准，推动清水旅游度假区创建为国家级旅游度假区，推动上坝锣鼓宕景区、农坝云峰山景区创建为市级旅游度假区。</w:t>
      </w:r>
    </w:p>
    <w:p>
      <w:pPr>
        <w:pStyle w:val="7"/>
        <w:ind w:firstLine="420"/>
        <w:jc w:val="center"/>
        <w:rPr>
          <w:rFonts w:ascii="黑体" w:hAnsi="黑体" w:eastAsia="黑体"/>
          <w:color w:val="000000" w:themeColor="text1"/>
          <w14:textFill>
            <w14:solidFill>
              <w14:schemeClr w14:val="tx1"/>
            </w14:solidFill>
          </w14:textFill>
        </w:rPr>
      </w:pPr>
      <w:r>
        <w:rPr>
          <w:rFonts w:hint="eastAsia" w:ascii="黑体" w:hAnsi="黑体" w:eastAsia="黑体" w:cs="仿宋"/>
          <w:bCs/>
          <w:color w:val="000000" w:themeColor="text1"/>
          <w:sz w:val="21"/>
          <w14:textFill>
            <w14:solidFill>
              <w14:schemeClr w14:val="tx1"/>
            </w14:solidFill>
          </w14:textFill>
        </w:rPr>
        <w:t>专栏</w:t>
      </w:r>
      <w:r>
        <w:rPr>
          <w:rFonts w:ascii="黑体" w:hAnsi="黑体" w:eastAsia="黑体" w:cs="仿宋"/>
          <w:bCs/>
          <w:color w:val="000000" w:themeColor="text1"/>
          <w:sz w:val="21"/>
          <w14:textFill>
            <w14:solidFill>
              <w14:schemeClr w14:val="tx1"/>
            </w14:solidFill>
          </w14:textFill>
        </w:rPr>
        <w:t xml:space="preserve">8 </w:t>
      </w:r>
      <w:r>
        <w:rPr>
          <w:rFonts w:hint="eastAsia" w:ascii="黑体" w:hAnsi="黑体" w:eastAsia="黑体" w:cs="仿宋"/>
          <w:bCs/>
          <w:color w:val="000000" w:themeColor="text1"/>
          <w:sz w:val="21"/>
          <w14:textFill>
            <w14:solidFill>
              <w14:schemeClr w14:val="tx1"/>
            </w14:solidFill>
          </w14:textFill>
        </w:rPr>
        <w:t>升级旅游配套设施</w:t>
      </w:r>
      <w:r>
        <w:rPr>
          <w:rFonts w:ascii="黑体" w:hAnsi="黑体" w:eastAsia="黑体" w:cs="仿宋"/>
          <w:bCs/>
          <w:color w:val="000000" w:themeColor="text1"/>
          <w:sz w:val="21"/>
          <w14:textFill>
            <w14:solidFill>
              <w14:schemeClr w14:val="tx1"/>
            </w14:solidFill>
          </w14:textFill>
        </w:rPr>
        <w:tab/>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6"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楷体" w:hAnsi="楷体" w:eastAsia="楷体" w:cs="宋体"/>
                <w:b/>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重点项目：</w:t>
            </w:r>
          </w:p>
          <w:p>
            <w:pPr>
              <w:widowControl/>
              <w:ind w:firstLine="422"/>
              <w:jc w:val="left"/>
              <w:rPr>
                <w:rFonts w:ascii="楷体" w:hAnsi="楷体" w:eastAsia="楷体" w:cs="宋体"/>
                <w:color w:val="000000" w:themeColor="text1"/>
                <w:kern w:val="0"/>
                <w:sz w:val="21"/>
                <w:szCs w:val="21"/>
                <w14:textFill>
                  <w14:solidFill>
                    <w14:schemeClr w14:val="tx1"/>
                  </w14:solidFill>
                </w14:textFill>
              </w:rPr>
            </w:pPr>
            <w:r>
              <w:rPr>
                <w:rFonts w:hint="eastAsia" w:ascii="楷体" w:hAnsi="楷体" w:eastAsia="楷体" w:cs="宋体"/>
                <w:b/>
                <w:bCs/>
                <w:color w:val="000000" w:themeColor="text1"/>
                <w:kern w:val="0"/>
                <w:sz w:val="21"/>
                <w:szCs w:val="21"/>
                <w14:textFill>
                  <w14:solidFill>
                    <w14:schemeClr w14:val="tx1"/>
                  </w14:solidFill>
                </w14:textFill>
              </w:rPr>
              <w:t>“一心两极多节点”集散体系。</w:t>
            </w:r>
            <w:r>
              <w:rPr>
                <w:rFonts w:hint="eastAsia" w:ascii="楷体" w:hAnsi="楷体" w:eastAsia="楷体" w:cs="宋体"/>
                <w:bCs/>
                <w:color w:val="000000" w:themeColor="text1"/>
                <w:kern w:val="0"/>
                <w:sz w:val="21"/>
                <w:szCs w:val="21"/>
                <w14:textFill>
                  <w14:solidFill>
                    <w14:schemeClr w14:val="tx1"/>
                  </w14:solidFill>
                </w14:textFill>
              </w:rPr>
              <w:t>推进</w:t>
            </w:r>
            <w:r>
              <w:rPr>
                <w:rFonts w:hint="eastAsia" w:ascii="楷体" w:hAnsi="楷体" w:eastAsia="楷体" w:cs="宋体"/>
                <w:color w:val="000000" w:themeColor="text1"/>
                <w:kern w:val="0"/>
                <w:sz w:val="21"/>
                <w:szCs w:val="21"/>
                <w14:textFill>
                  <w14:solidFill>
                    <w14:schemeClr w14:val="tx1"/>
                  </w14:solidFill>
                </w14:textFill>
              </w:rPr>
              <w:t>黄石游客集散中心建设、江南新区集散节点建设、龙普新区集散节点建设，上坝、龙凤台和龙缸景区集散点建设。</w:t>
            </w:r>
          </w:p>
          <w:p>
            <w:pPr>
              <w:widowControl/>
              <w:ind w:firstLine="422"/>
              <w:jc w:val="left"/>
              <w:rPr>
                <w:rFonts w:ascii="楷体" w:hAnsi="楷体" w:eastAsia="楷体" w:cs="宋体"/>
                <w:color w:val="000000" w:themeColor="text1"/>
                <w:kern w:val="0"/>
                <w:sz w:val="21"/>
                <w:szCs w:val="21"/>
                <w14:textFill>
                  <w14:solidFill>
                    <w14:schemeClr w14:val="tx1"/>
                  </w14:solidFill>
                </w14:textFill>
              </w:rPr>
            </w:pPr>
            <w:r>
              <w:rPr>
                <w:rFonts w:hint="eastAsia" w:ascii="楷体" w:hAnsi="楷体" w:eastAsia="楷体" w:cs="宋体"/>
                <w:b/>
                <w:bCs/>
                <w:color w:val="000000" w:themeColor="text1"/>
                <w:kern w:val="0"/>
                <w:sz w:val="21"/>
                <w:szCs w:val="21"/>
                <w14:textFill>
                  <w14:solidFill>
                    <w14:schemeClr w14:val="tx1"/>
                  </w14:solidFill>
                </w14:textFill>
              </w:rPr>
              <w:t>云阳客运枢纽体系。</w:t>
            </w:r>
            <w:r>
              <w:rPr>
                <w:rFonts w:hint="eastAsia" w:ascii="楷体" w:hAnsi="楷体" w:eastAsia="楷体" w:cs="宋体"/>
                <w:color w:val="000000" w:themeColor="text1"/>
                <w:kern w:val="0"/>
                <w:sz w:val="21"/>
                <w:szCs w:val="21"/>
                <w14:textFill>
                  <w14:solidFill>
                    <w14:schemeClr w14:val="tx1"/>
                  </w14:solidFill>
                </w14:textFill>
              </w:rPr>
              <w:t>江口码头升级项目、普安重点旅游码头升级项目。</w:t>
            </w:r>
          </w:p>
          <w:p>
            <w:pPr>
              <w:widowControl/>
              <w:ind w:firstLine="422"/>
              <w:jc w:val="left"/>
              <w:rPr>
                <w:rFonts w:ascii="楷体" w:hAnsi="楷体" w:eastAsia="楷体" w:cs="宋体"/>
                <w:color w:val="000000" w:themeColor="text1"/>
                <w:kern w:val="0"/>
                <w:sz w:val="21"/>
                <w:szCs w:val="21"/>
                <w14:textFill>
                  <w14:solidFill>
                    <w14:schemeClr w14:val="tx1"/>
                  </w14:solidFill>
                </w14:textFill>
              </w:rPr>
            </w:pPr>
            <w:r>
              <w:rPr>
                <w:rFonts w:hint="eastAsia" w:ascii="楷体" w:hAnsi="楷体" w:eastAsia="楷体" w:cs="宋体"/>
                <w:b/>
                <w:bCs/>
                <w:color w:val="000000" w:themeColor="text1"/>
                <w:kern w:val="0"/>
                <w:sz w:val="21"/>
                <w:szCs w:val="21"/>
                <w14:textFill>
                  <w14:solidFill>
                    <w14:schemeClr w14:val="tx1"/>
                  </w14:solidFill>
                </w14:textFill>
              </w:rPr>
              <w:t>旅游标识。</w:t>
            </w:r>
            <w:r>
              <w:rPr>
                <w:rFonts w:hint="eastAsia" w:ascii="楷体" w:hAnsi="楷体" w:eastAsia="楷体" w:cs="宋体"/>
                <w:color w:val="000000" w:themeColor="text1"/>
                <w:kern w:val="0"/>
                <w:sz w:val="21"/>
                <w:szCs w:val="21"/>
                <w14:textFill>
                  <w14:solidFill>
                    <w14:schemeClr w14:val="tx1"/>
                  </w14:solidFill>
                </w14:textFill>
              </w:rPr>
              <w:t>云阳旅游标识建设升级项目。</w:t>
            </w:r>
          </w:p>
          <w:p>
            <w:pPr>
              <w:widowControl/>
              <w:ind w:firstLine="422"/>
              <w:jc w:val="left"/>
              <w:rPr>
                <w:rFonts w:ascii="楷体" w:hAnsi="楷体" w:eastAsia="楷体" w:cs="宋体"/>
                <w:color w:val="000000" w:themeColor="text1"/>
                <w:kern w:val="0"/>
                <w:sz w:val="21"/>
                <w:szCs w:val="21"/>
                <w14:textFill>
                  <w14:solidFill>
                    <w14:schemeClr w14:val="tx1"/>
                  </w14:solidFill>
                </w14:textFill>
              </w:rPr>
            </w:pPr>
            <w:r>
              <w:rPr>
                <w:rFonts w:hint="eastAsia" w:ascii="楷体" w:hAnsi="楷体" w:eastAsia="楷体" w:cs="宋体"/>
                <w:b/>
                <w:bCs/>
                <w:color w:val="000000" w:themeColor="text1"/>
                <w:kern w:val="0"/>
                <w:sz w:val="21"/>
                <w:szCs w:val="21"/>
                <w14:textFill>
                  <w14:solidFill>
                    <w14:schemeClr w14:val="tx1"/>
                  </w14:solidFill>
                </w14:textFill>
              </w:rPr>
              <w:t>云阳景区“100A”创建。</w:t>
            </w:r>
            <w:r>
              <w:rPr>
                <w:rFonts w:hint="eastAsia" w:ascii="楷体" w:hAnsi="楷体" w:eastAsia="楷体" w:cs="宋体"/>
                <w:color w:val="000000" w:themeColor="text1"/>
                <w:kern w:val="0"/>
                <w:sz w:val="21"/>
                <w:szCs w:val="21"/>
                <w14:textFill>
                  <w14:solidFill>
                    <w14:schemeClr w14:val="tx1"/>
                  </w14:solidFill>
                </w14:textFill>
              </w:rPr>
              <w:t>云阳低A景区升项目、云阳景区创A项目。</w:t>
            </w:r>
          </w:p>
          <w:p>
            <w:pPr>
              <w:widowControl/>
              <w:ind w:firstLine="422"/>
              <w:jc w:val="left"/>
              <w:rPr>
                <w:rFonts w:ascii="楷体" w:hAnsi="楷体" w:eastAsia="楷体" w:cs="宋体"/>
                <w:color w:val="000000" w:themeColor="text1"/>
                <w:kern w:val="0"/>
                <w:sz w:val="21"/>
                <w:szCs w:val="21"/>
                <w14:textFill>
                  <w14:solidFill>
                    <w14:schemeClr w14:val="tx1"/>
                  </w14:solidFill>
                </w14:textFill>
              </w:rPr>
            </w:pPr>
            <w:r>
              <w:rPr>
                <w:rFonts w:hint="eastAsia" w:ascii="楷体" w:hAnsi="楷体" w:eastAsia="楷体" w:cs="宋体"/>
                <w:b/>
                <w:bCs/>
                <w:color w:val="000000" w:themeColor="text1"/>
                <w:kern w:val="0"/>
                <w:sz w:val="21"/>
                <w:szCs w:val="21"/>
                <w14:textFill>
                  <w14:solidFill>
                    <w14:schemeClr w14:val="tx1"/>
                  </w14:solidFill>
                </w14:textFill>
              </w:rPr>
              <w:t>云阳智慧文旅试点。</w:t>
            </w:r>
            <w:r>
              <w:rPr>
                <w:rFonts w:hint="eastAsia" w:ascii="楷体" w:hAnsi="楷体" w:eastAsia="楷体" w:cs="宋体"/>
                <w:bCs/>
                <w:color w:val="000000" w:themeColor="text1"/>
                <w:kern w:val="0"/>
                <w:sz w:val="21"/>
                <w:szCs w:val="21"/>
                <w14:textFill>
                  <w14:solidFill>
                    <w14:schemeClr w14:val="tx1"/>
                  </w14:solidFill>
                </w14:textFill>
              </w:rPr>
              <w:t>构建</w:t>
            </w:r>
            <w:r>
              <w:rPr>
                <w:rFonts w:hint="eastAsia" w:ascii="楷体" w:hAnsi="楷体" w:eastAsia="楷体" w:cs="宋体"/>
                <w:color w:val="000000" w:themeColor="text1"/>
                <w:kern w:val="0"/>
                <w:sz w:val="21"/>
                <w:szCs w:val="21"/>
                <w14:textFill>
                  <w14:solidFill>
                    <w14:schemeClr w14:val="tx1"/>
                  </w14:solidFill>
                </w14:textFill>
              </w:rPr>
              <w:t>黄石智慧文旅试点建设项目，实施旅游信息互动终端设施全覆盖。</w:t>
            </w:r>
          </w:p>
        </w:tc>
      </w:tr>
    </w:tbl>
    <w:p>
      <w:pPr>
        <w:pStyle w:val="3"/>
        <w:ind w:firstLine="720"/>
      </w:pPr>
      <w:bookmarkStart w:id="68" w:name="_Toc82624362"/>
      <w:r>
        <w:rPr>
          <w:rFonts w:hint="eastAsia"/>
        </w:rPr>
        <w:t>第十一章 加强文旅品牌营销</w:t>
      </w:r>
      <w:bookmarkEnd w:id="68"/>
    </w:p>
    <w:p>
      <w:pPr>
        <w:ind w:firstLine="600"/>
      </w:pPr>
      <w:r>
        <w:t>统一文旅营销形象，联动巴蜀文化旅游走廊、长江三峡国际黄金旅游带和大巴山区域，推动云阳与周边</w:t>
      </w:r>
      <w:r>
        <w:rPr>
          <w:rFonts w:hint="eastAsia"/>
        </w:rPr>
        <w:t>地区</w:t>
      </w:r>
      <w:r>
        <w:t>有效合作、互惠共赢</w:t>
      </w:r>
      <w:r>
        <w:rPr>
          <w:rFonts w:hint="eastAsia"/>
        </w:rPr>
        <w:t>。</w:t>
      </w:r>
    </w:p>
    <w:p>
      <w:pPr>
        <w:pStyle w:val="4"/>
        <w:ind w:firstLine="640"/>
      </w:pPr>
      <w:bookmarkStart w:id="69" w:name="_Toc82624363"/>
      <w:r>
        <w:rPr>
          <w:rFonts w:hint="eastAsia"/>
        </w:rPr>
        <w:t>第一节 构建特色主题产品</w:t>
      </w:r>
      <w:bookmarkEnd w:id="69"/>
    </w:p>
    <w:p>
      <w:pPr>
        <w:ind w:firstLine="602"/>
        <w:rPr>
          <w:b/>
        </w:rPr>
      </w:pPr>
      <w:r>
        <w:rPr>
          <w:rFonts w:hint="eastAsia"/>
          <w:b/>
        </w:rPr>
        <w:t>——三峡旅游人文城市游。</w:t>
      </w:r>
      <w:r>
        <w:rPr>
          <w:rFonts w:hint="eastAsia"/>
        </w:rPr>
        <w:t>依托云阳县城三峡梯城、张飞庙和环湖绿道核心资源，联动云阳旧城、巴阳隔江城、云安古城、水口数智城和栖霞宫等具有人文历史气息的乡镇街道，为寻访三峡游客展现云阳三峡城市的古今历史。</w:t>
      </w:r>
    </w:p>
    <w:p>
      <w:pPr>
        <w:ind w:firstLine="602"/>
        <w:rPr>
          <w:b/>
        </w:rPr>
      </w:pPr>
      <w:r>
        <w:rPr>
          <w:rFonts w:hint="eastAsia"/>
          <w:b/>
        </w:rPr>
        <w:t>——七曜山-山地康体度假游。</w:t>
      </w:r>
      <w:r>
        <w:rPr>
          <w:rFonts w:hint="eastAsia"/>
        </w:rPr>
        <w:t>以云阳南部七曜山山地资源为依托，联动龙缸、岐山草原、侏罗纪恐龙公园等核心景点，串联新津、堰坪、蔈草、清水等乡镇构建山地运动康体度假产品。</w:t>
      </w:r>
    </w:p>
    <w:p>
      <w:pPr>
        <w:ind w:firstLine="602"/>
      </w:pPr>
      <w:r>
        <w:rPr>
          <w:rFonts w:hint="eastAsia"/>
          <w:b/>
        </w:rPr>
        <w:t>——大巴山-生态康养度假游。</w:t>
      </w:r>
      <w:r>
        <w:rPr>
          <w:rFonts w:hint="eastAsia"/>
        </w:rPr>
        <w:t>以云阳北部大巴山生态资源为依托，联动云峰山、锣鼓宕等核心景点，串联上坝、沙市、鱼泉和农坝镇构建山地生态康养度假产品。</w:t>
      </w:r>
    </w:p>
    <w:p>
      <w:pPr>
        <w:ind w:firstLine="602"/>
        <w:rPr>
          <w:b/>
        </w:rPr>
      </w:pPr>
      <w:r>
        <w:rPr>
          <w:rFonts w:hint="eastAsia"/>
          <w:b/>
        </w:rPr>
        <w:t>——恐龙地质奇观研学田园游。</w:t>
      </w:r>
      <w:r>
        <w:rPr>
          <w:rFonts w:hint="eastAsia"/>
        </w:rPr>
        <w:t>以云阳南部地质奇观为主题，形成以龙缸景区和侏罗纪恐龙公园为核心景点，串联云阳南部凤鸣、宝坪、普安、龙角、蔈草、泥溪等乡镇街道的乡村旅游资源，构建以地质奇观为主、田园休闲为辅的</w:t>
      </w:r>
      <w:r>
        <w:t>主题</w:t>
      </w:r>
      <w:r>
        <w:rPr>
          <w:rFonts w:hint="eastAsia"/>
        </w:rPr>
        <w:t>产品。</w:t>
      </w:r>
    </w:p>
    <w:p>
      <w:pPr>
        <w:ind w:firstLine="602"/>
      </w:pPr>
      <w:r>
        <w:rPr>
          <w:rFonts w:hint="eastAsia"/>
          <w:b/>
        </w:rPr>
        <w:t>——三峡山地生态民俗田园游。</w:t>
      </w:r>
      <w:r>
        <w:rPr>
          <w:rFonts w:hint="eastAsia"/>
        </w:rPr>
        <w:t>以云阳北部人文农业为主题，形成以云安古镇、高阳湖、无量山、高祖庙等为核心景点，串联云阳北部人和、巴阳、平安、养鹿、高阳、云阳、双土、桑坪等乡镇的乡村旅游资源，构建山地人文生态田园主题产品。</w:t>
      </w:r>
    </w:p>
    <w:p>
      <w:pPr>
        <w:pStyle w:val="4"/>
        <w:ind w:firstLine="640"/>
      </w:pPr>
      <w:bookmarkStart w:id="70" w:name="_Toc82624364"/>
      <w:r>
        <w:rPr>
          <w:rFonts w:hint="eastAsia"/>
        </w:rPr>
        <w:t>第二节 整合节事品牌营销</w:t>
      </w:r>
      <w:bookmarkEnd w:id="70"/>
    </w:p>
    <w:p>
      <w:pPr>
        <w:ind w:firstLine="600"/>
      </w:pPr>
      <w:r>
        <w:rPr>
          <w:rFonts w:hint="eastAsia"/>
        </w:rPr>
        <w:t>依托三峡历史、山地康体、民俗农耕三大文化资源底蕴，积极融入“一廊一带一山”区域格局，打造“</w:t>
      </w:r>
      <w:r>
        <w:t>2</w:t>
      </w:r>
      <w:r>
        <w:rPr>
          <w:rFonts w:hint="eastAsia"/>
        </w:rPr>
        <w:t>+</w:t>
      </w:r>
      <w:r>
        <w:t>3</w:t>
      </w:r>
      <w:r>
        <w:rPr>
          <w:rFonts w:hint="eastAsia"/>
        </w:rPr>
        <w:t>+N”品牌节事体系，全方位展示云阳形象，提高云阳文旅吸引力。</w:t>
      </w:r>
    </w:p>
    <w:p>
      <w:pPr>
        <w:ind w:firstLine="602"/>
        <w:rPr>
          <w:b/>
        </w:rPr>
      </w:pPr>
      <w:r>
        <w:rPr>
          <w:rFonts w:hint="eastAsia"/>
          <w:b/>
        </w:rPr>
        <w:t>——持续提升张飞庙庙会、清水土家女儿会节事品牌知名度。</w:t>
      </w:r>
      <w:r>
        <w:rPr>
          <w:rFonts w:hint="eastAsia"/>
        </w:rPr>
        <w:t>通过与游戏、文化IP的融合，形成特色集市、演艺、歌舞等游客参与度高活动项目；同时结合抖音、快手、web等自媒体，开展集赞领奖品、晒美照得门票等活动，扩大云阳节事品牌的影响力。</w:t>
      </w:r>
    </w:p>
    <w:p>
      <w:pPr>
        <w:ind w:firstLine="602"/>
        <w:rPr>
          <w:b/>
        </w:rPr>
      </w:pPr>
      <w:r>
        <w:rPr>
          <w:rFonts w:hint="eastAsia"/>
          <w:b/>
        </w:rPr>
        <w:t>——围绕</w:t>
      </w:r>
      <w:r>
        <w:rPr>
          <w:b/>
        </w:rPr>
        <w:t>地方文化</w:t>
      </w:r>
      <w:r>
        <w:rPr>
          <w:rFonts w:hint="eastAsia"/>
          <w:b/>
        </w:rPr>
        <w:t>主题高质量举办一批文化节庆活动。</w:t>
      </w:r>
      <w:r>
        <w:rPr>
          <w:rFonts w:hint="eastAsia"/>
        </w:rPr>
        <w:t>围绕三峡历史、山地康体、民俗农耕三大文化持续提升三峡登梯大会、沙滩排球赛、</w:t>
      </w:r>
      <w:r>
        <w:rPr>
          <w:rFonts w:ascii="Arial" w:hAnsi="Arial" w:cs="Arial"/>
          <w:shd w:val="clear" w:color="auto" w:fill="FFFFFF"/>
        </w:rPr>
        <w:t>全国太极拳邀请赛</w:t>
      </w:r>
      <w:r>
        <w:rPr>
          <w:rFonts w:hint="eastAsia"/>
        </w:rPr>
        <w:t>等品牌赛事知名度，常态化开展摄影、歌舞、农业产业、非遗文化、户外露营等节事，提高区域知名度。</w:t>
      </w:r>
    </w:p>
    <w:p>
      <w:pPr>
        <w:ind w:firstLine="602"/>
      </w:pPr>
      <w:r>
        <w:rPr>
          <w:rFonts w:hint="eastAsia"/>
          <w:b/>
        </w:rPr>
        <w:t>——围绕“全域四季”拓展一批乡村旅游节。</w:t>
      </w:r>
      <w:r>
        <w:rPr>
          <w:rFonts w:hint="eastAsia"/>
        </w:rPr>
        <w:t>打造新津</w:t>
      </w:r>
      <w:r>
        <w:rPr>
          <w:rFonts w:hint="eastAsia"/>
          <w:shd w:val="clear" w:color="auto" w:fill="FFFFFF"/>
        </w:rPr>
        <w:t>龙舟民俗文化旅游节、双土映山红旅游节、巴阳枇杷乡村旅游节等</w:t>
      </w:r>
      <w:r>
        <w:rPr>
          <w:rFonts w:hint="eastAsia"/>
        </w:rPr>
        <w:t>乡村节事，实现四季有节事，处处有活动的全域节事格局。</w:t>
      </w:r>
    </w:p>
    <w:p>
      <w:pPr>
        <w:pStyle w:val="4"/>
        <w:ind w:firstLine="640"/>
      </w:pPr>
      <w:bookmarkStart w:id="71" w:name="_Toc82624365"/>
      <w:r>
        <w:rPr>
          <w:rFonts w:hint="eastAsia"/>
        </w:rPr>
        <w:t>第三节 构建旅游营销矩阵</w:t>
      </w:r>
      <w:bookmarkEnd w:id="71"/>
    </w:p>
    <w:p>
      <w:pPr>
        <w:ind w:firstLine="600"/>
      </w:pPr>
      <w:r>
        <w:t>以网络口碑为核心着力构建全方位立体营销矩阵，讲好三国故事、树好三峡形象，让云阳三峡</w:t>
      </w:r>
      <w:r>
        <w:rPr>
          <w:rFonts w:hint="eastAsia"/>
        </w:rPr>
        <w:t>人文之城</w:t>
      </w:r>
      <w:r>
        <w:t>形象声名远播</w:t>
      </w:r>
      <w:r>
        <w:rPr>
          <w:rFonts w:hint="eastAsia"/>
        </w:rPr>
        <w:t>。</w:t>
      </w:r>
    </w:p>
    <w:p>
      <w:pPr>
        <w:ind w:firstLine="602"/>
      </w:pPr>
      <w:r>
        <w:rPr>
          <w:rFonts w:hint="eastAsia"/>
          <w:b/>
        </w:rPr>
        <w:t>——打造全民营销。</w:t>
      </w:r>
      <w:r>
        <w:rPr>
          <w:rFonts w:hint="eastAsia"/>
        </w:rPr>
        <w:t>依托云阳融媒体中心宣传阵地，建立“自上而下，以总带分，主调鲜明，各具亮点”的内部宣传体系。推动融媒体中心制作文旅发展宣传片，丰富栏目内容、创新宣传形式。鼓励云阳各大文旅行业协会举办、承办、参加行业交流会议，扩大知名度。引导云阳旅游文旅主体推出直播带货活动。</w:t>
      </w:r>
    </w:p>
    <w:p>
      <w:pPr>
        <w:ind w:firstLine="602"/>
        <w:rPr>
          <w:rFonts w:ascii="方正仿宋_GBK"/>
        </w:rPr>
      </w:pPr>
      <w:r>
        <w:rPr>
          <w:rFonts w:hint="eastAsia"/>
          <w:b/>
        </w:rPr>
        <w:t>——</w:t>
      </w:r>
      <w:r>
        <w:rPr>
          <w:b/>
        </w:rPr>
        <w:t>实施流量营销。</w:t>
      </w:r>
      <w:r>
        <w:rPr>
          <w:rFonts w:hint="eastAsia" w:ascii="方正仿宋_GBK"/>
        </w:rPr>
        <w:t>大力发挥央视、重庆卫视、中国旅游报、重庆日报等顶端传播优势，精准采购机场航站、高速大牌、高铁灯箱、商圈LED屏等户外媒体，用好交通广播平台，强化“云阳文旅”等自媒体宣传阵地建设，加强与门户网站、微博大V等新媒体开展业务合作，建立全面营销路径，精准触达目标人群。</w:t>
      </w:r>
    </w:p>
    <w:p>
      <w:pPr>
        <w:ind w:firstLine="602"/>
      </w:pPr>
      <w:r>
        <w:rPr>
          <w:rFonts w:hint="eastAsia"/>
          <w:b/>
        </w:rPr>
        <w:t>——推进精准营销。</w:t>
      </w:r>
      <w:r>
        <w:rPr>
          <w:rFonts w:hint="eastAsia"/>
        </w:rPr>
        <w:t>细分景区客群市场，根据景区资源特点，分别聚焦银发客群、中年客群、亲子客群和年轻客群，打造针对不同客群多的旅游产品，创新消费场景。</w:t>
      </w:r>
    </w:p>
    <w:p>
      <w:pPr>
        <w:ind w:firstLine="602"/>
      </w:pPr>
      <w:r>
        <w:rPr>
          <w:rFonts w:hint="eastAsia"/>
          <w:b/>
        </w:rPr>
        <w:t>——拓展渠道营销。</w:t>
      </w:r>
      <w:r>
        <w:rPr>
          <w:rFonts w:hint="eastAsia"/>
        </w:rPr>
        <w:t>织密周边渠道网络，分级制定渠道网络，拓展核心合作商。结合高铁沿线城市以及周边航班城市辐射周边区域，完善渠道网，引入第三方异业渠道进行产品定制化服务。注重线上宣传引流。围绕携程、去哪儿、飞猪等电商平台，加强多渠道分销，通过新媒体等方式增加云阳自助、商务客源。</w:t>
      </w:r>
    </w:p>
    <w:p>
      <w:pPr>
        <w:ind w:firstLine="420"/>
        <w:jc w:val="center"/>
        <w:rPr>
          <w:rFonts w:ascii="黑体" w:hAnsi="黑体" w:eastAsia="黑体" w:cs="宋体"/>
          <w:bCs/>
          <w:color w:val="000000" w:themeColor="text1"/>
          <w:kern w:val="0"/>
          <w:sz w:val="21"/>
          <w14:textFill>
            <w14:solidFill>
              <w14:schemeClr w14:val="tx1"/>
            </w14:solidFill>
          </w14:textFill>
        </w:rPr>
      </w:pPr>
      <w:r>
        <w:rPr>
          <w:rFonts w:hint="eastAsia" w:ascii="黑体" w:hAnsi="黑体" w:eastAsia="黑体" w:cs="宋体"/>
          <w:bCs/>
          <w:color w:val="000000" w:themeColor="text1"/>
          <w:kern w:val="0"/>
          <w:sz w:val="21"/>
          <w14:textFill>
            <w14:solidFill>
              <w14:schemeClr w14:val="tx1"/>
            </w14:solidFill>
          </w14:textFill>
        </w:rPr>
        <w:t>专栏</w:t>
      </w:r>
      <w:r>
        <w:rPr>
          <w:rFonts w:ascii="黑体" w:hAnsi="黑体" w:eastAsia="黑体" w:cs="宋体"/>
          <w:bCs/>
          <w:color w:val="000000" w:themeColor="text1"/>
          <w:kern w:val="0"/>
          <w:sz w:val="21"/>
          <w14:textFill>
            <w14:solidFill>
              <w14:schemeClr w14:val="tx1"/>
            </w14:solidFill>
          </w14:textFill>
        </w:rPr>
        <w:t xml:space="preserve">9 </w:t>
      </w:r>
      <w:r>
        <w:rPr>
          <w:rFonts w:hint="eastAsia" w:ascii="黑体" w:hAnsi="黑体" w:eastAsia="黑体" w:cs="宋体"/>
          <w:bCs/>
          <w:color w:val="000000" w:themeColor="text1"/>
          <w:kern w:val="0"/>
          <w:sz w:val="21"/>
          <w14:textFill>
            <w14:solidFill>
              <w14:schemeClr w14:val="tx1"/>
            </w14:solidFill>
          </w14:textFill>
        </w:rPr>
        <w:t>加强文旅品牌营销</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楷体" w:hAnsi="楷体" w:eastAsia="楷体" w:cs="宋体"/>
                <w:b/>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重点项目：</w:t>
            </w:r>
          </w:p>
          <w:p>
            <w:pPr>
              <w:widowControl/>
              <w:ind w:firstLine="422"/>
              <w:rPr>
                <w:rFonts w:ascii="楷体" w:hAnsi="楷体" w:eastAsia="楷体" w:cs="宋体"/>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云阳品牌节事。</w:t>
            </w:r>
            <w:r>
              <w:rPr>
                <w:rFonts w:hint="eastAsia" w:ascii="楷体" w:hAnsi="楷体" w:eastAsia="楷体" w:cs="宋体"/>
                <w:bCs/>
                <w:color w:val="000000" w:themeColor="text1"/>
                <w:kern w:val="0"/>
                <w:sz w:val="21"/>
                <w14:textFill>
                  <w14:solidFill>
                    <w14:schemeClr w14:val="tx1"/>
                  </w14:solidFill>
                </w14:textFill>
              </w:rPr>
              <w:t>云阳“</w:t>
            </w:r>
            <w:r>
              <w:rPr>
                <w:rFonts w:ascii="楷体" w:hAnsi="楷体" w:eastAsia="楷体" w:cs="宋体"/>
                <w:bCs/>
                <w:color w:val="000000" w:themeColor="text1"/>
                <w:kern w:val="0"/>
                <w:sz w:val="21"/>
                <w14:textFill>
                  <w14:solidFill>
                    <w14:schemeClr w14:val="tx1"/>
                  </w14:solidFill>
                </w14:textFill>
              </w:rPr>
              <w:t>2</w:t>
            </w:r>
            <w:r>
              <w:rPr>
                <w:rFonts w:hint="eastAsia" w:ascii="楷体" w:hAnsi="楷体" w:eastAsia="楷体" w:cs="宋体"/>
                <w:bCs/>
                <w:color w:val="000000" w:themeColor="text1"/>
                <w:kern w:val="0"/>
                <w:sz w:val="21"/>
                <w14:textFill>
                  <w14:solidFill>
                    <w14:schemeClr w14:val="tx1"/>
                  </w14:solidFill>
                </w14:textFill>
              </w:rPr>
              <w:t>+</w:t>
            </w:r>
            <w:r>
              <w:rPr>
                <w:rFonts w:ascii="楷体" w:hAnsi="楷体" w:eastAsia="楷体" w:cs="宋体"/>
                <w:bCs/>
                <w:color w:val="000000" w:themeColor="text1"/>
                <w:kern w:val="0"/>
                <w:sz w:val="21"/>
                <w14:textFill>
                  <w14:solidFill>
                    <w14:schemeClr w14:val="tx1"/>
                  </w14:solidFill>
                </w14:textFill>
              </w:rPr>
              <w:t>3</w:t>
            </w:r>
            <w:r>
              <w:rPr>
                <w:rFonts w:hint="eastAsia" w:ascii="楷体" w:hAnsi="楷体" w:eastAsia="楷体" w:cs="宋体"/>
                <w:bCs/>
                <w:color w:val="000000" w:themeColor="text1"/>
                <w:kern w:val="0"/>
                <w:sz w:val="21"/>
                <w14:textFill>
                  <w14:solidFill>
                    <w14:schemeClr w14:val="tx1"/>
                  </w14:solidFill>
                </w14:textFill>
              </w:rPr>
              <w:t>+N”品牌节事项目。</w:t>
            </w:r>
          </w:p>
        </w:tc>
      </w:tr>
    </w:tbl>
    <w:p>
      <w:pPr>
        <w:pStyle w:val="3"/>
        <w:ind w:firstLine="720"/>
      </w:pPr>
      <w:bookmarkStart w:id="72" w:name="_Toc82624366"/>
      <w:bookmarkStart w:id="73" w:name="_Toc63420793"/>
      <w:r>
        <w:rPr>
          <w:rFonts w:hint="eastAsia"/>
        </w:rPr>
        <w:t>第十二章 推进文旅深度融合发展</w:t>
      </w:r>
      <w:bookmarkEnd w:id="72"/>
    </w:p>
    <w:p>
      <w:pPr>
        <w:ind w:firstLine="600"/>
      </w:pPr>
      <w:r>
        <w:rPr>
          <w:rFonts w:hint="eastAsia"/>
        </w:rPr>
        <w:t>坚持“以文塑旅、以旅彰文”，以“国家文化产业和旅游产业融合发展示范区”创建</w:t>
      </w:r>
      <w:r>
        <w:t>为抓手，</w:t>
      </w:r>
      <w:r>
        <w:rPr>
          <w:rFonts w:hint="eastAsia"/>
        </w:rPr>
        <w:t>走源于文化、形于产业、用于生活、成于品牌的路子，加快文化和旅游相互促进、相得益彰、融合发展。</w:t>
      </w:r>
    </w:p>
    <w:p>
      <w:pPr>
        <w:pStyle w:val="4"/>
        <w:ind w:firstLine="640"/>
      </w:pPr>
      <w:bookmarkStart w:id="74" w:name="_Toc82624367"/>
      <w:r>
        <w:rPr>
          <w:rFonts w:hint="eastAsia"/>
        </w:rPr>
        <w:t>第一节 培塑旅游产品文化内涵</w:t>
      </w:r>
      <w:bookmarkEnd w:id="74"/>
    </w:p>
    <w:p>
      <w:pPr>
        <w:ind w:firstLine="600"/>
      </w:pPr>
      <w:r>
        <w:rPr>
          <w:rFonts w:hint="eastAsia" w:hAnsi="方正仿宋_GBK"/>
        </w:rPr>
        <w:t>以文塑旅，</w:t>
      </w:r>
      <w:r>
        <w:rPr>
          <w:rFonts w:hint="eastAsia"/>
        </w:rPr>
        <w:t>传承和发展云阳地方特色文化，以文化赋能旅游产业，</w:t>
      </w:r>
      <w:r>
        <w:rPr>
          <w:rFonts w:hAnsi="方正仿宋_GBK"/>
        </w:rPr>
        <w:t>丰富</w:t>
      </w:r>
      <w:r>
        <w:rPr>
          <w:rFonts w:hint="eastAsia" w:hAnsi="方正仿宋_GBK"/>
        </w:rPr>
        <w:t>云阳</w:t>
      </w:r>
      <w:r>
        <w:rPr>
          <w:rFonts w:hAnsi="方正仿宋_GBK"/>
        </w:rPr>
        <w:t>旅游内涵</w:t>
      </w:r>
      <w:r>
        <w:rPr>
          <w:rFonts w:hint="eastAsia" w:hAnsi="方正仿宋_GBK"/>
        </w:rPr>
        <w:t>，</w:t>
      </w:r>
      <w:r>
        <w:rPr>
          <w:rFonts w:hAnsi="方正仿宋_GBK"/>
        </w:rPr>
        <w:t>优化和升级全域</w:t>
      </w:r>
      <w:r>
        <w:rPr>
          <w:rFonts w:hint="eastAsia" w:hAnsi="方正仿宋_GBK"/>
        </w:rPr>
        <w:t>旅游</w:t>
      </w:r>
      <w:r>
        <w:rPr>
          <w:rFonts w:hAnsi="方正仿宋_GBK"/>
        </w:rPr>
        <w:t>产品</w:t>
      </w:r>
      <w:r>
        <w:rPr>
          <w:rFonts w:hint="eastAsia"/>
        </w:rPr>
        <w:t>。</w:t>
      </w:r>
    </w:p>
    <w:p>
      <w:pPr>
        <w:ind w:firstLine="602"/>
      </w:pPr>
      <w:r>
        <w:rPr>
          <w:rFonts w:hint="eastAsia"/>
          <w:b/>
          <w:bCs/>
        </w:rPr>
        <w:t>——培塑远古地质文化，打响世界品牌。</w:t>
      </w:r>
      <w:r>
        <w:rPr>
          <w:rFonts w:hint="eastAsia"/>
        </w:rPr>
        <w:t>云阳自古就是古代君王的“养龙地”，现有三峡、龙缸和恐龙三大世界级远古地质资源，龙文化和地质文化是云阳最具特色的文化，充实云阳远古地质文化内涵，加快远古地质文化品牌塑造，依托三大世界级地质资源和龙文化开展地质研学，推动云阳地质资源与研学、度假、旅游结合。</w:t>
      </w:r>
    </w:p>
    <w:p>
      <w:pPr>
        <w:ind w:firstLine="602"/>
      </w:pPr>
      <w:r>
        <w:rPr>
          <w:rFonts w:hint="eastAsia"/>
          <w:b/>
          <w:bCs/>
        </w:rPr>
        <w:t>——传承三峡</w:t>
      </w:r>
      <w:r>
        <w:rPr>
          <w:b/>
          <w:bCs/>
        </w:rPr>
        <w:t>历史文化</w:t>
      </w:r>
      <w:r>
        <w:rPr>
          <w:rFonts w:hint="eastAsia"/>
          <w:b/>
          <w:bCs/>
        </w:rPr>
        <w:t>，夯实文化底蕴</w:t>
      </w:r>
      <w:r>
        <w:rPr>
          <w:rFonts w:hint="eastAsia"/>
        </w:rPr>
        <w:t>。三峡赋予云阳独特的历史文化，是云阳作为三峡城市文化核心载体的支撑。云阳三峡梯城、张飞庙、磐石城和云安古镇等历史建筑，是云阳先民反抗侵略，勇于攀登、崇尚忠勇、盐运繁荣的历史体现。传承和发展云阳三峡文化，</w:t>
      </w:r>
      <w:r>
        <w:rPr>
          <w:rFonts w:hint="eastAsia" w:hAnsi="方正仿宋_GBK"/>
        </w:rPr>
        <w:t>要在保护</w:t>
      </w:r>
      <w:r>
        <w:rPr>
          <w:rFonts w:hAnsi="方正仿宋_GBK"/>
        </w:rPr>
        <w:t>历史遗迹的同时</w:t>
      </w:r>
      <w:r>
        <w:rPr>
          <w:rFonts w:hint="eastAsia" w:hAnsi="方正仿宋_GBK"/>
        </w:rPr>
        <w:t>采取</w:t>
      </w:r>
      <w:r>
        <w:rPr>
          <w:rFonts w:hAnsi="方正仿宋_GBK"/>
        </w:rPr>
        <w:t>现代手段充分利用，</w:t>
      </w:r>
      <w:r>
        <w:rPr>
          <w:rFonts w:hint="eastAsia" w:hAnsi="方正仿宋_GBK"/>
        </w:rPr>
        <w:t>夯实云阳城市旅游</w:t>
      </w:r>
      <w:r>
        <w:rPr>
          <w:rFonts w:hAnsi="方正仿宋_GBK"/>
        </w:rPr>
        <w:t>文化底蕴</w:t>
      </w:r>
      <w:r>
        <w:rPr>
          <w:rFonts w:hint="eastAsia" w:hAnsi="方正仿宋_GBK"/>
        </w:rPr>
        <w:t>、</w:t>
      </w:r>
      <w:r>
        <w:rPr>
          <w:rFonts w:hAnsi="方正仿宋_GBK"/>
        </w:rPr>
        <w:t>增强文化自信</w:t>
      </w:r>
      <w:r>
        <w:rPr>
          <w:rFonts w:hint="eastAsia"/>
        </w:rPr>
        <w:t>。</w:t>
      </w:r>
    </w:p>
    <w:p>
      <w:pPr>
        <w:ind w:firstLine="602"/>
      </w:pPr>
      <w:r>
        <w:rPr>
          <w:rFonts w:hint="eastAsia"/>
          <w:b/>
          <w:bCs/>
        </w:rPr>
        <w:t>——深耕农耕民俗文化，丰富乡村积淀。</w:t>
      </w:r>
      <w:r>
        <w:rPr>
          <w:rFonts w:hint="eastAsia"/>
        </w:rPr>
        <w:t>农耕民俗文化是云阳形成最早，影响最大的文化，</w:t>
      </w:r>
      <w:r>
        <w:t>塑造了云阳人勤劳朴实、忠孝节义的本底价值观</w:t>
      </w:r>
      <w:r>
        <w:rPr>
          <w:rFonts w:hint="eastAsia"/>
        </w:rPr>
        <w:t>。彭氏宗祠、邓氏老宅等宗祠</w:t>
      </w:r>
      <w:r>
        <w:rPr>
          <w:rFonts w:hint="eastAsia" w:ascii="Arial" w:hAnsi="Arial" w:cs="Arial"/>
          <w:shd w:val="clear" w:color="auto" w:fill="FFFFFF"/>
        </w:rPr>
        <w:t>民居是忠孝节义的集中展示，栖霞宫</w:t>
      </w:r>
      <w:r>
        <w:rPr>
          <w:rFonts w:hint="eastAsia"/>
        </w:rPr>
        <w:t>等民俗宗教体现了云阳人追求美好生活的</w:t>
      </w:r>
      <w:r>
        <w:t>祈愿</w:t>
      </w:r>
      <w:r>
        <w:rPr>
          <w:rFonts w:hint="eastAsia"/>
        </w:rPr>
        <w:t>，泥溪制陶</w:t>
      </w:r>
      <w:r>
        <w:rPr>
          <w:rFonts w:hint="eastAsia" w:ascii="Segoe UI" w:hAnsi="Segoe UI" w:cs="Segoe UI"/>
        </w:rPr>
        <w:t>、</w:t>
      </w:r>
      <w:r>
        <w:rPr>
          <w:rFonts w:ascii="Segoe UI" w:hAnsi="Segoe UI" w:cs="Segoe UI"/>
        </w:rPr>
        <w:t>陈大毛手工面</w:t>
      </w:r>
      <w:r>
        <w:rPr>
          <w:rFonts w:hint="eastAsia" w:ascii="Segoe UI" w:hAnsi="Segoe UI" w:cs="Segoe UI"/>
        </w:rPr>
        <w:t>等非遗手工是云阳先民</w:t>
      </w:r>
      <w:r>
        <w:rPr>
          <w:rFonts w:hint="eastAsia"/>
        </w:rPr>
        <w:t>勤劳朴实的真实写照。通过挖掘云阳农耕民俗和非遗手工，丰富乡村文化积淀，推动文旅融合。</w:t>
      </w:r>
    </w:p>
    <w:p>
      <w:pPr>
        <w:ind w:firstLine="602"/>
        <w:rPr>
          <w:rFonts w:ascii="仿宋" w:hAnsi="仿宋" w:eastAsia="仿宋" w:cs="仿宋"/>
          <w:szCs w:val="28"/>
        </w:rPr>
      </w:pPr>
      <w:r>
        <w:rPr>
          <w:rFonts w:hint="eastAsia"/>
          <w:b/>
          <w:bCs/>
        </w:rPr>
        <w:t>——拓展山地康体文化，推动转型发展。</w:t>
      </w:r>
      <w:r>
        <w:rPr>
          <w:rFonts w:hint="eastAsia"/>
        </w:rPr>
        <w:t>拓展山地康体文化内涵是云阳文旅发展的当代诉求。以云阳一江四河</w:t>
      </w:r>
      <w:r>
        <w:rPr>
          <w:rFonts w:hint="eastAsia" w:ascii="仿宋" w:hAnsi="仿宋" w:eastAsia="仿宋" w:cs="仿宋"/>
          <w:szCs w:val="28"/>
        </w:rPr>
        <w:t>、</w:t>
      </w:r>
      <w:r>
        <w:rPr>
          <w:rFonts w:ascii="仿宋" w:hAnsi="仿宋" w:eastAsia="仿宋" w:cs="仿宋"/>
          <w:szCs w:val="28"/>
        </w:rPr>
        <w:t>山川</w:t>
      </w:r>
      <w:r>
        <w:rPr>
          <w:rFonts w:hint="eastAsia" w:ascii="仿宋" w:hAnsi="仿宋" w:eastAsia="仿宋" w:cs="仿宋"/>
          <w:szCs w:val="28"/>
        </w:rPr>
        <w:t>峡谷</w:t>
      </w:r>
      <w:r>
        <w:rPr>
          <w:rFonts w:ascii="仿宋" w:hAnsi="仿宋" w:eastAsia="仿宋" w:cs="仿宋"/>
          <w:szCs w:val="28"/>
        </w:rPr>
        <w:t>等生态资源为核心依托</w:t>
      </w:r>
      <w:r>
        <w:rPr>
          <w:rFonts w:hint="eastAsia" w:ascii="仿宋" w:hAnsi="仿宋" w:eastAsia="仿宋" w:cs="仿宋"/>
          <w:szCs w:val="28"/>
        </w:rPr>
        <w:t>，整合全域山川风物、地质奇观、乡村人居等元素，加快培育山地康体文化，引领云阳全民健身战略落地，推动生态康养运动康体旅游发展，赋予大健康产业文化基底。</w:t>
      </w:r>
    </w:p>
    <w:p>
      <w:pPr>
        <w:pStyle w:val="4"/>
        <w:ind w:firstLine="640"/>
      </w:pPr>
      <w:bookmarkStart w:id="75" w:name="_Toc82624368"/>
      <w:r>
        <w:rPr>
          <w:rFonts w:hint="eastAsia"/>
        </w:rPr>
        <w:t>第二节 推进文化设施旅游利用</w:t>
      </w:r>
      <w:bookmarkEnd w:id="75"/>
    </w:p>
    <w:p>
      <w:pPr>
        <w:ind w:firstLine="600"/>
        <w:rPr>
          <w:b/>
        </w:rPr>
      </w:pPr>
      <w:r>
        <w:rPr>
          <w:rFonts w:hint="eastAsia"/>
        </w:rPr>
        <w:t>以旅彰文，对文化设施叠加旅游休闲功能，重点推进“文化阵地</w:t>
      </w:r>
      <w:r>
        <w:t>、</w:t>
      </w:r>
      <w:r>
        <w:rPr>
          <w:rFonts w:hint="eastAsia"/>
        </w:rPr>
        <w:t>旅游</w:t>
      </w:r>
      <w:r>
        <w:t>景区</w:t>
      </w:r>
      <w:r>
        <w:rPr>
          <w:rFonts w:hint="eastAsia"/>
        </w:rPr>
        <w:t>、</w:t>
      </w:r>
      <w:r>
        <w:t>中心</w:t>
      </w:r>
      <w:r>
        <w:rPr>
          <w:rFonts w:hint="eastAsia"/>
        </w:rPr>
        <w:t>城区”三级文旅功能</w:t>
      </w:r>
      <w:r>
        <w:t>融合化发展。</w:t>
      </w:r>
    </w:p>
    <w:p>
      <w:pPr>
        <w:ind w:firstLine="602"/>
        <w:rPr>
          <w:b/>
        </w:rPr>
      </w:pPr>
      <w:r>
        <w:rPr>
          <w:rFonts w:hint="eastAsia"/>
          <w:b/>
        </w:rPr>
        <w:t>——</w:t>
      </w:r>
      <w:r>
        <w:rPr>
          <w:b/>
        </w:rPr>
        <w:t>推进现有文化阵地旅游功能提升</w:t>
      </w:r>
      <w:r>
        <w:rPr>
          <w:rFonts w:hint="eastAsia"/>
          <w:b/>
        </w:rPr>
        <w:t>。</w:t>
      </w:r>
      <w:r>
        <w:rPr>
          <w:rFonts w:hint="eastAsia"/>
        </w:rPr>
        <w:t>推动云阳文化</w:t>
      </w:r>
      <w:r>
        <w:t>馆、</w:t>
      </w:r>
      <w:r>
        <w:rPr>
          <w:rFonts w:hint="eastAsia"/>
        </w:rPr>
        <w:t>图书</w:t>
      </w:r>
      <w:r>
        <w:t>馆、博物馆等文化设施完善</w:t>
      </w:r>
      <w:r>
        <w:rPr>
          <w:rFonts w:hint="eastAsia"/>
        </w:rPr>
        <w:t>旅游要素</w:t>
      </w:r>
      <w:r>
        <w:t>，丰富旅游业态</w:t>
      </w:r>
      <w:r>
        <w:rPr>
          <w:rFonts w:hint="eastAsia"/>
        </w:rPr>
        <w:t>，延伸产业链、创造新价值；鼓励</w:t>
      </w:r>
      <w:r>
        <w:t>具有地方特色的乡镇</w:t>
      </w:r>
      <w:r>
        <w:rPr>
          <w:rFonts w:hint="eastAsia"/>
        </w:rPr>
        <w:t>街道-</w:t>
      </w:r>
      <w:r>
        <w:t>村</w:t>
      </w:r>
      <w:r>
        <w:rPr>
          <w:rFonts w:hint="eastAsia"/>
        </w:rPr>
        <w:t>社公共</w:t>
      </w:r>
      <w:r>
        <w:t>文化设施</w:t>
      </w:r>
      <w:r>
        <w:rPr>
          <w:rFonts w:hint="eastAsia"/>
        </w:rPr>
        <w:t>增加</w:t>
      </w:r>
      <w:r>
        <w:t>旅游</w:t>
      </w:r>
      <w:r>
        <w:rPr>
          <w:rFonts w:hint="eastAsia"/>
        </w:rPr>
        <w:t>休闲功能</w:t>
      </w:r>
      <w:r>
        <w:t>，</w:t>
      </w:r>
      <w:r>
        <w:rPr>
          <w:rFonts w:hint="eastAsia"/>
        </w:rPr>
        <w:t>用旅游经济价值支撑日益</w:t>
      </w:r>
      <w:r>
        <w:t>强化的公益性功能。</w:t>
      </w:r>
    </w:p>
    <w:p>
      <w:pPr>
        <w:ind w:firstLine="602"/>
        <w:rPr>
          <w:b/>
        </w:rPr>
      </w:pPr>
      <w:r>
        <w:rPr>
          <w:rFonts w:hint="eastAsia"/>
          <w:b/>
        </w:rPr>
        <w:t>——推进</w:t>
      </w:r>
      <w:r>
        <w:rPr>
          <w:b/>
        </w:rPr>
        <w:t>旅游景区及其周边地区文化功能</w:t>
      </w:r>
      <w:r>
        <w:rPr>
          <w:rFonts w:hint="eastAsia"/>
          <w:b/>
        </w:rPr>
        <w:t>覆盖</w:t>
      </w:r>
      <w:r>
        <w:rPr>
          <w:b/>
        </w:rPr>
        <w:t>。</w:t>
      </w:r>
      <w:r>
        <w:rPr>
          <w:rFonts w:hint="eastAsia"/>
        </w:rPr>
        <w:t>探索旅游景区开发公共文化设施配套政策，推进公共文化设施向景区或景区周边覆盖。</w:t>
      </w:r>
    </w:p>
    <w:p>
      <w:pPr>
        <w:ind w:firstLine="602"/>
        <w:rPr>
          <w:szCs w:val="36"/>
        </w:rPr>
      </w:pPr>
      <w:r>
        <w:rPr>
          <w:rFonts w:hint="eastAsia"/>
          <w:b/>
        </w:rPr>
        <w:t>——</w:t>
      </w:r>
      <w:r>
        <w:rPr>
          <w:b/>
        </w:rPr>
        <w:t>实施</w:t>
      </w:r>
      <w:r>
        <w:rPr>
          <w:rFonts w:hint="eastAsia"/>
          <w:b/>
        </w:rPr>
        <w:t>文化</w:t>
      </w:r>
      <w:r>
        <w:rPr>
          <w:b/>
        </w:rPr>
        <w:t>展示</w:t>
      </w:r>
      <w:r>
        <w:rPr>
          <w:rFonts w:hint="eastAsia"/>
          <w:b/>
        </w:rPr>
        <w:t>提升工程</w:t>
      </w:r>
      <w:r>
        <w:rPr>
          <w:b/>
        </w:rPr>
        <w:t>。</w:t>
      </w:r>
      <w:r>
        <w:rPr>
          <w:rFonts w:hint="eastAsia"/>
        </w:rPr>
        <w:t>围绕</w:t>
      </w:r>
      <w:r>
        <w:t>“</w:t>
      </w:r>
      <w:r>
        <w:rPr>
          <w:rFonts w:hint="eastAsia"/>
        </w:rPr>
        <w:t>万里长江·天生云阳</w:t>
      </w:r>
      <w:r>
        <w:t>”进一步提炼和创作文旅形象展示符号</w:t>
      </w:r>
      <w:r>
        <w:rPr>
          <w:rFonts w:hint="eastAsia"/>
        </w:rPr>
        <w:t>，</w:t>
      </w:r>
      <w:r>
        <w:t>统一规划建设文旅标志标识系统</w:t>
      </w:r>
      <w:r>
        <w:rPr>
          <w:rFonts w:hint="eastAsia"/>
        </w:rPr>
        <w:t>。深入</w:t>
      </w:r>
      <w:r>
        <w:t>挖掘文化内涵，进一步提升</w:t>
      </w:r>
      <w:r>
        <w:rPr>
          <w:rFonts w:hint="eastAsia"/>
        </w:rPr>
        <w:t>城市</w:t>
      </w:r>
      <w:r>
        <w:t>商圈、街区灯饰</w:t>
      </w:r>
      <w:r>
        <w:rPr>
          <w:rFonts w:hint="eastAsia"/>
        </w:rPr>
        <w:t>广告</w:t>
      </w:r>
      <w:r>
        <w:t>、</w:t>
      </w:r>
      <w:r>
        <w:rPr>
          <w:rFonts w:hint="eastAsia"/>
        </w:rPr>
        <w:t>门店</w:t>
      </w:r>
      <w:r>
        <w:t>标志标牌</w:t>
      </w:r>
      <w:r>
        <w:rPr>
          <w:rFonts w:hint="eastAsia"/>
        </w:rPr>
        <w:t>。在</w:t>
      </w:r>
      <w:r>
        <w:t>城市街区、公园、景区、交通节点等区域，提升和新建一批文化</w:t>
      </w:r>
      <w:r>
        <w:rPr>
          <w:rFonts w:hint="eastAsia"/>
        </w:rPr>
        <w:t>景观</w:t>
      </w:r>
      <w:r>
        <w:t>、雕塑小品、文化</w:t>
      </w:r>
      <w:r>
        <w:rPr>
          <w:rFonts w:hint="eastAsia"/>
        </w:rPr>
        <w:t>墙</w:t>
      </w:r>
      <w:r>
        <w:t>等</w:t>
      </w:r>
      <w:r>
        <w:rPr>
          <w:rFonts w:hint="eastAsia"/>
        </w:rPr>
        <w:t>。把</w:t>
      </w:r>
      <w:r>
        <w:t>文化元素融入城市绿地、广场等开敞</w:t>
      </w:r>
      <w:r>
        <w:rPr>
          <w:rFonts w:hint="eastAsia"/>
        </w:rPr>
        <w:t>空间</w:t>
      </w:r>
      <w:r>
        <w:t>，增强文化记忆</w:t>
      </w:r>
      <w:r>
        <w:rPr>
          <w:rFonts w:hint="eastAsia"/>
        </w:rPr>
        <w:t>。</w:t>
      </w:r>
      <w:bookmarkEnd w:id="73"/>
    </w:p>
    <w:p>
      <w:pPr>
        <w:pStyle w:val="4"/>
        <w:ind w:firstLine="640"/>
      </w:pPr>
      <w:bookmarkStart w:id="76" w:name="_Toc82624369"/>
      <w:r>
        <w:rPr>
          <w:rFonts w:hint="eastAsia"/>
        </w:rPr>
        <w:t>第三节 推动文旅融合体制机制创新</w:t>
      </w:r>
      <w:bookmarkEnd w:id="76"/>
    </w:p>
    <w:p>
      <w:pPr>
        <w:ind w:firstLine="600"/>
      </w:pPr>
      <w:r>
        <w:rPr>
          <w:rFonts w:hint="eastAsia"/>
        </w:rPr>
        <w:t>以文旅融合为契机，以群众需求为导向，健全文旅融合工作机制。</w:t>
      </w:r>
    </w:p>
    <w:p>
      <w:pPr>
        <w:ind w:firstLine="602"/>
      </w:pPr>
      <w:r>
        <w:rPr>
          <w:b/>
        </w:rPr>
        <w:t>——</w:t>
      </w:r>
      <w:r>
        <w:rPr>
          <w:rFonts w:hint="eastAsia"/>
          <w:b/>
        </w:rPr>
        <w:t>健全三大改革机制。</w:t>
      </w:r>
      <w:r>
        <w:rPr>
          <w:rFonts w:hint="eastAsia"/>
        </w:rPr>
        <w:t>健全文旅活动营销融合机制，推进文化传播、惠民文化活动、文化演绎等文化活动与旅游营销活动一体化进行；健全文化保护利用机制，推进文化遗产在保护前提下进行文化观光、文化研学、文化体验等综合性</w:t>
      </w:r>
      <w:r>
        <w:t>利用</w:t>
      </w:r>
      <w:r>
        <w:rPr>
          <w:rFonts w:hint="eastAsia"/>
        </w:rPr>
        <w:t>开发；健全推动重点景区运营转型。推行国有景区所有权、管理权、经营权“三权分置”改革，构建“管委会+公司”管理运营体制，根据景区功能定位，分类施策，先行试点、逐步推开。</w:t>
      </w:r>
    </w:p>
    <w:p>
      <w:pPr>
        <w:ind w:firstLine="602"/>
      </w:pPr>
      <w:r>
        <w:rPr>
          <w:b/>
        </w:rPr>
        <w:t>——加快</w:t>
      </w:r>
      <w:r>
        <w:rPr>
          <w:rFonts w:hint="eastAsia"/>
          <w:b/>
        </w:rPr>
        <w:t>培育文旅市场主体。</w:t>
      </w:r>
      <w:r>
        <w:rPr>
          <w:rFonts w:hint="eastAsia"/>
        </w:rPr>
        <w:t>整合国有文化企业和旅游企业，推进企业体制改革兼具文旅功能，组建一批竞争力强的文化旅游集团；建立投融资平台，引进区外有竞争力的文旅企业主体，培育境内一批本土化骨干文旅企业，形成一批创新活跃的文旅企业体系。</w:t>
      </w:r>
    </w:p>
    <w:p>
      <w:pPr>
        <w:ind w:firstLine="602"/>
        <w:rPr>
          <w:rFonts w:cs="Times New Roman"/>
          <w:szCs w:val="32"/>
        </w:rPr>
      </w:pPr>
      <w:r>
        <w:rPr>
          <w:rFonts w:hint="eastAsia"/>
          <w:b/>
        </w:rPr>
        <w:t>——完善文旅金融服务。</w:t>
      </w:r>
      <w:r>
        <w:rPr>
          <w:rFonts w:hint="eastAsia"/>
        </w:rPr>
        <w:t>建立和完善“银行+保险+企业+政府”贷款风险分担机制，增大银行授信额度，支持重点文旅企业和重大项目发展；进一步推进著作权、景区运营权、旅游景区收费权、旅游用地使用权等质押、抵押贷款，创新金融产品，建立和完善诚信制度，扩大信用融资比例，支持中小微文旅企业发展</w:t>
      </w:r>
      <w:r>
        <w:rPr>
          <w:rFonts w:hint="eastAsia" w:cs="Times New Roman"/>
          <w:szCs w:val="32"/>
        </w:rPr>
        <w:t>。</w:t>
      </w:r>
      <w:bookmarkStart w:id="77" w:name="_Toc82624370"/>
    </w:p>
    <w:p>
      <w:pPr>
        <w:pStyle w:val="3"/>
        <w:ind w:firstLine="720"/>
      </w:pPr>
      <w:r>
        <w:rPr>
          <w:rStyle w:val="31"/>
          <w:rFonts w:hint="eastAsia"/>
          <w:bCs w:val="0"/>
        </w:rPr>
        <w:t>第十三章 推动文旅区域联动发展</w:t>
      </w:r>
      <w:bookmarkEnd w:id="77"/>
    </w:p>
    <w:p>
      <w:pPr>
        <w:ind w:firstLine="600"/>
      </w:pPr>
      <w:r>
        <w:rPr>
          <w:rFonts w:hint="eastAsia"/>
        </w:rPr>
        <w:t>以巴渝文化为纽带，万开云同城化为契机，以长江三峡国际黄金旅游带品牌为依托，促进区域文旅产业、文旅市场、文旅服务一体化，建设具有巴蜀文化特色的世界级旅游目的地，助推巴蜀文化旅游走廊建设，促进成渝地区第三极崛起。</w:t>
      </w:r>
    </w:p>
    <w:p>
      <w:pPr>
        <w:pStyle w:val="4"/>
        <w:ind w:firstLine="640"/>
      </w:pPr>
      <w:bookmarkStart w:id="78" w:name="_Toc82624371"/>
      <w:r>
        <w:rPr>
          <w:rFonts w:hint="eastAsia"/>
          <w:lang w:eastAsia="zh-Hans"/>
        </w:rPr>
        <w:t>第</w:t>
      </w:r>
      <w:r>
        <w:rPr>
          <w:rFonts w:hint="eastAsia"/>
        </w:rPr>
        <w:t>一</w:t>
      </w:r>
      <w:r>
        <w:rPr>
          <w:lang w:eastAsia="zh-Hans"/>
        </w:rPr>
        <w:t>节</w:t>
      </w:r>
      <w:r>
        <w:rPr>
          <w:rFonts w:hint="eastAsia"/>
          <w:lang w:eastAsia="zh-Hans"/>
        </w:rPr>
        <w:t xml:space="preserve"> </w:t>
      </w:r>
      <w:r>
        <w:rPr>
          <w:rFonts w:hint="eastAsia"/>
        </w:rPr>
        <w:t>构建区域文旅联动产品</w:t>
      </w:r>
      <w:bookmarkEnd w:id="78"/>
    </w:p>
    <w:p>
      <w:pPr>
        <w:ind w:firstLine="600"/>
        <w:rPr>
          <w:rFonts w:ascii="方正仿宋_GBK" w:cs="Times New Roman"/>
          <w:kern w:val="0"/>
          <w:sz w:val="32"/>
          <w:szCs w:val="28"/>
        </w:rPr>
      </w:pPr>
      <w:r>
        <w:rPr>
          <w:rFonts w:hint="eastAsia"/>
        </w:rPr>
        <w:t>立足万开云一体化发展，以拓展丰富大三峡旅游产品为思路，</w:t>
      </w:r>
      <w:r>
        <w:rPr>
          <w:rFonts w:ascii="方正仿宋_GBK" w:cs="Times New Roman"/>
          <w:kern w:val="0"/>
          <w:sz w:val="32"/>
          <w:szCs w:val="28"/>
        </w:rPr>
        <w:t>以</w:t>
      </w:r>
      <w:r>
        <w:rPr>
          <w:rFonts w:hint="eastAsia" w:ascii="方正仿宋_GBK" w:cs="Times New Roman"/>
          <w:kern w:val="0"/>
          <w:sz w:val="32"/>
          <w:szCs w:val="28"/>
        </w:rPr>
        <w:t>“旅游+”为路径</w:t>
      </w:r>
      <w:r>
        <w:rPr>
          <w:rFonts w:ascii="方正仿宋_GBK" w:cs="Times New Roman"/>
          <w:kern w:val="0"/>
          <w:sz w:val="32"/>
          <w:szCs w:val="28"/>
        </w:rPr>
        <w:t>，</w:t>
      </w:r>
      <w:r>
        <w:rPr>
          <w:rFonts w:hint="eastAsia" w:ascii="方正仿宋_GBK" w:cs="Times New Roman"/>
          <w:kern w:val="0"/>
          <w:sz w:val="32"/>
          <w:szCs w:val="28"/>
        </w:rPr>
        <w:t>构建区域</w:t>
      </w:r>
      <w:r>
        <w:rPr>
          <w:rFonts w:ascii="方正仿宋_GBK" w:cs="Times New Roman"/>
          <w:kern w:val="0"/>
          <w:sz w:val="32"/>
          <w:szCs w:val="28"/>
        </w:rPr>
        <w:t>文旅</w:t>
      </w:r>
      <w:r>
        <w:rPr>
          <w:rFonts w:hint="eastAsia" w:ascii="方正仿宋_GBK" w:cs="Times New Roman"/>
          <w:kern w:val="0"/>
          <w:sz w:val="32"/>
          <w:szCs w:val="28"/>
        </w:rPr>
        <w:t>联动</w:t>
      </w:r>
      <w:r>
        <w:rPr>
          <w:rFonts w:ascii="方正仿宋_GBK" w:cs="Times New Roman"/>
          <w:kern w:val="0"/>
          <w:sz w:val="32"/>
          <w:szCs w:val="28"/>
        </w:rPr>
        <w:t>产品体系。</w:t>
      </w:r>
    </w:p>
    <w:p>
      <w:pPr>
        <w:ind w:firstLine="602"/>
        <w:rPr>
          <w:highlight w:val="yellow"/>
        </w:rPr>
      </w:pPr>
      <w:r>
        <w:rPr>
          <w:rFonts w:hint="eastAsia"/>
          <w:b/>
        </w:rPr>
        <w:t>——拓展三峡黄金水道休闲观光旅游带。</w:t>
      </w:r>
      <w:r>
        <w:rPr>
          <w:rFonts w:hint="eastAsia"/>
        </w:rPr>
        <w:t>依托万州“水上巴士”和</w:t>
      </w:r>
      <w:r>
        <w:rPr>
          <w:rFonts w:ascii="Arial" w:hAnsi="Arial" w:cs="Arial"/>
          <w:color w:val="222222"/>
          <w:shd w:val="clear" w:color="auto" w:fill="FFFFFF"/>
        </w:rPr>
        <w:t>万云航线</w:t>
      </w:r>
      <w:r>
        <w:rPr>
          <w:rFonts w:hint="eastAsia" w:ascii="Arial" w:hAnsi="Arial" w:cs="Arial"/>
          <w:color w:val="222222"/>
          <w:shd w:val="clear" w:color="auto" w:fill="FFFFFF"/>
        </w:rPr>
        <w:t>等既有三峡水道旅游产品</w:t>
      </w:r>
      <w:r>
        <w:rPr>
          <w:rFonts w:hint="eastAsia"/>
        </w:rPr>
        <w:t>，联动奉节、巫山、巫溪等区县，构建星级游轮、观光游船、游艇等多层次水上旅游交通体系，加快形成以长江黄金水道为依托的水上休闲观光旅游带，丰富长江三峡水陆多样化旅游产品，实现三峡旅游由“一线游”向“一片游”转变。</w:t>
      </w:r>
    </w:p>
    <w:p>
      <w:pPr>
        <w:ind w:firstLine="602"/>
        <w:rPr>
          <w:rFonts w:ascii="方正仿宋_GBK" w:cs="Times New Roman"/>
          <w:kern w:val="0"/>
          <w:sz w:val="32"/>
          <w:szCs w:val="28"/>
        </w:rPr>
      </w:pPr>
      <w:r>
        <w:rPr>
          <w:rFonts w:hint="eastAsia"/>
          <w:b/>
        </w:rPr>
        <w:t>——丰富文化三峡陆上旅游体验带。</w:t>
      </w:r>
      <w:r>
        <w:rPr>
          <w:rFonts w:hint="eastAsia"/>
        </w:rPr>
        <w:t>立足渝东北美食文化、移民文化、历史战争文化等多种文化元素，聚焦</w:t>
      </w:r>
      <w:r>
        <w:t>优势文化，强化旅游赋能</w:t>
      </w:r>
      <w:r>
        <w:rPr>
          <w:rFonts w:hint="eastAsia"/>
        </w:rPr>
        <w:t>。开发构建渝东北美食</w:t>
      </w:r>
      <w:r>
        <w:t>旅游、</w:t>
      </w:r>
      <w:r>
        <w:rPr>
          <w:rFonts w:hint="eastAsia"/>
        </w:rPr>
        <w:t>宗教</w:t>
      </w:r>
      <w:r>
        <w:t>文化旅游、</w:t>
      </w:r>
      <w:r>
        <w:rPr>
          <w:rFonts w:hint="eastAsia"/>
        </w:rPr>
        <w:t>三国</w:t>
      </w:r>
      <w:r>
        <w:t>文创旅游、红色</w:t>
      </w:r>
      <w:r>
        <w:rPr>
          <w:rFonts w:hint="eastAsia"/>
        </w:rPr>
        <w:t>记忆</w:t>
      </w:r>
      <w:r>
        <w:t>旅游、非遗体验旅游等</w:t>
      </w:r>
      <w:r>
        <w:rPr>
          <w:rFonts w:hint="eastAsia"/>
        </w:rPr>
        <w:t>高品质</w:t>
      </w:r>
      <w:r>
        <w:t>、高竞争力</w:t>
      </w:r>
      <w:r>
        <w:rPr>
          <w:rFonts w:hint="eastAsia"/>
        </w:rPr>
        <w:t>文旅</w:t>
      </w:r>
      <w:r>
        <w:t>融合产品，</w:t>
      </w:r>
      <w:r>
        <w:rPr>
          <w:rFonts w:hint="eastAsia"/>
        </w:rPr>
        <w:t>推动</w:t>
      </w:r>
      <w:r>
        <w:t>提</w:t>
      </w:r>
      <w:r>
        <w:rPr>
          <w:rFonts w:hint="eastAsia"/>
        </w:rPr>
        <w:t>升白帝城、张飞庙</w:t>
      </w:r>
      <w:r>
        <w:t>、</w:t>
      </w:r>
      <w:r>
        <w:rPr>
          <w:rFonts w:hint="eastAsia"/>
        </w:rPr>
        <w:t>石宝寨</w:t>
      </w:r>
      <w:r>
        <w:t>景区</w:t>
      </w:r>
      <w:r>
        <w:rPr>
          <w:rFonts w:hint="eastAsia"/>
        </w:rPr>
        <w:t>等</w:t>
      </w:r>
      <w:r>
        <w:t>景区建设，</w:t>
      </w:r>
      <w:r>
        <w:rPr>
          <w:rFonts w:hint="eastAsia"/>
        </w:rPr>
        <w:t>合作推进渝东北地区移民</w:t>
      </w:r>
      <w:r>
        <w:t>、非遗等文化资源</w:t>
      </w:r>
      <w:r>
        <w:rPr>
          <w:rFonts w:hint="eastAsia"/>
        </w:rPr>
        <w:t>点</w:t>
      </w:r>
      <w:r>
        <w:t>旅游开发，</w:t>
      </w:r>
      <w:r>
        <w:rPr>
          <w:rFonts w:hint="eastAsia"/>
        </w:rPr>
        <w:t>丰富长江三峡陆上文化旅游体验</w:t>
      </w:r>
      <w:r>
        <w:t>。</w:t>
      </w:r>
    </w:p>
    <w:p>
      <w:pPr>
        <w:pStyle w:val="4"/>
        <w:ind w:firstLine="640"/>
      </w:pPr>
      <w:bookmarkStart w:id="79" w:name="_Toc82624372"/>
      <w:bookmarkStart w:id="80" w:name="_Toc79506424"/>
      <w:r>
        <w:rPr>
          <w:rFonts w:hint="eastAsia"/>
          <w:lang w:eastAsia="zh-Hans"/>
        </w:rPr>
        <w:t>第</w:t>
      </w:r>
      <w:r>
        <w:rPr>
          <w:rFonts w:hint="eastAsia"/>
        </w:rPr>
        <w:t>二</w:t>
      </w:r>
      <w:r>
        <w:rPr>
          <w:lang w:eastAsia="zh-Hans"/>
        </w:rPr>
        <w:t>节</w:t>
      </w:r>
      <w:r>
        <w:rPr>
          <w:rFonts w:hint="eastAsia"/>
          <w:lang w:eastAsia="zh-Hans"/>
        </w:rPr>
        <w:t xml:space="preserve"> 共推文旅</w:t>
      </w:r>
      <w:r>
        <w:rPr>
          <w:lang w:eastAsia="zh-Hans"/>
        </w:rPr>
        <w:t>基础设施互联互</w:t>
      </w:r>
      <w:r>
        <w:rPr>
          <w:rFonts w:hint="eastAsia"/>
          <w:lang w:eastAsia="zh-Hans"/>
        </w:rPr>
        <w:t>通</w:t>
      </w:r>
      <w:bookmarkEnd w:id="79"/>
      <w:bookmarkEnd w:id="80"/>
    </w:p>
    <w:p>
      <w:pPr>
        <w:ind w:firstLine="602"/>
      </w:pPr>
      <w:r>
        <w:rPr>
          <w:rFonts w:hint="eastAsia"/>
          <w:b/>
        </w:rPr>
        <w:t>——推进跨区</w:t>
      </w:r>
      <w:r>
        <w:rPr>
          <w:b/>
        </w:rPr>
        <w:t>联动</w:t>
      </w:r>
      <w:r>
        <w:rPr>
          <w:rFonts w:hint="eastAsia"/>
          <w:b/>
        </w:rPr>
        <w:t>交通</w:t>
      </w:r>
      <w:r>
        <w:rPr>
          <w:b/>
        </w:rPr>
        <w:t>建设。</w:t>
      </w:r>
      <w:r>
        <w:rPr>
          <w:rFonts w:hint="eastAsia"/>
        </w:rPr>
        <w:t>推进万开云三地外部</w:t>
      </w:r>
      <w:r>
        <w:t>交通路网建设</w:t>
      </w:r>
      <w:r>
        <w:rPr>
          <w:rFonts w:hint="eastAsia"/>
        </w:rPr>
        <w:t>，加快规划布局交通网络主轴，加快推进成渝北线高铁及相关高速公路、干线公路建设，升级改造云阳、万州和开州毗邻区域道路，切实推动万开云三地互联互通。</w:t>
      </w:r>
    </w:p>
    <w:p>
      <w:pPr>
        <w:ind w:firstLine="602"/>
      </w:pPr>
      <w:r>
        <w:rPr>
          <w:rFonts w:hint="eastAsia"/>
          <w:b/>
        </w:rPr>
        <w:t>——推进</w:t>
      </w:r>
      <w:r>
        <w:rPr>
          <w:b/>
        </w:rPr>
        <w:t>新型基础设施建设。</w:t>
      </w:r>
      <w:r>
        <w:rPr>
          <w:rFonts w:hint="eastAsia"/>
        </w:rPr>
        <w:t>立足5G、</w:t>
      </w:r>
      <w:r>
        <w:t>互联网等基础，推进</w:t>
      </w:r>
      <w:r>
        <w:rPr>
          <w:rFonts w:hint="eastAsia"/>
        </w:rPr>
        <w:t>区域</w:t>
      </w:r>
      <w:r>
        <w:t>智慧旅游、一部手机畅游、一卡同游等</w:t>
      </w:r>
      <w:r>
        <w:rPr>
          <w:rFonts w:hint="eastAsia"/>
        </w:rPr>
        <w:t>科技</w:t>
      </w:r>
      <w:r>
        <w:t>化新型化旅游基础</w:t>
      </w:r>
      <w:r>
        <w:rPr>
          <w:rFonts w:hint="eastAsia"/>
        </w:rPr>
        <w:t>设施</w:t>
      </w:r>
      <w:r>
        <w:t>建设</w:t>
      </w:r>
      <w:r>
        <w:rPr>
          <w:rFonts w:hint="eastAsia"/>
        </w:rPr>
        <w:t>。建立万开云文旅服务</w:t>
      </w:r>
      <w:r>
        <w:t>平台</w:t>
      </w:r>
      <w:r>
        <w:rPr>
          <w:rFonts w:hint="eastAsia"/>
        </w:rPr>
        <w:t>，开发</w:t>
      </w:r>
      <w:r>
        <w:t>云上文旅展馆、云上</w:t>
      </w:r>
      <w:r>
        <w:rPr>
          <w:rFonts w:hint="eastAsia"/>
        </w:rPr>
        <w:t>博物馆、</w:t>
      </w:r>
      <w:r>
        <w:t>非遗数字展示等产品，</w:t>
      </w:r>
      <w:r>
        <w:rPr>
          <w:rFonts w:hint="eastAsia"/>
        </w:rPr>
        <w:t>发展</w:t>
      </w:r>
      <w:r>
        <w:t>数字文旅体验</w:t>
      </w:r>
      <w:r>
        <w:rPr>
          <w:rFonts w:hint="eastAsia"/>
        </w:rPr>
        <w:t>。</w:t>
      </w:r>
      <w:r>
        <w:t>推进</w:t>
      </w:r>
      <w:r>
        <w:rPr>
          <w:rFonts w:hint="eastAsia"/>
        </w:rPr>
        <w:t>景区</w:t>
      </w:r>
      <w:r>
        <w:t>智慧管理、智慧服务，</w:t>
      </w:r>
      <w:r>
        <w:rPr>
          <w:rFonts w:hint="eastAsia"/>
        </w:rPr>
        <w:t>推进区域重要景区景点</w:t>
      </w:r>
      <w:r>
        <w:t>（</w:t>
      </w:r>
      <w:r>
        <w:rPr>
          <w:rFonts w:hint="eastAsia"/>
        </w:rPr>
        <w:t>度假区</w:t>
      </w:r>
      <w:r>
        <w:t>）</w:t>
      </w:r>
      <w:r>
        <w:rPr>
          <w:rFonts w:hint="eastAsia"/>
        </w:rPr>
        <w:t>打造</w:t>
      </w:r>
      <w:r>
        <w:t>为全国智慧旅游示范项目。</w:t>
      </w:r>
    </w:p>
    <w:p>
      <w:pPr>
        <w:ind w:firstLine="602"/>
        <w:rPr>
          <w:highlight w:val="yellow"/>
        </w:rPr>
      </w:pPr>
      <w:r>
        <w:rPr>
          <w:rFonts w:hint="eastAsia"/>
          <w:b/>
        </w:rPr>
        <w:t>——完善</w:t>
      </w:r>
      <w:r>
        <w:rPr>
          <w:b/>
        </w:rPr>
        <w:t>文旅</w:t>
      </w:r>
      <w:r>
        <w:rPr>
          <w:rFonts w:hint="eastAsia"/>
          <w:b/>
        </w:rPr>
        <w:t>配套</w:t>
      </w:r>
      <w:r>
        <w:rPr>
          <w:b/>
        </w:rPr>
        <w:t>设施。</w:t>
      </w:r>
      <w:r>
        <w:rPr>
          <w:rFonts w:hint="eastAsia"/>
        </w:rPr>
        <w:t>加强万开云景区旅游交通驿站规划建设，打造一批高品质游客中心、集散中心、自驾营地、旅游厕所等配套</w:t>
      </w:r>
      <w:r>
        <w:t>设施</w:t>
      </w:r>
      <w:r>
        <w:rPr>
          <w:rFonts w:hint="eastAsia"/>
        </w:rPr>
        <w:t>。持续升级“万云水上巴士”游线</w:t>
      </w:r>
      <w:r>
        <w:t>，</w:t>
      </w:r>
      <w:r>
        <w:rPr>
          <w:rFonts w:hint="eastAsia"/>
        </w:rPr>
        <w:t>开展区域旅游专线定制服务</w:t>
      </w:r>
      <w:r>
        <w:t>，开通旅游</w:t>
      </w:r>
      <w:r>
        <w:rPr>
          <w:rFonts w:hint="eastAsia"/>
        </w:rPr>
        <w:t>专线专列等旅游</w:t>
      </w:r>
      <w:r>
        <w:t>交通</w:t>
      </w:r>
      <w:r>
        <w:rPr>
          <w:rFonts w:hint="eastAsia"/>
        </w:rPr>
        <w:t>。加强文化旅游安全共建共治，推动建设半小时</w:t>
      </w:r>
      <w:r>
        <w:t>安全应急</w:t>
      </w:r>
      <w:r>
        <w:rPr>
          <w:rFonts w:hint="eastAsia"/>
        </w:rPr>
        <w:t>救援</w:t>
      </w:r>
      <w:r>
        <w:t>圈，</w:t>
      </w:r>
      <w:r>
        <w:rPr>
          <w:rFonts w:hint="eastAsia"/>
        </w:rPr>
        <w:t>健全</w:t>
      </w:r>
      <w:r>
        <w:t>文旅安全合作</w:t>
      </w:r>
      <w:r>
        <w:rPr>
          <w:rFonts w:hint="eastAsia"/>
        </w:rPr>
        <w:t>保障体系</w:t>
      </w:r>
      <w:r>
        <w:t>。</w:t>
      </w:r>
    </w:p>
    <w:p>
      <w:pPr>
        <w:pStyle w:val="4"/>
        <w:ind w:firstLine="640"/>
      </w:pPr>
      <w:bookmarkStart w:id="81" w:name="_Toc82624373"/>
      <w:bookmarkStart w:id="82" w:name="_Toc79506425"/>
      <w:r>
        <w:rPr>
          <w:lang w:eastAsia="zh-Hans"/>
        </w:rPr>
        <w:t>第</w:t>
      </w:r>
      <w:r>
        <w:rPr>
          <w:rFonts w:hint="eastAsia"/>
        </w:rPr>
        <w:t>三</w:t>
      </w:r>
      <w:r>
        <w:rPr>
          <w:lang w:eastAsia="zh-Hans"/>
        </w:rPr>
        <w:t>节</w:t>
      </w:r>
      <w:r>
        <w:rPr>
          <w:rFonts w:hint="eastAsia"/>
          <w:lang w:eastAsia="zh-Hans"/>
        </w:rPr>
        <w:t xml:space="preserve"> 共塑示范区文旅</w:t>
      </w:r>
      <w:r>
        <w:rPr>
          <w:lang w:eastAsia="zh-Hans"/>
        </w:rPr>
        <w:t>品牌形象</w:t>
      </w:r>
      <w:bookmarkEnd w:id="81"/>
      <w:bookmarkEnd w:id="82"/>
    </w:p>
    <w:p>
      <w:pPr>
        <w:ind w:firstLine="602"/>
        <w:rPr>
          <w:color w:val="000000" w:themeColor="text1"/>
          <w:shd w:val="clear" w:color="auto" w:fill="FFFFFF"/>
          <w14:textFill>
            <w14:solidFill>
              <w14:schemeClr w14:val="tx1"/>
            </w14:solidFill>
          </w14:textFill>
        </w:rPr>
      </w:pPr>
      <w:r>
        <w:rPr>
          <w:rFonts w:hint="eastAsia"/>
          <w:b/>
          <w:bCs/>
        </w:rPr>
        <w:t>——共建跨区精品游线。</w:t>
      </w:r>
      <w:r>
        <w:rPr>
          <w:rFonts w:hint="eastAsia"/>
        </w:rPr>
        <w:t>以丰都-万州-云阳-奉节-巫山-巫溪-恩施长江三峡游线为主，共建长江三峡国际黄金旅游带云阳支点游线。联结安康—通江-城口-万州-开州区域，打造以成渝+中原+关中城市群为主的大巴山生态康养游线。联动新津-堰坪-蔈草-清水-利川，共建七曜山山地康体游线。</w:t>
      </w:r>
    </w:p>
    <w:p>
      <w:pPr>
        <w:ind w:firstLine="602"/>
      </w:pPr>
      <w:r>
        <w:rPr>
          <w:rFonts w:hint="eastAsia"/>
          <w:b/>
          <w:bCs/>
        </w:rPr>
        <w:t>——共商文旅活动营销。</w:t>
      </w:r>
      <w:r>
        <w:rPr>
          <w:rFonts w:hint="eastAsia"/>
        </w:rPr>
        <w:t>立足文化特色和亮点资源，共同策划举办长江三峡国际旅游节、张飞庙庙会、户外多项运动挑战赛等具有影响力的大型活动，以及二十四节气民俗活动、万开云一家亲、三峡非遗文化表演节等大众化、群众性活动，实现以共同举办活动推动万开云联合营销、联合推广。</w:t>
      </w:r>
    </w:p>
    <w:p>
      <w:pPr>
        <w:ind w:firstLine="602"/>
        <w:rPr>
          <w:highlight w:val="yellow"/>
          <w:lang w:eastAsia="zh-Hans"/>
        </w:rPr>
      </w:pPr>
      <w:r>
        <w:rPr>
          <w:rFonts w:hint="eastAsia"/>
          <w:b/>
        </w:rPr>
        <w:t>——拓展联合</w:t>
      </w:r>
      <w:r>
        <w:rPr>
          <w:b/>
        </w:rPr>
        <w:t>营销路径。</w:t>
      </w:r>
      <w:r>
        <w:rPr>
          <w:rFonts w:hint="eastAsia"/>
        </w:rPr>
        <w:t>构建</w:t>
      </w:r>
      <w:r>
        <w:t>以营销平台为</w:t>
      </w:r>
      <w:r>
        <w:rPr>
          <w:rFonts w:hint="eastAsia"/>
        </w:rPr>
        <w:t>核心</w:t>
      </w:r>
      <w:r>
        <w:t>的文旅营销网络</w:t>
      </w:r>
      <w:r>
        <w:rPr>
          <w:rFonts w:hint="eastAsia"/>
        </w:rPr>
        <w:t>体系</w:t>
      </w:r>
      <w:r>
        <w:t>，</w:t>
      </w:r>
      <w:r>
        <w:rPr>
          <w:rFonts w:hint="eastAsia"/>
        </w:rPr>
        <w:t>结合“惠游重庆”“惠游三峡”</w:t>
      </w:r>
      <w:r>
        <w:t>平台，搭建</w:t>
      </w:r>
      <w:r>
        <w:rPr>
          <w:rFonts w:hint="eastAsia"/>
        </w:rPr>
        <w:t>万开云“旅游一码通”文旅</w:t>
      </w:r>
      <w:r>
        <w:t>品牌推广</w:t>
      </w:r>
      <w:r>
        <w:rPr>
          <w:rFonts w:hint="eastAsia"/>
        </w:rPr>
        <w:t>专项</w:t>
      </w:r>
      <w:r>
        <w:t>平台</w:t>
      </w:r>
      <w:r>
        <w:rPr>
          <w:rFonts w:hint="eastAsia"/>
        </w:rPr>
        <w:t>，积极推动</w:t>
      </w:r>
      <w:r>
        <w:t>将</w:t>
      </w:r>
      <w:r>
        <w:rPr>
          <w:rFonts w:hint="eastAsia"/>
        </w:rPr>
        <w:t>区域精品</w:t>
      </w:r>
      <w:r>
        <w:t>旅游线路纳入</w:t>
      </w:r>
      <w:r>
        <w:rPr>
          <w:rFonts w:hint="eastAsia"/>
        </w:rPr>
        <w:t>国家</w:t>
      </w:r>
      <w:r>
        <w:t>文旅部推荐线路</w:t>
      </w:r>
      <w:r>
        <w:rPr>
          <w:rFonts w:hint="eastAsia"/>
        </w:rPr>
        <w:t>，常态化开展广告</w:t>
      </w:r>
      <w:r>
        <w:t>、</w:t>
      </w:r>
      <w:r>
        <w:rPr>
          <w:rFonts w:hint="eastAsia"/>
        </w:rPr>
        <w:t>期刊</w:t>
      </w:r>
      <w:r>
        <w:t>等</w:t>
      </w:r>
      <w:r>
        <w:rPr>
          <w:rFonts w:hint="eastAsia"/>
        </w:rPr>
        <w:t>线</w:t>
      </w:r>
      <w:r>
        <w:t>下</w:t>
      </w:r>
      <w:r>
        <w:rPr>
          <w:rFonts w:hint="eastAsia"/>
        </w:rPr>
        <w:t>营销</w:t>
      </w:r>
      <w:r>
        <w:t>，联动</w:t>
      </w:r>
      <w:r>
        <w:rPr>
          <w:rFonts w:hint="eastAsia"/>
        </w:rPr>
        <w:t>各类搜索</w:t>
      </w:r>
      <w:r>
        <w:t>引擎、新媒体</w:t>
      </w:r>
      <w:r>
        <w:rPr>
          <w:rFonts w:hint="eastAsia"/>
        </w:rPr>
        <w:t>与</w:t>
      </w:r>
      <w:r>
        <w:t>自</w:t>
      </w:r>
      <w:r>
        <w:rPr>
          <w:rFonts w:hint="eastAsia"/>
        </w:rPr>
        <w:t>媒体</w:t>
      </w:r>
      <w:r>
        <w:t>等线上营销</w:t>
      </w:r>
      <w:r>
        <w:rPr>
          <w:rFonts w:hint="eastAsia"/>
        </w:rPr>
        <w:t>，形成</w:t>
      </w:r>
      <w:r>
        <w:t>宣传营销合</w:t>
      </w:r>
      <w:r>
        <w:rPr>
          <w:rFonts w:hint="eastAsia"/>
        </w:rPr>
        <w:t>力</w:t>
      </w:r>
      <w:r>
        <w:rPr>
          <w:rFonts w:hint="eastAsia" w:cs="宋体"/>
          <w:color w:val="000000" w:themeColor="text1"/>
          <w14:textFill>
            <w14:solidFill>
              <w14:schemeClr w14:val="tx1"/>
            </w14:solidFill>
          </w14:textFill>
        </w:rPr>
        <w:t>。</w:t>
      </w:r>
    </w:p>
    <w:p>
      <w:pPr>
        <w:pStyle w:val="4"/>
        <w:ind w:firstLine="640"/>
      </w:pPr>
      <w:bookmarkStart w:id="83" w:name="_Toc82624374"/>
      <w:bookmarkStart w:id="84" w:name="_Toc79506426"/>
      <w:r>
        <w:rPr>
          <w:rFonts w:hint="eastAsia"/>
          <w:lang w:eastAsia="zh-Hans"/>
        </w:rPr>
        <w:t>第</w:t>
      </w:r>
      <w:r>
        <w:rPr>
          <w:rFonts w:hint="eastAsia"/>
        </w:rPr>
        <w:t>四</w:t>
      </w:r>
      <w:r>
        <w:rPr>
          <w:rFonts w:hint="eastAsia"/>
          <w:lang w:eastAsia="zh-Hans"/>
        </w:rPr>
        <w:t>节</w:t>
      </w:r>
      <w:r>
        <w:rPr>
          <w:lang w:eastAsia="zh-Hans"/>
        </w:rPr>
        <w:t xml:space="preserve"> 建立</w:t>
      </w:r>
      <w:r>
        <w:rPr>
          <w:rFonts w:hint="eastAsia"/>
          <w:lang w:eastAsia="zh-Hans"/>
        </w:rPr>
        <w:t>区域</w:t>
      </w:r>
      <w:r>
        <w:rPr>
          <w:lang w:eastAsia="zh-Hans"/>
        </w:rPr>
        <w:t>文旅</w:t>
      </w:r>
      <w:r>
        <w:rPr>
          <w:rFonts w:hint="eastAsia"/>
          <w:lang w:eastAsia="zh-Hans"/>
        </w:rPr>
        <w:t>融合</w:t>
      </w:r>
      <w:r>
        <w:rPr>
          <w:lang w:eastAsia="zh-Hans"/>
        </w:rPr>
        <w:t>发展</w:t>
      </w:r>
      <w:r>
        <w:rPr>
          <w:rFonts w:hint="eastAsia"/>
          <w:lang w:eastAsia="zh-Hans"/>
        </w:rPr>
        <w:t>体制</w:t>
      </w:r>
      <w:r>
        <w:rPr>
          <w:lang w:eastAsia="zh-Hans"/>
        </w:rPr>
        <w:t>和保障机制</w:t>
      </w:r>
      <w:bookmarkEnd w:id="83"/>
      <w:bookmarkEnd w:id="84"/>
    </w:p>
    <w:p>
      <w:pPr>
        <w:ind w:firstLine="600"/>
      </w:pPr>
      <w:r>
        <w:rPr>
          <w:rFonts w:hint="eastAsia"/>
        </w:rPr>
        <w:t>立足区域</w:t>
      </w:r>
      <w:r>
        <w:t>文旅</w:t>
      </w:r>
      <w:r>
        <w:rPr>
          <w:rFonts w:hint="eastAsia"/>
        </w:rPr>
        <w:t>融合发展</w:t>
      </w:r>
      <w:r>
        <w:t>，</w:t>
      </w:r>
      <w:r>
        <w:rPr>
          <w:rFonts w:hint="eastAsia"/>
          <w:b/>
        </w:rPr>
        <w:t>一是</w:t>
      </w:r>
      <w:r>
        <w:t>建立协同合作机制</w:t>
      </w:r>
      <w:r>
        <w:rPr>
          <w:rFonts w:hint="eastAsia"/>
        </w:rPr>
        <w:t>。全面推动文旅项目共建、文旅节赛互动共办、文旅精品产品共育、文旅设施共推等</w:t>
      </w:r>
      <w:r>
        <w:t>合作</w:t>
      </w:r>
      <w:r>
        <w:rPr>
          <w:rFonts w:hint="eastAsia"/>
        </w:rPr>
        <w:t>，共同推进区域融合发展。二</w:t>
      </w:r>
      <w:r>
        <w:rPr>
          <w:b/>
        </w:rPr>
        <w:t>是</w:t>
      </w:r>
      <w:r>
        <w:rPr>
          <w:rFonts w:hint="eastAsia"/>
        </w:rPr>
        <w:t>强化</w:t>
      </w:r>
      <w:r>
        <w:t>工作领导，</w:t>
      </w:r>
      <w:r>
        <w:rPr>
          <w:rFonts w:hint="eastAsia"/>
        </w:rPr>
        <w:t>建立健全区域文旅联动发展领导机制，积极发挥万开云同城化办公室作用，统筹</w:t>
      </w:r>
      <w:r>
        <w:t>协调</w:t>
      </w:r>
      <w:r>
        <w:rPr>
          <w:rFonts w:hint="eastAsia"/>
        </w:rPr>
        <w:t>推动区域文旅联动建设。</w:t>
      </w:r>
      <w:r>
        <w:rPr>
          <w:rFonts w:hint="eastAsia"/>
          <w:b/>
        </w:rPr>
        <w:t>三</w:t>
      </w:r>
      <w:r>
        <w:rPr>
          <w:b/>
        </w:rPr>
        <w:t>是</w:t>
      </w:r>
      <w:r>
        <w:rPr>
          <w:rFonts w:hint="eastAsia"/>
        </w:rPr>
        <w:t>强化</w:t>
      </w:r>
      <w:r>
        <w:t>要素保障</w:t>
      </w:r>
      <w:r>
        <w:rPr>
          <w:rFonts w:hint="eastAsia"/>
        </w:rPr>
        <w:t>，</w:t>
      </w:r>
      <w:r>
        <w:t>健全</w:t>
      </w:r>
      <w:r>
        <w:rPr>
          <w:rFonts w:hint="eastAsia"/>
        </w:rPr>
        <w:t>财政</w:t>
      </w:r>
      <w:r>
        <w:t>资金、社会资本、民间资本等多元投融资</w:t>
      </w:r>
      <w:r>
        <w:rPr>
          <w:rFonts w:hint="eastAsia"/>
        </w:rPr>
        <w:t>机制</w:t>
      </w:r>
      <w:r>
        <w:t>，强化土地、人才等要素</w:t>
      </w:r>
      <w:r>
        <w:rPr>
          <w:rFonts w:hint="eastAsia"/>
        </w:rPr>
        <w:t>保障</w:t>
      </w:r>
      <w:r>
        <w:t>，</w:t>
      </w:r>
      <w:r>
        <w:rPr>
          <w:rFonts w:hint="eastAsia"/>
        </w:rPr>
        <w:t>争取</w:t>
      </w:r>
      <w:r>
        <w:t>示范</w:t>
      </w:r>
      <w:r>
        <w:rPr>
          <w:rFonts w:hint="eastAsia"/>
        </w:rPr>
        <w:t>项目</w:t>
      </w:r>
      <w:r>
        <w:t>、资金、用地纳入国家</w:t>
      </w:r>
      <w:r>
        <w:rPr>
          <w:rFonts w:hint="eastAsia"/>
        </w:rPr>
        <w:t>、市</w:t>
      </w:r>
      <w:r>
        <w:t>级</w:t>
      </w:r>
      <w:r>
        <w:rPr>
          <w:rFonts w:hint="eastAsia"/>
        </w:rPr>
        <w:t>统筹</w:t>
      </w:r>
      <w:r>
        <w:t>安排。</w:t>
      </w:r>
      <w:r>
        <w:rPr>
          <w:rFonts w:hint="eastAsia"/>
          <w:b/>
        </w:rPr>
        <w:t>四</w:t>
      </w:r>
      <w:r>
        <w:rPr>
          <w:b/>
        </w:rPr>
        <w:t>是</w:t>
      </w:r>
      <w:r>
        <w:rPr>
          <w:rFonts w:hint="eastAsia"/>
        </w:rPr>
        <w:t>强化</w:t>
      </w:r>
      <w:r>
        <w:t>任务落实，制定年度任务清单，</w:t>
      </w:r>
      <w:r>
        <w:rPr>
          <w:rFonts w:hint="eastAsia"/>
        </w:rPr>
        <w:t>落实各区县</w:t>
      </w:r>
      <w:r>
        <w:t>主体</w:t>
      </w:r>
      <w:r>
        <w:rPr>
          <w:rFonts w:hint="eastAsia"/>
        </w:rPr>
        <w:t>责任</w:t>
      </w:r>
      <w:r>
        <w:t>，</w:t>
      </w:r>
      <w:r>
        <w:rPr>
          <w:rFonts w:hint="eastAsia"/>
        </w:rPr>
        <w:t>推动</w:t>
      </w:r>
      <w:r>
        <w:t>任务落实</w:t>
      </w:r>
      <w:r>
        <w:rPr>
          <w:rFonts w:hint="eastAsia"/>
        </w:rPr>
        <w:t>。</w:t>
      </w:r>
      <w:r>
        <w:br w:type="page"/>
      </w:r>
    </w:p>
    <w:p>
      <w:pPr>
        <w:pStyle w:val="2"/>
        <w:ind w:firstLine="880"/>
      </w:pPr>
      <w:bookmarkStart w:id="85" w:name="_Toc82624375"/>
      <w:r>
        <w:rPr>
          <w:rFonts w:hint="eastAsia"/>
        </w:rPr>
        <w:t>第四篇 加快全国全民运动</w:t>
      </w:r>
      <w:r>
        <w:t>健身</w:t>
      </w:r>
      <w:r>
        <w:rPr>
          <w:rFonts w:hint="eastAsia"/>
        </w:rPr>
        <w:t>模范县建设</w:t>
      </w:r>
      <w:bookmarkEnd w:id="85"/>
    </w:p>
    <w:p>
      <w:pPr>
        <w:ind w:firstLine="600"/>
        <w:rPr>
          <w:rFonts w:ascii="方正仿宋_GBK"/>
        </w:rPr>
      </w:pPr>
      <w:r>
        <w:rPr>
          <w:rFonts w:hint="eastAsia"/>
        </w:rPr>
        <w:t>落实全民</w:t>
      </w:r>
      <w:r>
        <w:t>健身战略，助推健康云阳</w:t>
      </w:r>
      <w:r>
        <w:rPr>
          <w:rFonts w:hint="eastAsia"/>
        </w:rPr>
        <w:t>。加快推进全国全民健身示范县建设，发扬民族体育文化，丰富体育业态，打造全国全民</w:t>
      </w:r>
      <w:r>
        <w:t>运动健身模范县</w:t>
      </w:r>
      <w:r>
        <w:rPr>
          <w:rFonts w:hint="eastAsia"/>
        </w:rPr>
        <w:t>，推进体育事业迈上新台阶</w:t>
      </w:r>
      <w:r>
        <w:rPr>
          <w:rFonts w:hint="eastAsia" w:ascii="方正仿宋_GBK"/>
        </w:rPr>
        <w:t>。</w:t>
      </w:r>
    </w:p>
    <w:p>
      <w:pPr>
        <w:pStyle w:val="3"/>
        <w:ind w:firstLine="720"/>
      </w:pPr>
      <w:bookmarkStart w:id="86" w:name="_Toc82624376"/>
      <w:r>
        <w:rPr>
          <w:rFonts w:hint="eastAsia"/>
        </w:rPr>
        <w:t>第十四章 全面落实全民健身战略</w:t>
      </w:r>
      <w:bookmarkEnd w:id="86"/>
    </w:p>
    <w:p>
      <w:pPr>
        <w:ind w:firstLine="600"/>
      </w:pPr>
      <w:r>
        <w:rPr>
          <w:rFonts w:hint="eastAsia"/>
        </w:rPr>
        <w:t>坚持以人民为中心，紧紧围绕满足人民群众需求，完善云阳全民健身服务项目和基本标准，构建更高水平的全民健身公共服务体系。</w:t>
      </w:r>
    </w:p>
    <w:p>
      <w:pPr>
        <w:pStyle w:val="4"/>
        <w:ind w:firstLine="640"/>
      </w:pPr>
      <w:bookmarkStart w:id="87" w:name="_Toc82624377"/>
      <w:r>
        <w:rPr>
          <w:rFonts w:hint="eastAsia"/>
        </w:rPr>
        <w:t>第一节 完善全民健身设施网络</w:t>
      </w:r>
      <w:bookmarkEnd w:id="87"/>
    </w:p>
    <w:p>
      <w:pPr>
        <w:ind w:firstLine="600"/>
      </w:pPr>
      <w:r>
        <w:t xml:space="preserve">构建自上而下、城乡统筹的 </w:t>
      </w:r>
      <w:r>
        <w:rPr>
          <w:rFonts w:hint="eastAsia"/>
        </w:rPr>
        <w:t>“</w:t>
      </w:r>
      <w:r>
        <w:t>城区</w:t>
      </w:r>
      <w:r>
        <w:rPr>
          <w:rFonts w:hint="eastAsia"/>
        </w:rPr>
        <w:t>-乡镇-村社”</w:t>
      </w:r>
      <w:r>
        <w:t>三级全民健身设施网络，</w:t>
      </w:r>
      <w:r>
        <w:rPr>
          <w:rFonts w:hint="eastAsia"/>
        </w:rPr>
        <w:t>打造“5分钟到公园、10分钟到广场”全民健身圈。</w:t>
      </w:r>
    </w:p>
    <w:p>
      <w:pPr>
        <w:ind w:firstLine="602"/>
      </w:pPr>
      <w:r>
        <w:rPr>
          <w:rFonts w:hint="eastAsia"/>
          <w:b/>
        </w:rPr>
        <w:t>——完善城区全民健身场地网络。</w:t>
      </w:r>
      <w:r>
        <w:rPr>
          <w:rFonts w:hint="eastAsia"/>
        </w:rPr>
        <w:t>建立“大型场馆为中心，社区体育设施、公园运动绿地为节点，新建改造建设步道串联成网，结合入院、入户的家庭健身设施”的“一心多点全覆盖”的全民健身场地网络。按照</w:t>
      </w:r>
      <w:r>
        <w:t>《</w:t>
      </w:r>
      <w:r>
        <w:rPr>
          <w:rFonts w:hint="eastAsia"/>
        </w:rPr>
        <w:t>城市</w:t>
      </w:r>
      <w:r>
        <w:t>居住</w:t>
      </w:r>
      <w:r>
        <w:rPr>
          <w:rFonts w:hint="eastAsia"/>
        </w:rPr>
        <w:t>区</w:t>
      </w:r>
      <w:r>
        <w:t>规划</w:t>
      </w:r>
      <w:r>
        <w:rPr>
          <w:rFonts w:hint="eastAsia"/>
        </w:rPr>
        <w:t>设计</w:t>
      </w:r>
      <w:r>
        <w:t>标准》</w:t>
      </w:r>
      <w:r>
        <w:rPr>
          <w:rFonts w:hint="eastAsia"/>
        </w:rPr>
        <w:t>完善社区体育设施和公园绿地的运动功能</w:t>
      </w:r>
      <w:r>
        <w:rPr>
          <w:rFonts w:ascii="Arial" w:hAnsi="Arial" w:cs="Arial"/>
          <w:shd w:val="clear" w:color="auto" w:fill="FFFFFF"/>
        </w:rPr>
        <w:t>，</w:t>
      </w:r>
      <w:r>
        <w:rPr>
          <w:rFonts w:hint="eastAsia"/>
        </w:rPr>
        <w:t>结合老旧小区改造统筹建设社区健身设施，</w:t>
      </w:r>
      <w:r>
        <w:rPr>
          <w:rFonts w:ascii="Arial" w:hAnsi="Arial" w:cs="Arial"/>
          <w:shd w:val="clear" w:color="auto" w:fill="FFFFFF"/>
        </w:rPr>
        <w:t>探索社区体育</w:t>
      </w:r>
      <w:r>
        <w:rPr>
          <w:rFonts w:hint="eastAsia" w:ascii="Arial" w:hAnsi="Arial" w:cs="Arial"/>
          <w:shd w:val="clear" w:color="auto" w:fill="FFFFFF"/>
        </w:rPr>
        <w:t>场地</w:t>
      </w:r>
      <w:r>
        <w:rPr>
          <w:rFonts w:ascii="Arial" w:hAnsi="Arial" w:cs="Arial"/>
          <w:shd w:val="clear" w:color="auto" w:fill="FFFFFF"/>
        </w:rPr>
        <w:t>与社区文化艺术、体育事业发展的互动机制，打造</w:t>
      </w:r>
      <w:r>
        <w:rPr>
          <w:rFonts w:hint="eastAsia" w:ascii="Arial" w:hAnsi="Arial" w:cs="Arial"/>
          <w:shd w:val="clear" w:color="auto" w:fill="FFFFFF"/>
        </w:rPr>
        <w:t>具有三峡城市</w:t>
      </w:r>
      <w:r>
        <w:rPr>
          <w:rFonts w:ascii="Arial" w:hAnsi="Arial" w:cs="Arial"/>
          <w:shd w:val="clear" w:color="auto" w:fill="FFFFFF"/>
        </w:rPr>
        <w:t>特色的社区</w:t>
      </w:r>
      <w:r>
        <w:rPr>
          <w:rFonts w:hint="eastAsia" w:ascii="Arial" w:hAnsi="Arial" w:cs="Arial"/>
          <w:shd w:val="clear" w:color="auto" w:fill="FFFFFF"/>
        </w:rPr>
        <w:t>健身</w:t>
      </w:r>
      <w:r>
        <w:rPr>
          <w:rFonts w:ascii="Arial" w:hAnsi="Arial" w:cs="Arial"/>
          <w:shd w:val="clear" w:color="auto" w:fill="FFFFFF"/>
        </w:rPr>
        <w:t>场所，促进群众体育设施品质提升。</w:t>
      </w:r>
      <w:r>
        <w:rPr>
          <w:rFonts w:hint="eastAsia"/>
        </w:rPr>
        <w:t xml:space="preserve"> </w:t>
      </w:r>
    </w:p>
    <w:p>
      <w:pPr>
        <w:ind w:firstLine="602"/>
      </w:pPr>
      <w:r>
        <w:rPr>
          <w:rFonts w:hint="eastAsia"/>
          <w:b/>
        </w:rPr>
        <w:t>——推进重点乡镇全民健身广场建设。</w:t>
      </w:r>
      <w:r>
        <w:rPr>
          <w:rFonts w:hint="eastAsia"/>
        </w:rPr>
        <w:t>推进江口镇</w:t>
      </w:r>
      <w:r>
        <w:t>、</w:t>
      </w:r>
      <w:r>
        <w:rPr>
          <w:rFonts w:hint="eastAsia"/>
        </w:rPr>
        <w:t>南溪</w:t>
      </w:r>
      <w:r>
        <w:t>镇、</w:t>
      </w:r>
      <w:r>
        <w:rPr>
          <w:rFonts w:hint="eastAsia"/>
        </w:rPr>
        <w:t>普安乡、龙角</w:t>
      </w:r>
      <w:r>
        <w:t>镇等</w:t>
      </w:r>
      <w:r>
        <w:rPr>
          <w:rFonts w:hint="eastAsia"/>
        </w:rPr>
        <w:t>重点乡镇的全民健身广场建设，按照《乡镇</w:t>
      </w:r>
      <w:r>
        <w:t>体育健身工程体育设施建设指导</w:t>
      </w:r>
      <w:r>
        <w:rPr>
          <w:rFonts w:hint="eastAsia"/>
        </w:rPr>
        <w:t>》标准，</w:t>
      </w:r>
      <w:r>
        <w:t>推动农村</w:t>
      </w:r>
      <w:r>
        <w:rPr>
          <w:rFonts w:hint="eastAsia"/>
        </w:rPr>
        <w:t>体育</w:t>
      </w:r>
      <w:r>
        <w:t>器材</w:t>
      </w:r>
      <w:r>
        <w:rPr>
          <w:rFonts w:hint="eastAsia"/>
        </w:rPr>
        <w:t>向</w:t>
      </w:r>
      <w:r>
        <w:t>多元化</w:t>
      </w:r>
      <w:r>
        <w:rPr>
          <w:rFonts w:hint="eastAsia"/>
        </w:rPr>
        <w:t>提档升级，加强</w:t>
      </w:r>
      <w:r>
        <w:t>场馆</w:t>
      </w:r>
      <w:r>
        <w:rPr>
          <w:rFonts w:hint="eastAsia"/>
        </w:rPr>
        <w:t>器材</w:t>
      </w:r>
      <w:r>
        <w:t>的日常维护和管理</w:t>
      </w:r>
      <w:r>
        <w:rPr>
          <w:rFonts w:hint="eastAsia"/>
        </w:rPr>
        <w:t>。</w:t>
      </w:r>
    </w:p>
    <w:p>
      <w:pPr>
        <w:ind w:firstLine="602"/>
      </w:pPr>
      <w:r>
        <w:rPr>
          <w:rFonts w:hint="eastAsia"/>
          <w:b/>
        </w:rPr>
        <w:t>——全覆盖建设乡村全民健身场地。</w:t>
      </w:r>
      <w:r>
        <w:rPr>
          <w:rFonts w:hint="eastAsia"/>
        </w:rPr>
        <w:t>以村为单位择取村民聚居点建设全民健身场，包含足球场、健身器材</w:t>
      </w:r>
      <w:r>
        <w:t>、广场舞场地等</w:t>
      </w:r>
      <w:r>
        <w:rPr>
          <w:rFonts w:hint="eastAsia"/>
        </w:rPr>
        <w:t>必要功能；有条件的院落民居推动健身设施入院。坚持建管并举，提高健身场地设施使用率。</w:t>
      </w:r>
    </w:p>
    <w:p>
      <w:pPr>
        <w:ind w:firstLine="602"/>
      </w:pPr>
      <w:r>
        <w:rPr>
          <w:rFonts w:hint="eastAsia"/>
          <w:b/>
        </w:rPr>
        <w:t>——完善体育设施全民开放机制。</w:t>
      </w:r>
      <w:r>
        <w:rPr>
          <w:rFonts w:hint="eastAsia"/>
        </w:rPr>
        <w:t>构建</w:t>
      </w:r>
      <w:r>
        <w:t>以</w:t>
      </w:r>
      <w:r>
        <w:rPr>
          <w:rFonts w:hint="eastAsia"/>
        </w:rPr>
        <w:t>公益保障为主、市场经营为辅的</w:t>
      </w:r>
      <w:r>
        <w:t>体育设施管理机制</w:t>
      </w:r>
      <w:r>
        <w:rPr>
          <w:rFonts w:hint="eastAsia"/>
        </w:rPr>
        <w:t>。运用信息化技术提升场馆开放使用效益。推动大型体育场馆按一定原则开放。</w:t>
      </w:r>
    </w:p>
    <w:p>
      <w:pPr>
        <w:pStyle w:val="4"/>
        <w:ind w:firstLine="640"/>
      </w:pPr>
      <w:bookmarkStart w:id="88" w:name="_Toc82624378"/>
      <w:r>
        <w:rPr>
          <w:rFonts w:hint="eastAsia"/>
        </w:rPr>
        <w:t>第二节 健全全民健身组织网络</w:t>
      </w:r>
      <w:bookmarkEnd w:id="88"/>
    </w:p>
    <w:p>
      <w:pPr>
        <w:ind w:firstLine="602"/>
      </w:pPr>
      <w:r>
        <w:rPr>
          <w:rFonts w:hint="eastAsia"/>
          <w:b/>
        </w:rPr>
        <w:t>——健全群众体育健身组织。</w:t>
      </w:r>
      <w:r>
        <w:rPr>
          <w:rFonts w:hint="eastAsia"/>
        </w:rPr>
        <w:t>推进单项体育协会组织和社会体育组织建设，逐步实现体育协会全覆盖。拓展乡镇综合文化站和行政村文化室的体育服务功能，鼓励各系统、各行业积极发展体育社会组织</w:t>
      </w:r>
      <w:r>
        <w:t>。</w:t>
      </w:r>
      <w:r>
        <w:rPr>
          <w:rFonts w:hint="eastAsia"/>
        </w:rPr>
        <w:t>建立完善社会体育组织管理激励机制，建立信息资源共享机制，政府综合监管体系，激发社会组织活力。</w:t>
      </w:r>
    </w:p>
    <w:p>
      <w:pPr>
        <w:ind w:firstLine="602"/>
      </w:pPr>
      <w:r>
        <w:rPr>
          <w:rFonts w:hint="eastAsia"/>
          <w:b/>
        </w:rPr>
        <w:t>——积极开展全民健身志愿服务活动。</w:t>
      </w:r>
      <w:r>
        <w:rPr>
          <w:rFonts w:hint="eastAsia"/>
        </w:rPr>
        <w:t>构建全民健身志愿服务组织网络，推动全民健身志愿服务与其他领域的志愿服务相互借力。健全全民健身志愿服务长效机制，打造可持续开展、实效显著的全民健身志愿服务项目。建立志愿服务下基层制度，扩大志愿者服务活动地域范围，</w:t>
      </w:r>
      <w:r>
        <w:t>推动志愿服务下乡入户</w:t>
      </w:r>
      <w:r>
        <w:rPr>
          <w:rFonts w:hint="eastAsia"/>
        </w:rPr>
        <w:t>。</w:t>
      </w:r>
    </w:p>
    <w:p>
      <w:pPr>
        <w:ind w:firstLine="602"/>
      </w:pPr>
      <w:r>
        <w:rPr>
          <w:rFonts w:hint="eastAsia"/>
          <w:b/>
        </w:rPr>
        <w:t>——发挥全民健身带头人作用</w:t>
      </w:r>
      <w:r>
        <w:rPr>
          <w:b/>
        </w:rPr>
        <w:t>。</w:t>
      </w:r>
      <w:r>
        <w:rPr>
          <w:rFonts w:hint="eastAsia"/>
        </w:rPr>
        <w:t>以村社为单位评选全民健身带头人，</w:t>
      </w:r>
      <w:r>
        <w:rPr>
          <w:rFonts w:hint="eastAsia"/>
          <w:shd w:val="clear" w:color="auto" w:fill="FFFFFF"/>
        </w:rPr>
        <w:t>使全民健身带头人成为“全民健身的宣传者、科学健身指导者、群众体育活动组织者、体育场地设施维护者、健康生活方式引领者”，参与街道和乡镇的全民健身活动管理工作。</w:t>
      </w:r>
    </w:p>
    <w:p>
      <w:pPr>
        <w:pStyle w:val="4"/>
        <w:ind w:firstLine="640"/>
      </w:pPr>
      <w:bookmarkStart w:id="89" w:name="_Toc82624379"/>
      <w:r>
        <w:rPr>
          <w:rFonts w:hint="eastAsia"/>
        </w:rPr>
        <w:t>第三节 广泛开展全民健身活动</w:t>
      </w:r>
      <w:bookmarkEnd w:id="89"/>
    </w:p>
    <w:p>
      <w:pPr>
        <w:ind w:firstLine="600"/>
      </w:pPr>
      <w:r>
        <w:t>构建</w:t>
      </w:r>
      <w:r>
        <w:rPr>
          <w:rFonts w:hint="eastAsia"/>
        </w:rPr>
        <w:t>“</w:t>
      </w:r>
      <w:r>
        <w:t>以普适性全民体育项目为基础，地方健身项目为特色</w:t>
      </w:r>
      <w:r>
        <w:rPr>
          <w:rFonts w:hint="eastAsia"/>
        </w:rPr>
        <w:t>”</w:t>
      </w:r>
      <w:r>
        <w:t>的全民体育健身活动项目体系，鼓励全民广泛参与体育健身活动。</w:t>
      </w:r>
    </w:p>
    <w:p>
      <w:pPr>
        <w:ind w:firstLine="602"/>
      </w:pPr>
      <w:r>
        <w:rPr>
          <w:rFonts w:hint="eastAsia"/>
          <w:b/>
        </w:rPr>
        <w:t>——广泛开展全民健身运动。</w:t>
      </w:r>
      <w:r>
        <w:rPr>
          <w:rFonts w:hint="eastAsia"/>
        </w:rPr>
        <w:t>大力发展健身走（跑）、骑行、登山、游泳、球类、健身气功、太极拳等群众喜闻乐见的运动项目。因地制宜开展各类户外体育活动，</w:t>
      </w:r>
      <w:r>
        <w:rPr>
          <w:rFonts w:ascii="宋体" w:hAnsi="宋体"/>
        </w:rPr>
        <w:t>开展山地自行车、户外露营、国际滑翔伞等山地户外运动</w:t>
      </w:r>
      <w:r>
        <w:rPr>
          <w:rFonts w:hint="eastAsia"/>
        </w:rPr>
        <w:t>以及水上等重点赛事。建立群众性竞赛活动激励机制。</w:t>
      </w:r>
    </w:p>
    <w:p>
      <w:pPr>
        <w:ind w:firstLine="602"/>
      </w:pPr>
      <w:r>
        <w:rPr>
          <w:rFonts w:hint="eastAsia"/>
          <w:b/>
        </w:rPr>
        <w:t>——支持开展三峡特色健身活动。</w:t>
      </w:r>
      <w:r>
        <w:rPr>
          <w:rFonts w:hint="eastAsia"/>
        </w:rPr>
        <w:t>利用云阳三峡地域文化、农耕文化等资源，支持开展具有云阳特色、行业特点的全民健身活动，组织开展与城乡生产劳动和文化生活相适应的全民健身活动，让全民健身战略服务更广泛的基层百姓。</w:t>
      </w:r>
    </w:p>
    <w:p>
      <w:pPr>
        <w:ind w:firstLine="602"/>
      </w:pPr>
      <w:r>
        <w:rPr>
          <w:rFonts w:hint="eastAsia"/>
          <w:b/>
        </w:rPr>
        <w:t>——推进重点人群参与体育健身。</w:t>
      </w:r>
      <w:r>
        <w:rPr>
          <w:rFonts w:hint="eastAsia"/>
        </w:rPr>
        <w:t>加强老年人、妇女、残疾人健身服务。传承清水土家少数民族传统体育运动，培育滑翔伞、攀登等极限运动，打造全国全民运动健身模范县。</w:t>
      </w:r>
    </w:p>
    <w:p>
      <w:pPr>
        <w:pStyle w:val="4"/>
        <w:ind w:firstLine="640"/>
      </w:pPr>
      <w:bookmarkStart w:id="90" w:name="_Toc82624380"/>
      <w:r>
        <w:rPr>
          <w:rFonts w:hint="eastAsia"/>
        </w:rPr>
        <w:t>第四节 培塑全民运动健身文化</w:t>
      </w:r>
      <w:bookmarkEnd w:id="90"/>
    </w:p>
    <w:p>
      <w:pPr>
        <w:ind w:firstLine="600"/>
        <w:rPr>
          <w:b/>
          <w:bCs/>
          <w:shd w:val="clear" w:color="auto" w:fill="FFFFFF"/>
        </w:rPr>
      </w:pPr>
      <w:bookmarkStart w:id="91" w:name="_Toc63420788"/>
      <w:r>
        <w:rPr>
          <w:shd w:val="clear" w:color="auto" w:fill="FFFFFF"/>
        </w:rPr>
        <w:t>培育和弘扬体育精神，丰富全民健身文化内涵，将健康教育和健康促进工作融入</w:t>
      </w:r>
      <w:r>
        <w:rPr>
          <w:rFonts w:hint="eastAsia"/>
          <w:shd w:val="clear" w:color="auto" w:fill="FFFFFF"/>
        </w:rPr>
        <w:t>云阳</w:t>
      </w:r>
      <w:r>
        <w:rPr>
          <w:shd w:val="clear" w:color="auto" w:fill="FFFFFF"/>
        </w:rPr>
        <w:t>社会发展大局，</w:t>
      </w:r>
      <w:r>
        <w:rPr>
          <w:rFonts w:hint="eastAsia"/>
          <w:shd w:val="clear" w:color="auto" w:fill="FFFFFF"/>
        </w:rPr>
        <w:t>推动</w:t>
      </w:r>
      <w:r>
        <w:rPr>
          <w:shd w:val="clear" w:color="auto" w:fill="FFFFFF"/>
        </w:rPr>
        <w:t>群众健康</w:t>
      </w:r>
      <w:r>
        <w:rPr>
          <w:rFonts w:hint="eastAsia"/>
          <w:shd w:val="clear" w:color="auto" w:fill="FFFFFF"/>
        </w:rPr>
        <w:t>运动</w:t>
      </w:r>
      <w:r>
        <w:rPr>
          <w:shd w:val="clear" w:color="auto" w:fill="FFFFFF"/>
        </w:rPr>
        <w:t>意识提升。</w:t>
      </w:r>
      <w:r>
        <w:rPr>
          <w:rFonts w:hint="eastAsia"/>
          <w:b/>
          <w:bCs/>
          <w:shd w:val="clear" w:color="auto" w:fill="FFFFFF"/>
        </w:rPr>
        <w:t xml:space="preserve"> </w:t>
      </w:r>
    </w:p>
    <w:p>
      <w:pPr>
        <w:ind w:firstLine="602"/>
      </w:pPr>
      <w:r>
        <w:rPr>
          <w:rFonts w:hint="eastAsia"/>
          <w:b/>
        </w:rPr>
        <w:t>——培塑云阳勇于攀登的体育精神。</w:t>
      </w:r>
      <w:r>
        <w:rPr>
          <w:rFonts w:hint="eastAsia"/>
        </w:rPr>
        <w:t>依托三峡梯城“世界最长人字梯”及电影《攀登者》登珠峰云阳名人原型事迹，培塑云阳勇于攀登，永不止步的体育精神。持续开展全民三峡登梯赛、云阳登梯文化节、渝东北三峡体育文化博览会等系列活动，把勇于攀登的云阳体育精神融入体育事业发展的各个环节；让体育精神、健康运动意识得到更广泛</w:t>
      </w:r>
      <w:r>
        <w:t>的认同和传播</w:t>
      </w:r>
      <w:r>
        <w:rPr>
          <w:rFonts w:hint="eastAsia"/>
        </w:rPr>
        <w:t>。</w:t>
      </w:r>
    </w:p>
    <w:p>
      <w:pPr>
        <w:ind w:firstLine="602"/>
        <w:rPr>
          <w:shd w:val="clear" w:color="auto" w:fill="FFFFFF"/>
        </w:rPr>
      </w:pPr>
      <w:r>
        <w:rPr>
          <w:rFonts w:hint="eastAsia"/>
          <w:b/>
        </w:rPr>
        <w:t>——</w:t>
      </w:r>
      <w:r>
        <w:rPr>
          <w:b/>
          <w:bCs/>
          <w:shd w:val="clear" w:color="auto" w:fill="FFFFFF"/>
        </w:rPr>
        <w:t>健全完善</w:t>
      </w:r>
      <w:r>
        <w:rPr>
          <w:rFonts w:hint="eastAsia"/>
          <w:b/>
          <w:bCs/>
          <w:shd w:val="clear" w:color="auto" w:fill="FFFFFF"/>
        </w:rPr>
        <w:t>“一十百千”</w:t>
      </w:r>
      <w:r>
        <w:rPr>
          <w:b/>
          <w:bCs/>
          <w:shd w:val="clear" w:color="auto" w:fill="FFFFFF"/>
        </w:rPr>
        <w:t>健康教育宣传阵地。</w:t>
      </w:r>
      <w:r>
        <w:rPr>
          <w:rFonts w:hint="eastAsia"/>
          <w:bCs/>
          <w:shd w:val="clear" w:color="auto" w:fill="FFFFFF"/>
        </w:rPr>
        <w:t>围绕城区</w:t>
      </w:r>
      <w:r>
        <w:rPr>
          <w:bCs/>
          <w:shd w:val="clear" w:color="auto" w:fill="FFFFFF"/>
        </w:rPr>
        <w:t>、城镇和社区街道居民聚居区</w:t>
      </w:r>
      <w:r>
        <w:rPr>
          <w:b/>
          <w:bCs/>
          <w:shd w:val="clear" w:color="auto" w:fill="FFFFFF"/>
        </w:rPr>
        <w:t>，</w:t>
      </w:r>
      <w:r>
        <w:rPr>
          <w:shd w:val="clear" w:color="auto" w:fill="FFFFFF"/>
        </w:rPr>
        <w:t>建设健康教育宣传栏1000块，公园、广场、商场、超市等公共场所和机关企事业及窗口单位健康教育宣传阵地100个</w:t>
      </w:r>
      <w:r>
        <w:rPr>
          <w:rFonts w:hint="eastAsia"/>
          <w:shd w:val="clear" w:color="auto" w:fill="FFFFFF"/>
        </w:rPr>
        <w:t>。在</w:t>
      </w:r>
      <w:r>
        <w:rPr>
          <w:shd w:val="clear" w:color="auto" w:fill="FFFFFF"/>
        </w:rPr>
        <w:t>云阳头条、新闻</w:t>
      </w:r>
      <w:r>
        <w:rPr>
          <w:rFonts w:hint="eastAsia"/>
          <w:shd w:val="clear" w:color="auto" w:fill="FFFFFF"/>
        </w:rPr>
        <w:t>网站</w:t>
      </w:r>
      <w:r>
        <w:rPr>
          <w:shd w:val="clear" w:color="auto" w:fill="FFFFFF"/>
        </w:rPr>
        <w:t>设立健康教育专栏</w:t>
      </w:r>
      <w:r>
        <w:rPr>
          <w:rFonts w:hint="eastAsia"/>
          <w:shd w:val="clear" w:color="auto" w:fill="FFFFFF"/>
        </w:rPr>
        <w:t>，开展</w:t>
      </w:r>
      <w:r>
        <w:rPr>
          <w:shd w:val="clear" w:color="auto" w:fill="FFFFFF"/>
        </w:rPr>
        <w:t xml:space="preserve"> “健康大讲堂”</w:t>
      </w:r>
      <w:r>
        <w:rPr>
          <w:rFonts w:hint="eastAsia"/>
          <w:shd w:val="clear" w:color="auto" w:fill="FFFFFF"/>
        </w:rPr>
        <w:t>等</w:t>
      </w:r>
      <w:r>
        <w:rPr>
          <w:shd w:val="clear" w:color="auto" w:fill="FFFFFF"/>
        </w:rPr>
        <w:t>网络直播活动。</w:t>
      </w:r>
    </w:p>
    <w:p>
      <w:pPr>
        <w:ind w:firstLine="602"/>
      </w:pPr>
      <w:r>
        <w:rPr>
          <w:rFonts w:hint="eastAsia"/>
          <w:b/>
        </w:rPr>
        <w:t>——</w:t>
      </w:r>
      <w:r>
        <w:rPr>
          <w:b/>
          <w:bCs/>
          <w:shd w:val="clear" w:color="auto" w:fill="FFFFFF"/>
        </w:rPr>
        <w:t>提升居民健康素养。</w:t>
      </w:r>
      <w:r>
        <w:rPr>
          <w:shd w:val="clear" w:color="auto" w:fill="FFFFFF"/>
        </w:rPr>
        <w:t>针对不同人群定期开展讲座、义诊等多种形式的健康教育活动</w:t>
      </w:r>
      <w:r>
        <w:rPr>
          <w:rFonts w:hint="eastAsia"/>
          <w:shd w:val="clear" w:color="auto" w:fill="FFFFFF"/>
        </w:rPr>
        <w:t>，打造</w:t>
      </w:r>
      <w:r>
        <w:rPr>
          <w:shd w:val="clear" w:color="auto" w:fill="FFFFFF"/>
        </w:rPr>
        <w:t>10</w:t>
      </w:r>
      <w:r>
        <w:rPr>
          <w:rFonts w:hint="eastAsia"/>
          <w:shd w:val="clear" w:color="auto" w:fill="FFFFFF"/>
        </w:rPr>
        <w:t>个</w:t>
      </w:r>
      <w:r>
        <w:rPr>
          <w:shd w:val="clear" w:color="auto" w:fill="FFFFFF"/>
        </w:rPr>
        <w:t>健康促进社区和</w:t>
      </w:r>
      <w:r>
        <w:rPr>
          <w:rFonts w:hint="eastAsia"/>
          <w:shd w:val="clear" w:color="auto" w:fill="FFFFFF"/>
        </w:rPr>
        <w:t>100个</w:t>
      </w:r>
      <w:r>
        <w:rPr>
          <w:shd w:val="clear" w:color="auto" w:fill="FFFFFF"/>
        </w:rPr>
        <w:t>健康家庭，在社区形成良好的健康促进氛围。</w:t>
      </w:r>
      <w:r>
        <w:rPr>
          <w:rFonts w:hint="eastAsia"/>
          <w:shd w:val="clear" w:color="auto" w:fill="FFFFFF"/>
        </w:rPr>
        <w:t>制定</w:t>
      </w:r>
      <w:r>
        <w:rPr>
          <w:rFonts w:hint="eastAsia"/>
        </w:rPr>
        <w:t>扰民健身的规避机制和管理办法，规避市民</w:t>
      </w:r>
      <w:r>
        <w:t>在健身运动中对</w:t>
      </w:r>
      <w:r>
        <w:rPr>
          <w:rFonts w:hint="eastAsia"/>
        </w:rPr>
        <w:t>周边</w:t>
      </w:r>
      <w:r>
        <w:t>居民造成的噪声污染，</w:t>
      </w:r>
      <w:r>
        <w:rPr>
          <w:rFonts w:hint="eastAsia"/>
        </w:rPr>
        <w:t>加强</w:t>
      </w:r>
      <w:r>
        <w:t>居民</w:t>
      </w:r>
      <w:r>
        <w:rPr>
          <w:rFonts w:hint="eastAsia"/>
        </w:rPr>
        <w:t>健身</w:t>
      </w:r>
      <w:r>
        <w:t>管理，</w:t>
      </w:r>
      <w:r>
        <w:rPr>
          <w:rFonts w:hint="eastAsia"/>
        </w:rPr>
        <w:t>规避</w:t>
      </w:r>
      <w:r>
        <w:t>运动风险。</w:t>
      </w:r>
    </w:p>
    <w:p>
      <w:pPr>
        <w:ind w:firstLine="602"/>
      </w:pPr>
      <w:r>
        <w:rPr>
          <w:rFonts w:hint="eastAsia"/>
          <w:b/>
        </w:rPr>
        <w:t>——提升科学健身指导服务水平。</w:t>
      </w:r>
      <w:r>
        <w:rPr>
          <w:rFonts w:hint="eastAsia"/>
        </w:rPr>
        <w:t>普及推广科学健身知识，定期发布《全民健身指南》。开展云阳县国民体质监测和健康评价公益服务活动，充分发挥各级各类体育协会、体育社团组织作用，开展健身项目培训、讲座和咨询等，促进市民健康生活方式的养成。</w:t>
      </w:r>
      <w:bookmarkEnd w:id="91"/>
    </w:p>
    <w:p>
      <w:pPr>
        <w:ind w:firstLine="420"/>
        <w:jc w:val="center"/>
        <w:rPr>
          <w:rFonts w:ascii="黑体" w:hAnsi="黑体" w:eastAsia="黑体" w:cs="宋体"/>
          <w:bCs/>
          <w:color w:val="000000" w:themeColor="text1"/>
          <w:kern w:val="0"/>
          <w:sz w:val="21"/>
          <w14:textFill>
            <w14:solidFill>
              <w14:schemeClr w14:val="tx1"/>
            </w14:solidFill>
          </w14:textFill>
        </w:rPr>
      </w:pPr>
      <w:r>
        <w:rPr>
          <w:rFonts w:hint="eastAsia" w:ascii="黑体" w:hAnsi="黑体" w:eastAsia="黑体" w:cs="宋体"/>
          <w:bCs/>
          <w:color w:val="000000" w:themeColor="text1"/>
          <w:kern w:val="0"/>
          <w:sz w:val="21"/>
          <w14:textFill>
            <w14:solidFill>
              <w14:schemeClr w14:val="tx1"/>
            </w14:solidFill>
          </w14:textFill>
        </w:rPr>
        <w:t>专栏1</w:t>
      </w:r>
      <w:r>
        <w:rPr>
          <w:rFonts w:ascii="黑体" w:hAnsi="黑体" w:eastAsia="黑体" w:cs="宋体"/>
          <w:bCs/>
          <w:color w:val="000000" w:themeColor="text1"/>
          <w:kern w:val="0"/>
          <w:sz w:val="21"/>
          <w14:textFill>
            <w14:solidFill>
              <w14:schemeClr w14:val="tx1"/>
            </w14:solidFill>
          </w14:textFill>
        </w:rPr>
        <w:t>0</w:t>
      </w:r>
      <w:r>
        <w:rPr>
          <w:rFonts w:hint="eastAsia" w:ascii="黑体" w:hAnsi="黑体" w:eastAsia="黑体" w:cs="宋体"/>
          <w:bCs/>
          <w:color w:val="000000" w:themeColor="text1"/>
          <w:kern w:val="0"/>
          <w:sz w:val="21"/>
          <w14:textFill>
            <w14:solidFill>
              <w14:schemeClr w14:val="tx1"/>
            </w14:solidFill>
          </w14:textFill>
        </w:rPr>
        <w:t xml:space="preserve">  全面落实全民健身战略</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楷体" w:hAnsi="楷体" w:eastAsia="楷体" w:cs="宋体"/>
                <w:b/>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重点项目：</w:t>
            </w:r>
          </w:p>
          <w:p>
            <w:pPr>
              <w:widowControl/>
              <w:ind w:firstLine="422"/>
              <w:jc w:val="left"/>
              <w:rPr>
                <w:rFonts w:ascii="楷体" w:hAnsi="楷体" w:eastAsia="楷体" w:cs="宋体"/>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全民健身设施网络</w:t>
            </w:r>
            <w:r>
              <w:rPr>
                <w:rFonts w:ascii="楷体" w:hAnsi="楷体" w:eastAsia="楷体" w:cs="宋体"/>
                <w:b/>
                <w:bCs/>
                <w:color w:val="000000" w:themeColor="text1"/>
                <w:kern w:val="0"/>
                <w:sz w:val="21"/>
                <w14:textFill>
                  <w14:solidFill>
                    <w14:schemeClr w14:val="tx1"/>
                  </w14:solidFill>
                </w14:textFill>
              </w:rPr>
              <w:t>。</w:t>
            </w:r>
            <w:r>
              <w:rPr>
                <w:rFonts w:hint="eastAsia" w:ascii="楷体" w:hAnsi="楷体" w:eastAsia="楷体" w:cs="宋体"/>
                <w:bCs/>
                <w:color w:val="000000" w:themeColor="text1"/>
                <w:kern w:val="0"/>
                <w:sz w:val="21"/>
                <w14:textFill>
                  <w14:solidFill>
                    <w14:schemeClr w14:val="tx1"/>
                  </w14:solidFill>
                </w14:textFill>
              </w:rPr>
              <w:t>推进江口镇、南溪镇、普安乡、龙角镇等重点乡镇的全民健身中心建设。推动健身步道、</w:t>
            </w:r>
            <w:r>
              <w:rPr>
                <w:rFonts w:hint="eastAsia" w:ascii="楷体" w:hAnsi="楷体" w:eastAsia="楷体" w:cs="宋体"/>
                <w:color w:val="000000" w:themeColor="text1"/>
                <w:kern w:val="0"/>
                <w:sz w:val="21"/>
                <w14:textFill>
                  <w14:solidFill>
                    <w14:schemeClr w14:val="tx1"/>
                  </w14:solidFill>
                </w14:textFill>
              </w:rPr>
              <w:t>社区足球场建设。</w:t>
            </w:r>
          </w:p>
        </w:tc>
      </w:tr>
    </w:tbl>
    <w:p>
      <w:pPr>
        <w:pStyle w:val="3"/>
        <w:ind w:firstLine="720"/>
      </w:pPr>
      <w:bookmarkStart w:id="92" w:name="_Toc82624381"/>
      <w:r>
        <w:rPr>
          <w:rFonts w:hint="eastAsia"/>
        </w:rPr>
        <w:t>第十五章 夯实体育基础设施建设</w:t>
      </w:r>
      <w:bookmarkEnd w:id="92"/>
    </w:p>
    <w:p>
      <w:pPr>
        <w:ind w:firstLine="600"/>
      </w:pPr>
      <w:r>
        <w:rPr>
          <w:rFonts w:hint="eastAsia"/>
        </w:rPr>
        <w:t>加快补齐大型体育场馆短板，完善体育服务平台，智慧化提升体育场馆设施，丰富群众体育文生活，促进云阳体育事业迈上新台阶。</w:t>
      </w:r>
    </w:p>
    <w:p>
      <w:pPr>
        <w:pStyle w:val="4"/>
        <w:ind w:firstLine="640"/>
      </w:pPr>
      <w:bookmarkStart w:id="93" w:name="_Toc82624382"/>
      <w:r>
        <w:rPr>
          <w:rFonts w:hint="eastAsia"/>
        </w:rPr>
        <w:t>第一节 加快建设大型体育设施</w:t>
      </w:r>
      <w:bookmarkEnd w:id="93"/>
    </w:p>
    <w:p>
      <w:pPr>
        <w:ind w:firstLine="602"/>
      </w:pPr>
      <w:r>
        <w:rPr>
          <w:rFonts w:hint="eastAsia"/>
          <w:b/>
        </w:rPr>
        <w:t>——推动三个大型综合体育场建设。</w:t>
      </w:r>
      <w:r>
        <w:rPr>
          <w:rFonts w:hint="eastAsia"/>
        </w:rPr>
        <w:t>结合云阳国土空间规划完善“双百、双千”</w:t>
      </w:r>
      <w:r>
        <w:t>城市功能，</w:t>
      </w:r>
      <w:r>
        <w:rPr>
          <w:rFonts w:hint="eastAsia"/>
        </w:rPr>
        <w:t>以片区为单位预留综合体育馆建设用地。重点</w:t>
      </w:r>
      <w:r>
        <w:t>推进</w:t>
      </w:r>
      <w:r>
        <w:rPr>
          <w:rFonts w:hint="eastAsia"/>
        </w:rPr>
        <w:t>江-南组团</w:t>
      </w:r>
      <w:r>
        <w:t>、</w:t>
      </w:r>
      <w:r>
        <w:rPr>
          <w:rFonts w:hint="eastAsia"/>
        </w:rPr>
        <w:t>龙-普组团和黄石高铁新城三个</w:t>
      </w:r>
      <w:r>
        <w:t>综合</w:t>
      </w:r>
      <w:r>
        <w:rPr>
          <w:rFonts w:hint="eastAsia"/>
        </w:rPr>
        <w:t>大型</w:t>
      </w:r>
      <w:r>
        <w:t>体育场馆建设，</w:t>
      </w:r>
      <w:r>
        <w:rPr>
          <w:rFonts w:hint="eastAsia"/>
        </w:rPr>
        <w:t>提升云阳承接大型体育赛事能力。</w:t>
      </w:r>
    </w:p>
    <w:p>
      <w:pPr>
        <w:ind w:firstLine="602"/>
      </w:pPr>
      <w:r>
        <w:rPr>
          <w:rFonts w:hint="eastAsia"/>
          <w:b/>
        </w:rPr>
        <w:t>——推动县城北部竞技体育训练中心建设。</w:t>
      </w:r>
      <w:r>
        <w:rPr>
          <w:rFonts w:hint="eastAsia"/>
        </w:rPr>
        <w:t>依托云阳摔跤和举重两项特色竞技体育，以方便运动队生活、训练为建设要求，打造集训练、科研、医疗、教育、比赛为一体的多功能、现代化市级竞技体育训练基地，提升云阳竞技体育的综合实力。</w:t>
      </w:r>
    </w:p>
    <w:p>
      <w:pPr>
        <w:ind w:firstLine="602"/>
        <w:rPr>
          <w:b/>
        </w:rPr>
      </w:pPr>
      <w:r>
        <w:rPr>
          <w:rFonts w:hint="eastAsia"/>
          <w:b/>
        </w:rPr>
        <w:t>——推动四大体育公园建设。</w:t>
      </w:r>
      <w:r>
        <w:rPr>
          <w:rFonts w:hint="eastAsia"/>
        </w:rPr>
        <w:t>结合城区</w:t>
      </w:r>
      <w:r>
        <w:t>体育场馆建设</w:t>
      </w:r>
      <w:r>
        <w:rPr>
          <w:rFonts w:hint="eastAsia"/>
        </w:rPr>
        <w:t>进行</w:t>
      </w:r>
      <w:r>
        <w:t>城市功能</w:t>
      </w:r>
      <w:r>
        <w:rPr>
          <w:rFonts w:hint="eastAsia"/>
        </w:rPr>
        <w:t>多样化</w:t>
      </w:r>
      <w:r>
        <w:t>改造，依托城区地形</w:t>
      </w:r>
      <w:r>
        <w:rPr>
          <w:rFonts w:hint="eastAsia" w:ascii="仿宋" w:hAnsi="仿宋" w:eastAsia="仿宋"/>
          <w:szCs w:val="28"/>
        </w:rPr>
        <w:t>打造天池公园、北部新区体育公园、滨江体育运动公园和罗汉梁山地体育公园等生态运动公园</w:t>
      </w:r>
      <w:r>
        <w:rPr>
          <w:rFonts w:hint="eastAsia"/>
        </w:rPr>
        <w:t>，</w:t>
      </w:r>
      <w:r>
        <w:rPr>
          <w:rFonts w:hint="eastAsia" w:ascii="仿宋" w:hAnsi="仿宋" w:eastAsia="仿宋"/>
          <w:szCs w:val="28"/>
        </w:rPr>
        <w:t>塑造三峡城市生态健康运动形象。</w:t>
      </w:r>
    </w:p>
    <w:p>
      <w:pPr>
        <w:pStyle w:val="4"/>
        <w:ind w:firstLine="640"/>
      </w:pPr>
      <w:bookmarkStart w:id="94" w:name="_Toc82624383"/>
      <w:r>
        <w:rPr>
          <w:rFonts w:hint="eastAsia"/>
        </w:rPr>
        <w:t>第二节 智慧化提升体育设施服务</w:t>
      </w:r>
      <w:bookmarkEnd w:id="94"/>
    </w:p>
    <w:p>
      <w:pPr>
        <w:ind w:firstLine="600"/>
      </w:pPr>
      <w:r>
        <w:rPr>
          <w:rFonts w:hint="eastAsia"/>
        </w:rPr>
        <w:t>加快体育与信息技术深度融合，构建智慧体育服务体系，推进全民健身智慧化发展，更好地满足人民群众日益增长的体育需求。</w:t>
      </w:r>
    </w:p>
    <w:p>
      <w:pPr>
        <w:ind w:firstLine="602"/>
      </w:pPr>
      <w:r>
        <w:rPr>
          <w:b/>
        </w:rPr>
        <w:t>——</w:t>
      </w:r>
      <w:r>
        <w:rPr>
          <w:rFonts w:hint="eastAsia" w:ascii="方正仿宋_GBK"/>
          <w:b/>
          <w:bCs/>
        </w:rPr>
        <w:t>推进体育设施智能化发展。</w:t>
      </w:r>
      <w:r>
        <w:t>加强体育场馆智能化、机器代人等技术应用，推进体育场馆的数字化运营能力。</w:t>
      </w:r>
      <w:r>
        <w:rPr>
          <w:rFonts w:hint="eastAsia" w:ascii="方正仿宋_GBK"/>
          <w:bCs/>
        </w:rPr>
        <w:t>推进体育健身设施智能化发展。推进智能化健身路径、健身步道和体育公园建设。</w:t>
      </w:r>
      <w:r>
        <w:t>构建实时的数据采集场景，实时掌握公共服务开放数据、公共场所安全状况，夯实体育场馆提供竞赛、娱乐、商业、旅游等综合服务的能力支撑，推动体育场馆多功能发展。</w:t>
      </w:r>
    </w:p>
    <w:p>
      <w:pPr>
        <w:ind w:firstLine="602"/>
        <w:rPr>
          <w:rFonts w:ascii="方正仿宋_GBK"/>
        </w:rPr>
      </w:pPr>
      <w:r>
        <w:rPr>
          <w:rFonts w:hint="eastAsia" w:ascii="方正仿宋_GBK"/>
          <w:b/>
        </w:rPr>
        <w:t>——推进体育服务智慧化发展。</w:t>
      </w:r>
      <w:r>
        <w:rPr>
          <w:rFonts w:hint="eastAsia" w:ascii="方正仿宋_GBK"/>
          <w:bCs/>
        </w:rPr>
        <w:t>提升全民健身信息服务能级。提供场馆预定、场馆地图、健身指导、体质监测、信息咨询、赛事观赏、网上互动等多种信息服务。打造“云阳县全民健身公共服务网”“云阳县微体育”等“互联网+全民健身”平台。鼓励发展健身信息聚合、健身APP、智能健身硬件、健身在线培训教育等。整合体育热线、体育网络、公共微信等平台资源，拓宽手机</w:t>
      </w:r>
      <w:r>
        <w:rPr>
          <w:rFonts w:hint="eastAsia"/>
        </w:rPr>
        <w:t>APP</w:t>
      </w:r>
      <w:r>
        <w:rPr>
          <w:rFonts w:hint="eastAsia" w:ascii="方正仿宋_GBK"/>
          <w:bCs/>
        </w:rPr>
        <w:t>服务人群的覆盖面</w:t>
      </w:r>
      <w:r>
        <w:rPr>
          <w:rFonts w:hint="eastAsia" w:ascii="方正仿宋_GBK"/>
        </w:rPr>
        <w:t>。</w:t>
      </w:r>
    </w:p>
    <w:p>
      <w:pPr>
        <w:ind w:firstLine="422"/>
        <w:jc w:val="center"/>
        <w:rPr>
          <w:rFonts w:ascii="楷体" w:hAnsi="楷体" w:eastAsia="楷体" w:cs="宋体"/>
          <w:b/>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专栏1</w:t>
      </w:r>
      <w:r>
        <w:rPr>
          <w:rFonts w:ascii="楷体" w:hAnsi="楷体" w:eastAsia="楷体" w:cs="宋体"/>
          <w:b/>
          <w:bCs/>
          <w:color w:val="000000" w:themeColor="text1"/>
          <w:kern w:val="0"/>
          <w:sz w:val="21"/>
          <w14:textFill>
            <w14:solidFill>
              <w14:schemeClr w14:val="tx1"/>
            </w14:solidFill>
          </w14:textFill>
        </w:rPr>
        <w:t>1</w:t>
      </w:r>
      <w:r>
        <w:rPr>
          <w:rFonts w:hint="eastAsia" w:ascii="楷体" w:hAnsi="楷体" w:eastAsia="楷体" w:cs="宋体"/>
          <w:b/>
          <w:bCs/>
          <w:color w:val="000000" w:themeColor="text1"/>
          <w:kern w:val="0"/>
          <w:sz w:val="21"/>
          <w14:textFill>
            <w14:solidFill>
              <w14:schemeClr w14:val="tx1"/>
            </w14:solidFill>
          </w14:textFill>
        </w:rPr>
        <w:t xml:space="preserve">  夯实体育基础设施服务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楷体" w:hAnsi="楷体" w:eastAsia="楷体" w:cs="宋体"/>
                <w:b/>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重大项目：</w:t>
            </w:r>
          </w:p>
          <w:p>
            <w:pPr>
              <w:ind w:firstLine="422"/>
              <w:rPr>
                <w:rFonts w:ascii="楷体" w:hAnsi="楷体" w:eastAsia="楷体" w:cs="宋体"/>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大型体育设施建设。</w:t>
            </w:r>
            <w:r>
              <w:rPr>
                <w:rFonts w:hint="eastAsia" w:ascii="楷体" w:hAnsi="楷体" w:eastAsia="楷体" w:cs="宋体"/>
                <w:bCs/>
                <w:color w:val="000000" w:themeColor="text1"/>
                <w:kern w:val="0"/>
                <w:sz w:val="21"/>
                <w14:textFill>
                  <w14:solidFill>
                    <w14:schemeClr w14:val="tx1"/>
                  </w14:solidFill>
                </w14:textFill>
              </w:rPr>
              <w:t>推进江-南组团、龙-普组团和黄石高铁城区三个综合大型体育场馆及县城北部竞技体中心建设。建设黄石天池公园、北部新区体育公园、滨江体育运动公园、罗汉梁山地体育公园。</w:t>
            </w:r>
          </w:p>
          <w:p>
            <w:pPr>
              <w:ind w:firstLine="422"/>
              <w:rPr>
                <w:b/>
                <w:color w:val="000000" w:themeColor="text1"/>
                <w14:textFill>
                  <w14:solidFill>
                    <w14:schemeClr w14:val="tx1"/>
                  </w14:solidFill>
                </w14:textFill>
              </w:rPr>
            </w:pPr>
            <w:r>
              <w:rPr>
                <w:rFonts w:ascii="楷体" w:hAnsi="楷体" w:eastAsia="楷体" w:cs="宋体"/>
                <w:b/>
                <w:bCs/>
                <w:color w:val="000000" w:themeColor="text1"/>
                <w:kern w:val="0"/>
                <w:sz w:val="21"/>
                <w14:textFill>
                  <w14:solidFill>
                    <w14:schemeClr w14:val="tx1"/>
                  </w14:solidFill>
                </w14:textFill>
              </w:rPr>
              <w:t>智慧体育试点。</w:t>
            </w:r>
            <w:r>
              <w:rPr>
                <w:rFonts w:hint="eastAsia" w:ascii="楷体" w:hAnsi="楷体" w:eastAsia="楷体" w:cs="宋体"/>
                <w:bCs/>
                <w:color w:val="000000" w:themeColor="text1"/>
                <w:kern w:val="0"/>
                <w:sz w:val="21"/>
                <w14:textFill>
                  <w14:solidFill>
                    <w14:schemeClr w14:val="tx1"/>
                  </w14:solidFill>
                </w14:textFill>
              </w:rPr>
              <w:t>推进城区体育体设施智慧化发展，打造云阳县全民健身公共服务平台。</w:t>
            </w:r>
          </w:p>
        </w:tc>
      </w:tr>
    </w:tbl>
    <w:p>
      <w:pPr>
        <w:pStyle w:val="3"/>
        <w:ind w:firstLine="720"/>
      </w:pPr>
      <w:bookmarkStart w:id="95" w:name="_Toc82624384"/>
      <w:r>
        <w:rPr>
          <w:rFonts w:hint="eastAsia"/>
        </w:rPr>
        <w:t>第十六章 促进青少年体育发展</w:t>
      </w:r>
      <w:bookmarkEnd w:id="95"/>
    </w:p>
    <w:p>
      <w:pPr>
        <w:ind w:firstLine="600"/>
        <w:rPr>
          <w:rFonts w:ascii="方正仿宋_GBK"/>
          <w:szCs w:val="28"/>
        </w:rPr>
      </w:pPr>
      <w:r>
        <w:rPr>
          <w:rFonts w:hint="eastAsia"/>
        </w:rPr>
        <w:t>以促进青少年体育锻炼协调发展和储备竞技</w:t>
      </w:r>
      <w:r>
        <w:t>体育人才</w:t>
      </w:r>
      <w:r>
        <w:rPr>
          <w:rFonts w:hint="eastAsia"/>
        </w:rPr>
        <w:t>为目标，全面实施青少年体育发展促进工程，</w:t>
      </w:r>
      <w:r>
        <w:rPr>
          <w:rFonts w:hint="eastAsia" w:ascii="方正仿宋_GBK"/>
          <w:szCs w:val="28"/>
        </w:rPr>
        <w:t>开创青少年体育高质量发展新格局。</w:t>
      </w:r>
    </w:p>
    <w:p>
      <w:pPr>
        <w:pStyle w:val="4"/>
        <w:ind w:firstLine="640"/>
      </w:pPr>
      <w:bookmarkStart w:id="96" w:name="_Toc82624385"/>
      <w:r>
        <w:rPr>
          <w:rFonts w:hint="eastAsia"/>
        </w:rPr>
        <w:t>第一节 完善青少年体育设施和服务供给</w:t>
      </w:r>
      <w:bookmarkEnd w:id="96"/>
    </w:p>
    <w:p>
      <w:pPr>
        <w:ind w:firstLine="602"/>
      </w:pPr>
      <w:r>
        <w:rPr>
          <w:b/>
          <w:kern w:val="0"/>
          <w:szCs w:val="32"/>
        </w:rPr>
        <w:t>——</w:t>
      </w:r>
      <w:r>
        <w:rPr>
          <w:rFonts w:hint="eastAsia"/>
          <w:b/>
        </w:rPr>
        <w:t>依托</w:t>
      </w:r>
      <w:r>
        <w:rPr>
          <w:b/>
        </w:rPr>
        <w:t>“</w:t>
      </w:r>
      <w:r>
        <w:rPr>
          <w:rFonts w:hint="eastAsia"/>
          <w:b/>
        </w:rPr>
        <w:t>一地一网</w:t>
      </w:r>
      <w:r>
        <w:rPr>
          <w:b/>
        </w:rPr>
        <w:t>”</w:t>
      </w:r>
      <w:r>
        <w:rPr>
          <w:rFonts w:hint="eastAsia"/>
          <w:b/>
        </w:rPr>
        <w:t>健全青少年</w:t>
      </w:r>
      <w:r>
        <w:rPr>
          <w:b/>
        </w:rPr>
        <w:t>体育设施。</w:t>
      </w:r>
      <w:r>
        <w:rPr>
          <w:rFonts w:hint="eastAsia"/>
        </w:rPr>
        <w:t>推进市级青少年俱乐部和市级体育后备人才综合训练基地建设。每年组织各类青少年体育冬夏令营活动20次以上。鼓励青少年体育社会组织积极开展青少年体育训练，拓展青少年掌握1-2项体育技能的空间。完善中小学体育实训设施。以球类器材场地</w:t>
      </w:r>
      <w:r>
        <w:t>、</w:t>
      </w:r>
      <w:r>
        <w:rPr>
          <w:rFonts w:hint="eastAsia"/>
        </w:rPr>
        <w:t>田径</w:t>
      </w:r>
      <w:r>
        <w:t>器材</w:t>
      </w:r>
      <w:r>
        <w:rPr>
          <w:rFonts w:hint="eastAsia"/>
        </w:rPr>
        <w:t>场地、</w:t>
      </w:r>
      <w:r>
        <w:t>绳类器材</w:t>
      </w:r>
      <w:r>
        <w:rPr>
          <w:rFonts w:hint="eastAsia"/>
        </w:rPr>
        <w:t>场地为主</w:t>
      </w:r>
      <w:r>
        <w:t>，</w:t>
      </w:r>
      <w:r>
        <w:rPr>
          <w:rFonts w:hint="eastAsia"/>
        </w:rPr>
        <w:t>开展中小学体育实训</w:t>
      </w:r>
      <w:r>
        <w:t>设施补充工程。</w:t>
      </w:r>
      <w:r>
        <w:rPr>
          <w:rFonts w:hint="eastAsia"/>
        </w:rPr>
        <w:t xml:space="preserve"> </w:t>
      </w:r>
    </w:p>
    <w:p>
      <w:pPr>
        <w:ind w:firstLine="602"/>
      </w:pPr>
      <w:r>
        <w:rPr>
          <w:b/>
          <w:kern w:val="0"/>
          <w:szCs w:val="32"/>
        </w:rPr>
        <w:t>——</w:t>
      </w:r>
      <w:r>
        <w:rPr>
          <w:rFonts w:hint="eastAsia"/>
          <w:b/>
        </w:rPr>
        <w:t>丰富体育</w:t>
      </w:r>
      <w:r>
        <w:rPr>
          <w:b/>
        </w:rPr>
        <w:t>活动为主，</w:t>
      </w:r>
      <w:r>
        <w:rPr>
          <w:rFonts w:hint="eastAsia"/>
          <w:b/>
        </w:rPr>
        <w:t>组织</w:t>
      </w:r>
      <w:r>
        <w:rPr>
          <w:b/>
        </w:rPr>
        <w:t>体育赛事。</w:t>
      </w:r>
      <w:r>
        <w:rPr>
          <w:rFonts w:hint="eastAsia"/>
        </w:rPr>
        <w:t>完善青少年体育赛事体系。</w:t>
      </w:r>
      <w:r>
        <w:t>广泛开展亲子、冰雪、水上活动等青少年体育活动；</w:t>
      </w:r>
      <w:r>
        <w:rPr>
          <w:rFonts w:hint="eastAsia"/>
        </w:rPr>
        <w:t>整合体育、教育部门青少年体育赛事活动，逐步建立相互衔接的市、区（县）、学校的三级青少年体育赛事活动体系。鼓励青少年体育社会组织发展，探索建立衔接有序的青少年体育社会组织竞赛、训练和培训体系。进一步完善各类体育竞赛活动制度，健全运动成绩评定奖励机制。</w:t>
      </w:r>
      <w:r>
        <w:t>构建政府和市场主导的青少年体育赛事体系</w:t>
      </w:r>
      <w:r>
        <w:rPr>
          <w:rFonts w:hint="eastAsia"/>
        </w:rPr>
        <w:t xml:space="preserve">。 </w:t>
      </w:r>
    </w:p>
    <w:p>
      <w:pPr>
        <w:pStyle w:val="4"/>
        <w:ind w:firstLine="640"/>
      </w:pPr>
      <w:bookmarkStart w:id="97" w:name="_Toc82624386"/>
      <w:r>
        <w:rPr>
          <w:rFonts w:hint="eastAsia"/>
        </w:rPr>
        <w:t>第二节 提升青少年体育素养</w:t>
      </w:r>
      <w:bookmarkEnd w:id="97"/>
    </w:p>
    <w:p>
      <w:pPr>
        <w:ind w:firstLine="602"/>
      </w:pPr>
      <w:r>
        <w:rPr>
          <w:rFonts w:hint="eastAsia"/>
          <w:b/>
        </w:rPr>
        <w:t>——加强青少年健康干预。</w:t>
      </w:r>
      <w:r>
        <w:rPr>
          <w:rFonts w:hint="eastAsia"/>
        </w:rPr>
        <w:t>严格落实《国家学生体质健康标准》，完善媒体科学健身科普知识发布和传播机制。倡导学校及</w:t>
      </w:r>
      <w:r>
        <w:t>社会</w:t>
      </w:r>
      <w:r>
        <w:rPr>
          <w:rFonts w:hint="eastAsia"/>
        </w:rPr>
        <w:t>医疗机构向青少年提供运动促进健康指导服务。</w:t>
      </w:r>
      <w:r>
        <w:rPr>
          <w:rFonts w:hint="eastAsia"/>
          <w:shd w:val="clear" w:color="auto" w:fill="FFFFFF"/>
        </w:rPr>
        <w:t>开展“学生阳光体育运动”活动</w:t>
      </w:r>
      <w:r>
        <w:rPr>
          <w:rFonts w:hint="eastAsia"/>
          <w:b/>
          <w:shd w:val="clear" w:color="auto" w:fill="FFFFFF"/>
        </w:rPr>
        <w:t>。</w:t>
      </w:r>
      <w:r>
        <w:rPr>
          <w:rFonts w:hint="eastAsia"/>
          <w:shd w:val="clear" w:color="auto" w:fill="FFFFFF"/>
        </w:rPr>
        <w:t>鼓励学生走向操场、走进大自然、走到阳光下，形成青少年体育锻炼的热潮。指导学生开展有计划、有目的、有规律的体育锻炼，提高运动能力，达到体质健康标准。</w:t>
      </w:r>
    </w:p>
    <w:p>
      <w:pPr>
        <w:ind w:firstLine="602"/>
        <w:rPr>
          <w:shd w:val="clear" w:color="auto" w:fill="FFFFFF"/>
        </w:rPr>
      </w:pPr>
      <w:r>
        <w:rPr>
          <w:rFonts w:hint="eastAsia"/>
          <w:b/>
        </w:rPr>
        <w:t>——强化青少年运动技能普及。</w:t>
      </w:r>
      <w:r>
        <w:rPr>
          <w:rFonts w:hint="eastAsia"/>
        </w:rPr>
        <w:t>广泛开展</w:t>
      </w:r>
      <w:r>
        <w:t>青少年体育比赛</w:t>
      </w:r>
      <w:r>
        <w:rPr>
          <w:b/>
        </w:rPr>
        <w:t>。</w:t>
      </w:r>
      <w:r>
        <w:rPr>
          <w:rFonts w:hint="eastAsia"/>
        </w:rPr>
        <w:t>以各类青少年体育比赛或活动为引导，着力培育青少年体育爱好和运动技能，培养青少年体育兴趣和特长，让青少年懂体育、爱体育。</w:t>
      </w:r>
      <w:r>
        <w:t>以</w:t>
      </w:r>
      <w:r>
        <w:rPr>
          <w:rFonts w:hint="eastAsia"/>
        </w:rPr>
        <w:t>学校</w:t>
      </w:r>
      <w:r>
        <w:t>为核心</w:t>
      </w:r>
      <w:r>
        <w:rPr>
          <w:rFonts w:hint="eastAsia"/>
          <w:shd w:val="clear" w:color="auto" w:fill="FFFFFF"/>
        </w:rPr>
        <w:t>举办多层次多形式的学生体育运动会，召开春、秋季运动会，开展以班级为单位的学生体育活动和竞赛，做到人人有体育项目、班班有体育活动、校校有体育特色。</w:t>
      </w:r>
    </w:p>
    <w:p>
      <w:pPr>
        <w:pStyle w:val="4"/>
        <w:ind w:firstLine="640"/>
      </w:pPr>
      <w:bookmarkStart w:id="98" w:name="_Toc82624387"/>
      <w:r>
        <w:rPr>
          <w:rFonts w:hint="eastAsia"/>
        </w:rPr>
        <w:t>第三节 培育储备竞技体育人才</w:t>
      </w:r>
      <w:bookmarkEnd w:id="98"/>
    </w:p>
    <w:p>
      <w:pPr>
        <w:ind w:firstLine="602"/>
        <w:rPr>
          <w:b/>
        </w:rPr>
      </w:pPr>
      <w:r>
        <w:rPr>
          <w:rFonts w:hint="eastAsia"/>
          <w:b/>
        </w:rPr>
        <w:t>——储备举重、摔跤竞技体育人才</w:t>
      </w:r>
      <w:r>
        <w:rPr>
          <w:rFonts w:hint="eastAsia"/>
        </w:rPr>
        <w:t>。加快推动培养青少年掌握2项终生受益的体育特长，科学规划、合理布局、突出重点，着力培养举重和摔跤等重点运动项目的竞技体育人才。到2025年，优秀运动队规模达到</w:t>
      </w:r>
      <w:r>
        <w:t>100</w:t>
      </w:r>
      <w:r>
        <w:rPr>
          <w:rFonts w:hint="eastAsia"/>
        </w:rPr>
        <w:t>人以上。</w:t>
      </w:r>
    </w:p>
    <w:p>
      <w:pPr>
        <w:ind w:firstLine="602"/>
      </w:pPr>
      <w:r>
        <w:rPr>
          <w:rFonts w:hint="eastAsia"/>
          <w:b/>
        </w:rPr>
        <w:t>——积极推动体育人才培育四大阵地建设</w:t>
      </w:r>
      <w:r>
        <w:rPr>
          <w:rFonts w:hint="eastAsia"/>
        </w:rPr>
        <w:t>。强化以学校作为人才培养的主要基础阵地，开足开齐体育课、丰富体育课余训练和校园竞赛活动。加强体育示范训练基地发挥培养和输送人才重任，推动多层次多专业竞技人才培养与输送。通过发展俱乐部社会体育，拓宽培养渠道。拓展后备人才阵地，推进业余体校建设，实施“体教结合”，推动业余体校与普通中、小学有机衔接。</w:t>
      </w:r>
    </w:p>
    <w:p>
      <w:pPr>
        <w:ind w:firstLine="602"/>
        <w:rPr>
          <w:b/>
        </w:rPr>
      </w:pPr>
      <w:r>
        <w:rPr>
          <w:rFonts w:hint="eastAsia"/>
          <w:b/>
        </w:rPr>
        <w:t>——建设高水平教练员、裁判员队伍。</w:t>
      </w:r>
      <w:r>
        <w:rPr>
          <w:rFonts w:hint="eastAsia"/>
        </w:rPr>
        <w:t>聚力摔跤、举重、足球等优势竞技项目，加大高水平教练员队伍培育，建立健全教练员选拔、任用、考核制度。加强裁判员管理，提高裁判员专业水平，建立一支思想品德过硬，业务水平高，人员相对稳定的高水平裁判员队伍。</w:t>
      </w:r>
    </w:p>
    <w:p>
      <w:pPr>
        <w:ind w:firstLine="420"/>
        <w:jc w:val="center"/>
        <w:rPr>
          <w:rFonts w:ascii="黑体" w:hAnsi="黑体" w:eastAsia="黑体" w:cs="宋体"/>
          <w:bCs/>
          <w:color w:val="000000" w:themeColor="text1"/>
          <w:kern w:val="0"/>
          <w:sz w:val="21"/>
          <w14:textFill>
            <w14:solidFill>
              <w14:schemeClr w14:val="tx1"/>
            </w14:solidFill>
          </w14:textFill>
        </w:rPr>
      </w:pPr>
      <w:r>
        <w:rPr>
          <w:rFonts w:hint="eastAsia" w:ascii="黑体" w:hAnsi="黑体" w:eastAsia="黑体" w:cs="宋体"/>
          <w:bCs/>
          <w:color w:val="000000" w:themeColor="text1"/>
          <w:kern w:val="0"/>
          <w:sz w:val="21"/>
          <w14:textFill>
            <w14:solidFill>
              <w14:schemeClr w14:val="tx1"/>
            </w14:solidFill>
          </w14:textFill>
        </w:rPr>
        <w:t>专栏1</w:t>
      </w:r>
      <w:r>
        <w:rPr>
          <w:rFonts w:ascii="黑体" w:hAnsi="黑体" w:eastAsia="黑体" w:cs="宋体"/>
          <w:bCs/>
          <w:color w:val="000000" w:themeColor="text1"/>
          <w:kern w:val="0"/>
          <w:sz w:val="21"/>
          <w14:textFill>
            <w14:solidFill>
              <w14:schemeClr w14:val="tx1"/>
            </w14:solidFill>
          </w14:textFill>
        </w:rPr>
        <w:t>2</w:t>
      </w:r>
      <w:r>
        <w:rPr>
          <w:rFonts w:hint="eastAsia" w:ascii="黑体" w:hAnsi="黑体" w:eastAsia="黑体" w:cs="宋体"/>
          <w:bCs/>
          <w:color w:val="000000" w:themeColor="text1"/>
          <w:kern w:val="0"/>
          <w:sz w:val="21"/>
          <w14:textFill>
            <w14:solidFill>
              <w14:schemeClr w14:val="tx1"/>
            </w14:solidFill>
          </w14:textFill>
        </w:rPr>
        <w:t xml:space="preserve"> 加快发展青少年体育</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楷体" w:hAnsi="楷体" w:eastAsia="楷体" w:cs="宋体"/>
                <w:b/>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重点项目：</w:t>
            </w:r>
          </w:p>
          <w:p>
            <w:pPr>
              <w:widowControl/>
              <w:ind w:firstLine="422"/>
              <w:jc w:val="left"/>
              <w:rPr>
                <w:rFonts w:ascii="楷体" w:hAnsi="楷体" w:eastAsia="楷体" w:cs="宋体"/>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青少年</w:t>
            </w:r>
            <w:r>
              <w:rPr>
                <w:rFonts w:ascii="楷体" w:hAnsi="楷体" w:eastAsia="楷体" w:cs="宋体"/>
                <w:b/>
                <w:bCs/>
                <w:color w:val="000000" w:themeColor="text1"/>
                <w:kern w:val="0"/>
                <w:sz w:val="21"/>
                <w14:textFill>
                  <w14:solidFill>
                    <w14:schemeClr w14:val="tx1"/>
                  </w14:solidFill>
                </w14:textFill>
              </w:rPr>
              <w:t>体育</w:t>
            </w:r>
            <w:r>
              <w:rPr>
                <w:rFonts w:hint="eastAsia" w:ascii="楷体" w:hAnsi="楷体" w:eastAsia="楷体" w:cs="宋体"/>
                <w:b/>
                <w:bCs/>
                <w:color w:val="000000" w:themeColor="text1"/>
                <w:kern w:val="0"/>
                <w:sz w:val="21"/>
                <w14:textFill>
                  <w14:solidFill>
                    <w14:schemeClr w14:val="tx1"/>
                  </w14:solidFill>
                </w14:textFill>
              </w:rPr>
              <w:t>设施</w:t>
            </w:r>
            <w:r>
              <w:rPr>
                <w:rFonts w:ascii="楷体" w:hAnsi="楷体" w:eastAsia="楷体" w:cs="宋体"/>
                <w:b/>
                <w:bCs/>
                <w:color w:val="000000" w:themeColor="text1"/>
                <w:kern w:val="0"/>
                <w:sz w:val="21"/>
                <w14:textFill>
                  <w14:solidFill>
                    <w14:schemeClr w14:val="tx1"/>
                  </w14:solidFill>
                </w14:textFill>
              </w:rPr>
              <w:t>。</w:t>
            </w:r>
            <w:r>
              <w:rPr>
                <w:rFonts w:hint="eastAsia" w:ascii="楷体" w:hAnsi="楷体" w:eastAsia="楷体" w:cs="宋体"/>
                <w:bCs/>
                <w:color w:val="000000" w:themeColor="text1"/>
                <w:kern w:val="0"/>
                <w:sz w:val="21"/>
                <w14:textFill>
                  <w14:solidFill>
                    <w14:schemeClr w14:val="tx1"/>
                  </w14:solidFill>
                </w14:textFill>
              </w:rPr>
              <w:t>建设镇街青少年校外活动中心，完善户外体育活动营地和青少年校外体育场地设施。</w:t>
            </w:r>
          </w:p>
        </w:tc>
      </w:tr>
    </w:tbl>
    <w:p>
      <w:pPr>
        <w:pStyle w:val="3"/>
        <w:ind w:firstLine="720"/>
      </w:pPr>
      <w:bookmarkStart w:id="99" w:name="_Toc82624388"/>
      <w:r>
        <w:rPr>
          <w:rFonts w:hint="eastAsia"/>
        </w:rPr>
        <w:t>第十七章 加快</w:t>
      </w:r>
      <w:r>
        <w:t>发展现代体育</w:t>
      </w:r>
      <w:r>
        <w:rPr>
          <w:rFonts w:hint="eastAsia"/>
        </w:rPr>
        <w:t>产业</w:t>
      </w:r>
      <w:bookmarkEnd w:id="99"/>
    </w:p>
    <w:p>
      <w:pPr>
        <w:ind w:firstLine="600"/>
      </w:pPr>
      <w:r>
        <w:rPr>
          <w:rFonts w:hint="eastAsia"/>
        </w:rPr>
        <w:t>“十四五”期间，推动云阳基本形成布局合理、功能完善、门类齐全的体育产业体系，规范传统体育产业，推进体育业数字化升级转型，“体育+”融合创新发展新业态，激发拓展体育市场消费活力，实现将体育业发展为推动经济发展的重要力量</w:t>
      </w:r>
      <w:r>
        <w:t>。</w:t>
      </w:r>
    </w:p>
    <w:p>
      <w:pPr>
        <w:pStyle w:val="4"/>
        <w:ind w:firstLine="640"/>
      </w:pPr>
      <w:bookmarkStart w:id="100" w:name="_Toc82624389"/>
      <w:r>
        <w:rPr>
          <w:rFonts w:hint="eastAsia"/>
        </w:rPr>
        <w:t>第一节 规范传统体育产业</w:t>
      </w:r>
      <w:bookmarkEnd w:id="100"/>
    </w:p>
    <w:p>
      <w:pPr>
        <w:ind w:firstLine="600"/>
      </w:pPr>
      <w:r>
        <w:rPr>
          <w:rFonts w:hint="eastAsia"/>
        </w:rPr>
        <w:t>以建立健全相关</w:t>
      </w:r>
      <w:r>
        <w:t>法规</w:t>
      </w:r>
      <w:r>
        <w:rPr>
          <w:rFonts w:hint="eastAsia"/>
        </w:rPr>
        <w:t>为</w:t>
      </w:r>
      <w:r>
        <w:t>核心工作，</w:t>
      </w:r>
      <w:r>
        <w:rPr>
          <w:rFonts w:hint="eastAsia"/>
        </w:rPr>
        <w:t>规范体育市场主体行为，维护市场秩序，促进体育市场规范发展。</w:t>
      </w:r>
    </w:p>
    <w:p>
      <w:pPr>
        <w:ind w:firstLine="602"/>
        <w:rPr>
          <w:b/>
        </w:rPr>
      </w:pPr>
      <w:r>
        <w:rPr>
          <w:rFonts w:hint="eastAsia"/>
          <w:b/>
        </w:rPr>
        <w:t>——加强体育经营活动的安全监管</w:t>
      </w:r>
      <w:r>
        <w:rPr>
          <w:rFonts w:hint="eastAsia"/>
        </w:rPr>
        <w:t>，对于高危险性体育项目的经营活动，依法确定严格规范的准入和开放条件、技术要求和服务规程，加强技术指导和安全保护，加强日常监督检查及产品质量检测。</w:t>
      </w:r>
    </w:p>
    <w:p>
      <w:pPr>
        <w:ind w:firstLine="602"/>
        <w:rPr>
          <w:b/>
        </w:rPr>
      </w:pPr>
      <w:r>
        <w:rPr>
          <w:rFonts w:hint="eastAsia"/>
          <w:b/>
        </w:rPr>
        <w:t>——推行体育服务质量认证制度，</w:t>
      </w:r>
      <w:r>
        <w:rPr>
          <w:rFonts w:hint="eastAsia"/>
        </w:rPr>
        <w:t>建立和完善体育服务规范，提高体育服务水平。开展体育行业特有职业技能鉴定工作，提高体育服务从业人员的服务意识和专业水平。</w:t>
      </w:r>
    </w:p>
    <w:p>
      <w:pPr>
        <w:ind w:firstLine="602"/>
      </w:pPr>
      <w:r>
        <w:rPr>
          <w:rFonts w:hint="eastAsia"/>
          <w:b/>
        </w:rPr>
        <w:t>——建立</w:t>
      </w:r>
      <w:r>
        <w:rPr>
          <w:b/>
        </w:rPr>
        <w:t>商用体育设施管理</w:t>
      </w:r>
      <w:r>
        <w:rPr>
          <w:rFonts w:hint="eastAsia"/>
          <w:b/>
        </w:rPr>
        <w:t>制度</w:t>
      </w:r>
      <w:r>
        <w:rPr>
          <w:b/>
        </w:rPr>
        <w:t>。</w:t>
      </w:r>
      <w:r>
        <w:rPr>
          <w:rFonts w:hint="eastAsia"/>
          <w:shd w:val="clear" w:color="auto" w:fill="FFFFFF"/>
        </w:rPr>
        <w:t>对用于群众健身的商用体育设施日常运行和维护给予经费补助，并根据其向群众开放的程度，在用水、用气、用电、用热等方面给予政策优惠。</w:t>
      </w:r>
    </w:p>
    <w:p>
      <w:pPr>
        <w:pStyle w:val="4"/>
        <w:ind w:firstLine="640"/>
      </w:pPr>
      <w:bookmarkStart w:id="101" w:name="_Toc82624390"/>
      <w:bookmarkStart w:id="102" w:name="_Toc60783805"/>
      <w:r>
        <w:rPr>
          <w:rFonts w:hint="eastAsia" w:ascii="方正黑体_GBK"/>
          <w:bCs/>
        </w:rPr>
        <w:t xml:space="preserve">第二节 </w:t>
      </w:r>
      <w:r>
        <w:rPr>
          <w:rFonts w:hint="eastAsia"/>
        </w:rPr>
        <w:t>发展新型体育产业</w:t>
      </w:r>
      <w:bookmarkEnd w:id="101"/>
    </w:p>
    <w:p>
      <w:pPr>
        <w:ind w:firstLine="600"/>
      </w:pPr>
      <w:r>
        <w:rPr>
          <w:rFonts w:hint="eastAsia"/>
        </w:rPr>
        <w:t>拓展“体育+”融合发展新领域，积极推动体育产业跨界融合发展，将旅游观光、休闲养生、康体健身等融为一体，拓展健身发展新领域，拓展体育新业态。</w:t>
      </w:r>
    </w:p>
    <w:p>
      <w:pPr>
        <w:ind w:firstLine="602"/>
      </w:pPr>
      <w:r>
        <w:rPr>
          <w:rFonts w:hint="eastAsia"/>
          <w:b/>
          <w:bCs/>
        </w:rPr>
        <w:t>——重点发展体育旅游业。</w:t>
      </w:r>
      <w:r>
        <w:rPr>
          <w:rFonts w:hint="eastAsia"/>
        </w:rPr>
        <w:t>打造一批体育旅游精品线路、体育旅游精品赛事、体育旅游综合体。探索打造清水康养运动休闲特色小镇，形成集文化、旅游、康养、运动、养老为一体的综合特色小镇。重点推动长滩河漂流、盘龙滑翔伞飞行基地、龙缸户外探险、清水湖水上运动、向阳水库等为核心的文体旅综合体项目，发展越野、漂流、水上运动、森林运动、航空运动等体旅活动，革新传统体育锻炼项目，创建国家体育旅游示范区。</w:t>
      </w:r>
    </w:p>
    <w:p>
      <w:pPr>
        <w:ind w:firstLine="602"/>
      </w:pPr>
      <w:r>
        <w:rPr>
          <w:rFonts w:hint="eastAsia"/>
          <w:b/>
          <w:bCs/>
        </w:rPr>
        <w:t>——着力发展体育用品制造业。</w:t>
      </w:r>
      <w:r>
        <w:rPr>
          <w:rFonts w:hint="eastAsia"/>
        </w:rPr>
        <w:t>依托水口数智小镇，打造以户外运动和智能化为特色的可穿戴体育装备制造集聚区。制定云阳体育产业优惠政策，依托现有优势引进国内外优质体育装备制造企业落户云阳，重点吸引高附加值的运动装备企业进驻云阳。</w:t>
      </w:r>
    </w:p>
    <w:p>
      <w:pPr>
        <w:ind w:firstLine="602"/>
      </w:pPr>
      <w:r>
        <w:rPr>
          <w:rFonts w:hint="eastAsia"/>
          <w:b/>
          <w:bCs/>
        </w:rPr>
        <w:t>——创新发展体育彩票业。</w:t>
      </w:r>
      <w:r>
        <w:rPr>
          <w:rFonts w:hint="eastAsia"/>
        </w:rPr>
        <w:t>大力宣传体育彩票的公益属性，拓展发行渠道，增加自动售票系统等线下网点销售。</w:t>
      </w:r>
    </w:p>
    <w:p>
      <w:pPr>
        <w:ind w:firstLine="602"/>
      </w:pPr>
      <w:r>
        <w:rPr>
          <w:rFonts w:hint="eastAsia"/>
          <w:b/>
        </w:rPr>
        <w:t>——加快发展体育服务业。</w:t>
      </w:r>
      <w:r>
        <w:rPr>
          <w:rFonts w:hint="eastAsia"/>
        </w:rPr>
        <w:t>优化产业结构，加快形成以健身休闲、竞赛表演等为引领的产业体系。提升生产性体育服务业专业化水平，重点推进体育中介服务、体育信息服务、体育产品研发设计等重要行业发展。</w:t>
      </w:r>
    </w:p>
    <w:p>
      <w:pPr>
        <w:pStyle w:val="4"/>
        <w:ind w:firstLine="640"/>
      </w:pPr>
      <w:bookmarkStart w:id="103" w:name="_Toc82624391"/>
      <w:r>
        <w:rPr>
          <w:rFonts w:hint="eastAsia"/>
        </w:rPr>
        <w:t>第三节 完善体育</w:t>
      </w:r>
      <w:r>
        <w:t>产业市场体系</w:t>
      </w:r>
      <w:bookmarkEnd w:id="103"/>
    </w:p>
    <w:p>
      <w:pPr>
        <w:ind w:firstLine="602"/>
      </w:pPr>
      <w:r>
        <w:rPr>
          <w:rFonts w:hint="eastAsia"/>
          <w:b/>
          <w:bCs/>
        </w:rPr>
        <w:t>——搭建体育产业发展平台。</w:t>
      </w:r>
      <w:r>
        <w:rPr>
          <w:rFonts w:hint="eastAsia"/>
        </w:rPr>
        <w:t>推进各类体育组织与体育企业合作，打造一批知名企业和自主品牌。鼓励符合条件的中小体育企业服务平台申报国家中小企业公共服务示范平台。</w:t>
      </w:r>
    </w:p>
    <w:p>
      <w:pPr>
        <w:ind w:firstLine="602"/>
      </w:pPr>
      <w:r>
        <w:rPr>
          <w:rFonts w:hint="eastAsia"/>
          <w:b/>
          <w:bCs/>
        </w:rPr>
        <w:t>——加快培育体育市场主体。</w:t>
      </w:r>
      <w:r>
        <w:rPr>
          <w:rFonts w:hint="eastAsia"/>
        </w:rPr>
        <w:t>着力扶持、培育一批有自主品牌、创新能力的重点体育企业，培育一批细分领域的“专精特新”企业、“瞪羚企业”和“隐形冠军”企业。支持成立各类体育产业孵化平台，构建一批体育众创空间。</w:t>
      </w:r>
    </w:p>
    <w:p>
      <w:pPr>
        <w:ind w:firstLine="602"/>
      </w:pPr>
      <w:r>
        <w:rPr>
          <w:rFonts w:hint="eastAsia"/>
          <w:b/>
          <w:bCs/>
        </w:rPr>
        <w:t>——激发大众体育消费需求</w:t>
      </w:r>
      <w:r>
        <w:rPr>
          <w:rFonts w:hint="eastAsia"/>
        </w:rPr>
        <w:t>。加快打造线上与线下比赛相结合、全社会参与、多项目覆盖、多层级联动的群体活动，调动全目民参与体育的积极性。打造体育服务在线对接、运动体验即时分享、体育社交互联互通等云上新体验。</w:t>
      </w:r>
    </w:p>
    <w:p>
      <w:pPr>
        <w:ind w:firstLine="602"/>
      </w:pPr>
      <w:r>
        <w:rPr>
          <w:rFonts w:hint="eastAsia"/>
          <w:b/>
          <w:bCs/>
        </w:rPr>
        <w:t>——优化体育市场环境。</w:t>
      </w:r>
      <w:r>
        <w:rPr>
          <w:rFonts w:hint="eastAsia"/>
        </w:rPr>
        <w:t>鼓励社会资本进入体育产业领域，建设体育设施，开发体育产品，提供体育服务。支持扩大对外开放，鼓励境外资本投资体育产业。推广和运用政府和社会资本合作等多种模式，吸引社会资本参与体育产业发展。</w:t>
      </w:r>
    </w:p>
    <w:p>
      <w:pPr>
        <w:ind w:firstLine="420"/>
        <w:jc w:val="center"/>
        <w:rPr>
          <w:rFonts w:ascii="黑体" w:hAnsi="黑体" w:eastAsia="黑体" w:cs="宋体"/>
          <w:bCs/>
          <w:color w:val="000000" w:themeColor="text1"/>
          <w:kern w:val="0"/>
          <w:sz w:val="21"/>
          <w14:textFill>
            <w14:solidFill>
              <w14:schemeClr w14:val="tx1"/>
            </w14:solidFill>
          </w14:textFill>
        </w:rPr>
      </w:pPr>
      <w:r>
        <w:rPr>
          <w:rFonts w:hint="eastAsia" w:ascii="黑体" w:hAnsi="黑体" w:eastAsia="黑体" w:cs="宋体"/>
          <w:bCs/>
          <w:color w:val="000000" w:themeColor="text1"/>
          <w:kern w:val="0"/>
          <w:sz w:val="21"/>
          <w14:textFill>
            <w14:solidFill>
              <w14:schemeClr w14:val="tx1"/>
            </w14:solidFill>
          </w14:textFill>
        </w:rPr>
        <w:t>专栏</w:t>
      </w:r>
      <w:r>
        <w:rPr>
          <w:rFonts w:ascii="黑体" w:hAnsi="黑体" w:eastAsia="黑体" w:cs="宋体"/>
          <w:bCs/>
          <w:color w:val="000000" w:themeColor="text1"/>
          <w:kern w:val="0"/>
          <w:sz w:val="21"/>
          <w14:textFill>
            <w14:solidFill>
              <w14:schemeClr w14:val="tx1"/>
            </w14:solidFill>
          </w14:textFill>
        </w:rPr>
        <w:t>13</w:t>
      </w:r>
      <w:r>
        <w:rPr>
          <w:rFonts w:hint="eastAsia" w:ascii="黑体" w:hAnsi="黑体" w:eastAsia="黑体" w:cs="宋体"/>
          <w:bCs/>
          <w:color w:val="000000" w:themeColor="text1"/>
          <w:kern w:val="0"/>
          <w:sz w:val="21"/>
          <w14:textFill>
            <w14:solidFill>
              <w14:schemeClr w14:val="tx1"/>
            </w14:solidFill>
          </w14:textFill>
        </w:rPr>
        <w:t xml:space="preserve"> 加快发展现代体育产业</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tcPr>
          <w:p>
            <w:pPr>
              <w:widowControl/>
              <w:ind w:firstLine="0" w:firstLineChars="0"/>
              <w:jc w:val="left"/>
              <w:rPr>
                <w:rFonts w:ascii="楷体" w:hAnsi="楷体" w:eastAsia="楷体" w:cs="宋体"/>
                <w:b/>
                <w:bCs/>
                <w:color w:val="000000" w:themeColor="text1"/>
                <w:kern w:val="0"/>
                <w:sz w:val="21"/>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重点项目：</w:t>
            </w:r>
          </w:p>
          <w:p>
            <w:pPr>
              <w:widowControl/>
              <w:ind w:firstLine="422"/>
              <w:rPr>
                <w:rFonts w:ascii="楷体" w:hAnsi="楷体" w:eastAsia="楷体" w:cs="宋体"/>
                <w:color w:val="000000" w:themeColor="text1"/>
                <w:kern w:val="0"/>
                <w:sz w:val="24"/>
                <w14:textFill>
                  <w14:solidFill>
                    <w14:schemeClr w14:val="tx1"/>
                  </w14:solidFill>
                </w14:textFill>
              </w:rPr>
            </w:pPr>
            <w:r>
              <w:rPr>
                <w:rFonts w:hint="eastAsia" w:ascii="楷体" w:hAnsi="楷体" w:eastAsia="楷体" w:cs="宋体"/>
                <w:b/>
                <w:bCs/>
                <w:color w:val="000000" w:themeColor="text1"/>
                <w:kern w:val="0"/>
                <w:sz w:val="21"/>
                <w14:textFill>
                  <w14:solidFill>
                    <w14:schemeClr w14:val="tx1"/>
                  </w14:solidFill>
                </w14:textFill>
              </w:rPr>
              <w:t>体旅融合项目。</w:t>
            </w:r>
            <w:r>
              <w:rPr>
                <w:rFonts w:hint="eastAsia" w:ascii="楷体" w:hAnsi="楷体" w:eastAsia="楷体" w:cs="宋体"/>
                <w:bCs/>
                <w:color w:val="000000" w:themeColor="text1"/>
                <w:kern w:val="0"/>
                <w:sz w:val="21"/>
                <w14:textFill>
                  <w14:solidFill>
                    <w14:schemeClr w14:val="tx1"/>
                  </w14:solidFill>
                </w14:textFill>
              </w:rPr>
              <w:t>推进枯草塘运动员康养训练基地、龙缸运动员夏训基地、龙缸户外探险基地、向阳水库体旅融合试点</w:t>
            </w:r>
            <w:r>
              <w:rPr>
                <w:rFonts w:hint="eastAsia" w:ascii="楷体" w:hAnsi="楷体" w:eastAsia="楷体" w:cs="宋体"/>
                <w:color w:val="000000" w:themeColor="text1"/>
                <w:kern w:val="0"/>
                <w:sz w:val="21"/>
                <w14:textFill>
                  <w14:solidFill>
                    <w14:schemeClr w14:val="tx1"/>
                  </w14:solidFill>
                </w14:textFill>
              </w:rPr>
              <w:t>建设。升级</w:t>
            </w:r>
            <w:r>
              <w:rPr>
                <w:rFonts w:hint="eastAsia" w:ascii="楷体" w:hAnsi="楷体" w:eastAsia="楷体" w:cs="宋体"/>
                <w:bCs/>
                <w:color w:val="000000" w:themeColor="text1"/>
                <w:kern w:val="0"/>
                <w:sz w:val="21"/>
                <w14:textFill>
                  <w14:solidFill>
                    <w14:schemeClr w14:val="tx1"/>
                  </w14:solidFill>
                </w14:textFill>
              </w:rPr>
              <w:t>盘龙滑翔伞基地、长滩河漂流和县城至云阳镇马拉松、自行车道建设。</w:t>
            </w:r>
          </w:p>
        </w:tc>
      </w:tr>
    </w:tbl>
    <w:p>
      <w:pPr>
        <w:pStyle w:val="2"/>
        <w:ind w:firstLine="880"/>
      </w:pPr>
      <w:r>
        <w:br w:type="page"/>
      </w:r>
      <w:bookmarkStart w:id="104" w:name="_Toc82624392"/>
      <w:r>
        <w:t>第</w:t>
      </w:r>
      <w:r>
        <w:rPr>
          <w:rFonts w:hint="eastAsia"/>
        </w:rPr>
        <w:t>五</w:t>
      </w:r>
      <w:r>
        <w:t>篇</w:t>
      </w:r>
      <w:bookmarkEnd w:id="102"/>
      <w:r>
        <w:rPr>
          <w:rFonts w:hint="eastAsia"/>
        </w:rPr>
        <w:t xml:space="preserve"> 规划实施</w:t>
      </w:r>
      <w:bookmarkEnd w:id="104"/>
    </w:p>
    <w:p>
      <w:pPr>
        <w:ind w:firstLine="600"/>
        <w:rPr>
          <w:szCs w:val="36"/>
        </w:rPr>
      </w:pPr>
      <w:r>
        <w:rPr>
          <w:rFonts w:hint="eastAsia"/>
        </w:rPr>
        <w:t>以提升系统化、</w:t>
      </w:r>
      <w:r>
        <w:t>现代化</w:t>
      </w:r>
      <w:r>
        <w:rPr>
          <w:rFonts w:hint="eastAsia"/>
        </w:rPr>
        <w:t>文旅治理和经营能力为中心，建立完善文旅</w:t>
      </w:r>
      <w:r>
        <w:t>治理体系</w:t>
      </w:r>
      <w:r>
        <w:rPr>
          <w:rFonts w:hint="eastAsia"/>
        </w:rPr>
        <w:t>、</w:t>
      </w:r>
      <w:r>
        <w:t>强化规划实施保障</w:t>
      </w:r>
      <w:r>
        <w:rPr>
          <w:rFonts w:hint="eastAsia"/>
        </w:rPr>
        <w:t>。</w:t>
      </w:r>
    </w:p>
    <w:p>
      <w:pPr>
        <w:pStyle w:val="3"/>
        <w:ind w:firstLine="720"/>
      </w:pPr>
      <w:bookmarkStart w:id="105" w:name="_Toc82624393"/>
      <w:r>
        <w:rPr>
          <w:rFonts w:hint="eastAsia"/>
        </w:rPr>
        <w:t>第十八章 强化规划</w:t>
      </w:r>
      <w:r>
        <w:t>实施保障</w:t>
      </w:r>
      <w:bookmarkEnd w:id="105"/>
    </w:p>
    <w:p>
      <w:pPr>
        <w:ind w:firstLine="600"/>
      </w:pPr>
      <w:r>
        <w:rPr>
          <w:rFonts w:hint="eastAsia"/>
        </w:rPr>
        <w:t>以文化和旅游治理能力现代化为改革方向，建立健全规划实施机制，激发社会和</w:t>
      </w:r>
      <w:r>
        <w:t>市场</w:t>
      </w:r>
      <w:r>
        <w:rPr>
          <w:rFonts w:hint="eastAsia"/>
        </w:rPr>
        <w:t>参与，确保云阳文化</w:t>
      </w:r>
      <w:r>
        <w:t>旅游体育</w:t>
      </w:r>
      <w:r>
        <w:rPr>
          <w:rFonts w:hint="eastAsia"/>
        </w:rPr>
        <w:t>“十四五”各项目标任务顺利完成。</w:t>
      </w:r>
    </w:p>
    <w:p>
      <w:pPr>
        <w:pStyle w:val="4"/>
        <w:ind w:firstLine="640"/>
      </w:pPr>
      <w:bookmarkStart w:id="106" w:name="_Toc82503530"/>
      <w:bookmarkStart w:id="107" w:name="_Toc82624394"/>
      <w:r>
        <w:rPr>
          <w:rFonts w:hint="eastAsia"/>
        </w:rPr>
        <w:t>第一节 提升</w:t>
      </w:r>
      <w:r>
        <w:t>治理能力</w:t>
      </w:r>
      <w:bookmarkEnd w:id="106"/>
      <w:bookmarkEnd w:id="107"/>
    </w:p>
    <w:p>
      <w:pPr>
        <w:ind w:firstLine="600"/>
      </w:pPr>
      <w:r>
        <w:rPr>
          <w:rFonts w:hint="eastAsia"/>
        </w:rPr>
        <w:t>深化文</w:t>
      </w:r>
      <w:r>
        <w:t>旅</w:t>
      </w:r>
      <w:r>
        <w:rPr>
          <w:rFonts w:hint="eastAsia"/>
        </w:rPr>
        <w:t>治理体系改革，提高文旅改革发展活力，将政府管理服务和引导合力、企事业单位创新经营动力、社会组织协调促进</w:t>
      </w:r>
      <w:r>
        <w:t>三者</w:t>
      </w:r>
      <w:r>
        <w:rPr>
          <w:rFonts w:hint="eastAsia"/>
        </w:rPr>
        <w:t>有机结合，构建政府参与、企业主体、社会参与的文旅融合发展体制机制，推进文旅领域治理体系和治理能力更加现代化</w:t>
      </w:r>
      <w:r>
        <w:t>。</w:t>
      </w:r>
    </w:p>
    <w:p>
      <w:pPr>
        <w:ind w:firstLine="602"/>
      </w:pPr>
      <w:r>
        <w:rPr>
          <w:rFonts w:hint="eastAsia" w:ascii="Calibri" w:hAnsi="Calibri"/>
          <w:b/>
        </w:rPr>
        <w:t>优化文旅治理机制。</w:t>
      </w:r>
      <w:r>
        <w:rPr>
          <w:rFonts w:hint="eastAsia"/>
        </w:rPr>
        <w:t>积极推进“放管服”改革，推动将旅游监管方式从事前审批向事中事后监管转变；健全文化旅游“黑名单”制度；推进文化市场综合行政执法改革；</w:t>
      </w:r>
      <w:r>
        <w:t>健全文化和旅游发展的统筹协调机制</w:t>
      </w:r>
      <w:r>
        <w:rPr>
          <w:rFonts w:hint="eastAsia"/>
        </w:rPr>
        <w:t>；建立</w:t>
      </w:r>
      <w:r>
        <w:t>文化和旅游公共服务机制</w:t>
      </w:r>
      <w:r>
        <w:rPr>
          <w:rFonts w:hint="eastAsia"/>
        </w:rPr>
        <w:t>；积极开展公共文化场馆和旅游公共服务设施服务内容融合试点；优化景区管理制度；彻底理顺云阳各大景区生态红线和经营管理体制，实现一体化规划、建设、运营、管理，提升景区运营管理质量。</w:t>
      </w:r>
    </w:p>
    <w:p>
      <w:pPr>
        <w:ind w:firstLine="602"/>
      </w:pPr>
      <w:r>
        <w:rPr>
          <w:rFonts w:hint="eastAsia" w:ascii="Calibri" w:hAnsi="Calibri"/>
          <w:b/>
        </w:rPr>
        <w:t>提升依法治理水平。</w:t>
      </w:r>
      <w:r>
        <w:t>健全和完善普法教育</w:t>
      </w:r>
      <w:r>
        <w:rPr>
          <w:rFonts w:hint="eastAsia"/>
        </w:rPr>
        <w:t>工作</w:t>
      </w:r>
      <w:r>
        <w:t>机制。</w:t>
      </w:r>
      <w:r>
        <w:rPr>
          <w:rFonts w:hint="eastAsia"/>
        </w:rPr>
        <w:t>认真</w:t>
      </w:r>
      <w:r>
        <w:t>落实党员干部</w:t>
      </w:r>
      <w:r>
        <w:rPr>
          <w:rFonts w:hint="eastAsia"/>
        </w:rPr>
        <w:t>普法</w:t>
      </w:r>
      <w:r>
        <w:t>教育制度</w:t>
      </w:r>
      <w:r>
        <w:rPr>
          <w:rFonts w:hint="eastAsia"/>
        </w:rPr>
        <w:t>；建立</w:t>
      </w:r>
      <w:r>
        <w:t>执法人员学法制度</w:t>
      </w:r>
      <w:r>
        <w:rPr>
          <w:rFonts w:hint="eastAsia"/>
        </w:rPr>
        <w:t>；加强</w:t>
      </w:r>
      <w:r>
        <w:t>普法教育</w:t>
      </w:r>
      <w:r>
        <w:rPr>
          <w:rFonts w:hint="eastAsia"/>
        </w:rPr>
        <w:t>宣传推广；</w:t>
      </w:r>
      <w:r>
        <w:t>健全</w:t>
      </w:r>
      <w:r>
        <w:rPr>
          <w:rFonts w:hint="eastAsia"/>
        </w:rPr>
        <w:t>法制</w:t>
      </w:r>
      <w:r>
        <w:t>考核制度</w:t>
      </w:r>
      <w:r>
        <w:rPr>
          <w:rFonts w:hint="eastAsia"/>
        </w:rPr>
        <w:t>。做好执法工作管理专项整治。</w:t>
      </w:r>
    </w:p>
    <w:p>
      <w:pPr>
        <w:ind w:firstLine="602"/>
      </w:pPr>
      <w:r>
        <w:rPr>
          <w:rFonts w:hint="eastAsia" w:ascii="Calibri" w:hAnsi="Calibri"/>
          <w:b/>
        </w:rPr>
        <w:t>守牢文旅发展底线。</w:t>
      </w:r>
      <w:r>
        <w:rPr>
          <w:rFonts w:hint="eastAsia"/>
          <w:b/>
        </w:rPr>
        <w:t>一是</w:t>
      </w:r>
      <w:r>
        <w:rPr>
          <w:rFonts w:hint="eastAsia"/>
        </w:rPr>
        <w:t>遵守绿色发展底线。践行“两山”理论，不触碰生态保护红线。规范建设行为，建立和完善生态补偿机制，实现文旅产业与生态环境协调发展。</w:t>
      </w:r>
      <w:r>
        <w:rPr>
          <w:rFonts w:hint="eastAsia"/>
          <w:b/>
        </w:rPr>
        <w:t>二是</w:t>
      </w:r>
      <w:r>
        <w:rPr>
          <w:rFonts w:hint="eastAsia"/>
        </w:rPr>
        <w:t>坚守</w:t>
      </w:r>
      <w:r>
        <w:t>安全发展底线</w:t>
      </w:r>
      <w:r>
        <w:rPr>
          <w:rFonts w:hint="eastAsia"/>
          <w:b/>
        </w:rPr>
        <w:t>。</w:t>
      </w:r>
      <w:r>
        <w:rPr>
          <w:rFonts w:hint="eastAsia"/>
        </w:rPr>
        <w:t>牢固树立安全发展理念，统筹推进文旅</w:t>
      </w:r>
      <w:r>
        <w:t>发展安全建设。强化安全管理机制；积极与各保险公司合作，共同完善旅游保险体系。建立旅游安全管理责任制</w:t>
      </w:r>
      <w:r>
        <w:rPr>
          <w:rFonts w:hint="eastAsia"/>
        </w:rPr>
        <w:t>；健全危机预警机制；提高旅游紧急救援和事故应急处理能力，维护旅游发展稳定。</w:t>
      </w:r>
    </w:p>
    <w:p>
      <w:pPr>
        <w:ind w:firstLine="602"/>
      </w:pPr>
      <w:r>
        <w:rPr>
          <w:rFonts w:hint="eastAsia" w:ascii="Calibri" w:hAnsi="Calibri"/>
          <w:b/>
        </w:rPr>
        <w:t>提升文旅服务质量。一是</w:t>
      </w:r>
      <w:r>
        <w:rPr>
          <w:rFonts w:hint="eastAsia"/>
        </w:rPr>
        <w:t>探索建立旅游服务质量认证认可体系。加强</w:t>
      </w:r>
      <w:r>
        <w:t>导游队伍建设</w:t>
      </w:r>
      <w:r>
        <w:rPr>
          <w:rFonts w:hint="eastAsia"/>
        </w:rPr>
        <w:t>；举办旅游服务技能竞赛；加强对先进人物和典型事迹的宣传推广。</w:t>
      </w:r>
      <w:r>
        <w:rPr>
          <w:rFonts w:hint="eastAsia"/>
          <w:kern w:val="0"/>
          <w:szCs w:val="32"/>
          <w:lang w:bidi="ar"/>
        </w:rPr>
        <w:t>提升旅游</w:t>
      </w:r>
      <w:r>
        <w:rPr>
          <w:kern w:val="0"/>
          <w:szCs w:val="32"/>
          <w:lang w:bidi="ar"/>
        </w:rPr>
        <w:t>志愿</w:t>
      </w:r>
      <w:r>
        <w:rPr>
          <w:rFonts w:hint="eastAsia"/>
          <w:kern w:val="0"/>
          <w:szCs w:val="32"/>
          <w:lang w:bidi="ar"/>
        </w:rPr>
        <w:t>者</w:t>
      </w:r>
      <w:r>
        <w:rPr>
          <w:kern w:val="0"/>
          <w:szCs w:val="32"/>
          <w:lang w:bidi="ar"/>
        </w:rPr>
        <w:t>服务</w:t>
      </w:r>
      <w:r>
        <w:rPr>
          <w:rFonts w:hint="eastAsia"/>
          <w:kern w:val="0"/>
          <w:szCs w:val="32"/>
          <w:lang w:bidi="ar"/>
        </w:rPr>
        <w:t>质量。</w:t>
      </w:r>
      <w:r>
        <w:rPr>
          <w:rFonts w:hint="eastAsia"/>
          <w:b/>
          <w:kern w:val="0"/>
          <w:szCs w:val="32"/>
          <w:lang w:bidi="ar"/>
        </w:rPr>
        <w:t>二是</w:t>
      </w:r>
      <w:r>
        <w:rPr>
          <w:rFonts w:hint="eastAsia"/>
        </w:rPr>
        <w:t>加强质量</w:t>
      </w:r>
      <w:r>
        <w:t>监管综合执法工作。</w:t>
      </w:r>
      <w:r>
        <w:rPr>
          <w:rFonts w:hint="eastAsia"/>
        </w:rPr>
        <w:t>落实放心消费和旅游购物无理由退货服务，推进旅游信用体系建设。常态化开展“体检式”暗访评估工作，加强对各类在线旅游经营者等的日常监督。</w:t>
      </w:r>
      <w:r>
        <w:rPr>
          <w:rFonts w:hint="eastAsia"/>
          <w:b/>
        </w:rPr>
        <w:t>三是</w:t>
      </w:r>
      <w:r>
        <w:rPr>
          <w:rFonts w:hint="eastAsia"/>
        </w:rPr>
        <w:t>构建全方位旅游行业监管体系。健全旅游景区、宾馆饭店、乡村旅游等服务质量标准体系、涉旅行业执法监管体系、旅游人才培训体系，规范旅游市场秩序，加强旅游安全监管，提升旅游服务质量。</w:t>
      </w:r>
    </w:p>
    <w:p>
      <w:pPr>
        <w:pStyle w:val="4"/>
        <w:ind w:firstLine="640"/>
      </w:pPr>
      <w:bookmarkStart w:id="108" w:name="_Toc82624395"/>
      <w:bookmarkStart w:id="109" w:name="_Toc82503531"/>
      <w:r>
        <w:rPr>
          <w:rFonts w:hint="eastAsia"/>
        </w:rPr>
        <w:t>第二节 强化</w:t>
      </w:r>
      <w:r>
        <w:t>实施保障</w:t>
      </w:r>
      <w:bookmarkEnd w:id="108"/>
      <w:bookmarkEnd w:id="109"/>
    </w:p>
    <w:p>
      <w:pPr>
        <w:ind w:firstLine="602"/>
      </w:pPr>
      <w:r>
        <w:rPr>
          <w:rFonts w:hint="eastAsia"/>
          <w:b/>
        </w:rPr>
        <w:t>强化组织协调合作。</w:t>
      </w:r>
      <w:r>
        <w:rPr>
          <w:rFonts w:hint="eastAsia"/>
        </w:rPr>
        <w:t>坚持党对文化和旅游工作的全面领导，加强对涉文旅部门、乡镇（街道）党政领导班子建设，形成党委领导、政府主导、市场主体、社会参与的工作格局。坚持齐抓共管，进一步完善区域间、部门间联动机制，推进政策制定、规划实施、资源开发、市场开拓、品牌建设等方面的统筹与协调。</w:t>
      </w:r>
    </w:p>
    <w:p>
      <w:pPr>
        <w:ind w:firstLine="602"/>
      </w:pPr>
      <w:r>
        <w:rPr>
          <w:rFonts w:hint="eastAsia"/>
          <w:b/>
        </w:rPr>
        <w:t>切实加强政策保障。</w:t>
      </w:r>
      <w:r>
        <w:rPr>
          <w:rFonts w:hint="eastAsia"/>
        </w:rPr>
        <w:t>进一步健全文物保护和非物质文化遗产保护政策措施，强化对保护传承的政策扶持力度。深化消费激励政策，完善《云阳旅游招徕奖励办法》。全面落实机关、团体、企事业单位职工带薪休假制度，引导和鼓励非公企业、个体工商户完善休假制度。</w:t>
      </w:r>
    </w:p>
    <w:p>
      <w:pPr>
        <w:ind w:firstLine="602"/>
      </w:pPr>
      <w:r>
        <w:rPr>
          <w:rFonts w:hint="eastAsia"/>
          <w:b/>
        </w:rPr>
        <w:t>创新用地保障机制。</w:t>
      </w:r>
      <w:r>
        <w:rPr>
          <w:rFonts w:hint="eastAsia"/>
        </w:rPr>
        <w:t>加强存量土地盘活，保障重大招商项目及时落地；保障产业用地需求，将文化、旅游重点项目及配套设施建设用地纳入全区国土空间规划并给予重点保障；同时加强用地质量监督，提升土地节约集约利用水平。</w:t>
      </w:r>
    </w:p>
    <w:p>
      <w:pPr>
        <w:ind w:firstLine="602"/>
      </w:pPr>
      <w:r>
        <w:rPr>
          <w:rFonts w:hint="eastAsia"/>
          <w:b/>
        </w:rPr>
        <w:t>加强人才队伍建设。</w:t>
      </w:r>
      <w:r>
        <w:rPr>
          <w:rFonts w:hint="eastAsia"/>
        </w:rPr>
        <w:t>面向市场需求，紧密围绕人才培养、人才吸引、人才制度构建三个环节，营造重视人才的氛围；加强文化旅游人才培养，健全人才引进制度，创新人才培训制度，通过鼓励校企合作订单式培养、提升中层管理业务水平等举措，不断加强人才队伍建设。</w:t>
      </w:r>
    </w:p>
    <w:p>
      <w:pPr>
        <w:ind w:firstLine="602"/>
      </w:pPr>
      <w:r>
        <w:rPr>
          <w:rFonts w:hint="eastAsia"/>
          <w:b/>
        </w:rPr>
        <w:t>大力推进招商引资。</w:t>
      </w:r>
      <w:r>
        <w:rPr>
          <w:rFonts w:hint="eastAsia"/>
        </w:rPr>
        <w:t>充分发挥财政专项资金的引导作用，整合中央专项资金、争取市区两级财政资金，成立云阳文旅产业发展基金，以政策资金吸引民间投资。加大招商引资力度，以招商引资和规划项目的动态跟踪管理为重点，明确每个项目的责任单位、投资建设、政策扶持等情况，实时跟进招商项目，做好招商项目的落地运营与招商企业的长期配套服务。</w:t>
      </w:r>
    </w:p>
    <w:p>
      <w:pPr>
        <w:ind w:firstLine="602"/>
      </w:pPr>
      <w:r>
        <w:rPr>
          <w:rFonts w:hint="eastAsia"/>
          <w:b/>
        </w:rPr>
        <w:t>完善评估监督机制。</w:t>
      </w:r>
      <w:r>
        <w:rPr>
          <w:rFonts w:hint="eastAsia"/>
        </w:rPr>
        <w:t>创新科学评估机制，充分运用大数据、云计算等新技术新方法，有效整合互联网大数据和统计数据，通过科学精准评估，全面真实反映规划实施情况。组织开展规划实施年度监测分析、中期评估和总结评估，鼓励开展第三方评估，增强规划评估的客观性和准确性。强化市场监督作用，进一步完善规划实施的公众参与和民主监督机制，及时公开规划实施相关信息，接受全社会监督。</w:t>
      </w:r>
    </w:p>
    <w:p>
      <w:pPr>
        <w:pStyle w:val="4"/>
        <w:ind w:firstLine="640"/>
      </w:pPr>
      <w:bookmarkStart w:id="110" w:name="_Toc82624396"/>
      <w:bookmarkStart w:id="111" w:name="_Toc82503532"/>
      <w:r>
        <w:rPr>
          <w:rFonts w:hint="eastAsia"/>
        </w:rPr>
        <w:t>第三节 制定</w:t>
      </w:r>
      <w:r>
        <w:t>行动计划</w:t>
      </w:r>
      <w:bookmarkEnd w:id="110"/>
      <w:bookmarkEnd w:id="111"/>
    </w:p>
    <w:p>
      <w:pPr>
        <w:ind w:firstLine="600"/>
      </w:pPr>
      <w:r>
        <w:rPr>
          <w:rFonts w:hint="eastAsia"/>
        </w:rPr>
        <w:t>云阳区“十四五”期间文化</w:t>
      </w:r>
      <w:r>
        <w:t>旅游体育发展</w:t>
      </w:r>
      <w:r>
        <w:rPr>
          <w:rFonts w:hint="eastAsia"/>
        </w:rPr>
        <w:t>，拟建设</w:t>
      </w:r>
      <w:r>
        <w:t>重点项目</w:t>
      </w:r>
      <w:r>
        <w:rPr>
          <w:rFonts w:hint="eastAsia"/>
        </w:rPr>
        <w:t>153个、</w:t>
      </w:r>
      <w:r>
        <w:t>总投资规模</w:t>
      </w:r>
      <w:r>
        <w:rPr>
          <w:rFonts w:hint="eastAsia"/>
        </w:rPr>
        <w:t>19</w:t>
      </w:r>
      <w:r>
        <w:t>0.83</w:t>
      </w:r>
      <w:r>
        <w:rPr>
          <w:rFonts w:hint="eastAsia"/>
        </w:rPr>
        <w:t>亿元，</w:t>
      </w:r>
      <w:r>
        <w:t>其中文化板块</w:t>
      </w:r>
      <w:r>
        <w:rPr>
          <w:rFonts w:hint="eastAsia"/>
        </w:rPr>
        <w:t>19个</w:t>
      </w:r>
      <w:r>
        <w:t>、</w:t>
      </w:r>
      <w:r>
        <w:rPr>
          <w:rFonts w:hint="eastAsia"/>
        </w:rPr>
        <w:t>投资</w:t>
      </w:r>
      <w:r>
        <w:t>2.798</w:t>
      </w:r>
      <w:r>
        <w:rPr>
          <w:rFonts w:hint="eastAsia"/>
        </w:rPr>
        <w:t>亿元，</w:t>
      </w:r>
      <w:r>
        <w:t>旅游板块113</w:t>
      </w:r>
      <w:r>
        <w:rPr>
          <w:rFonts w:hint="eastAsia"/>
        </w:rPr>
        <w:t>个</w:t>
      </w:r>
      <w:r>
        <w:t>、</w:t>
      </w:r>
      <w:r>
        <w:rPr>
          <w:rFonts w:hint="eastAsia"/>
        </w:rPr>
        <w:t>161.492亿元</w:t>
      </w:r>
      <w:r>
        <w:t>，</w:t>
      </w:r>
      <w:r>
        <w:rPr>
          <w:rFonts w:hint="eastAsia"/>
        </w:rPr>
        <w:t>投资</w:t>
      </w:r>
      <w:r>
        <w:t>体育板块</w:t>
      </w:r>
      <w:r>
        <w:rPr>
          <w:rFonts w:hint="eastAsia"/>
        </w:rPr>
        <w:t>21个、2</w:t>
      </w:r>
      <w:r>
        <w:t>6.54</w:t>
      </w:r>
      <w:r>
        <w:rPr>
          <w:rFonts w:hint="eastAsia"/>
        </w:rPr>
        <w:t>亿元（</w:t>
      </w:r>
      <w:r>
        <w:t>详见附</w:t>
      </w:r>
      <w:r>
        <w:rPr>
          <w:rFonts w:hint="eastAsia"/>
        </w:rPr>
        <w:t>表）。</w:t>
      </w:r>
    </w:p>
    <w:p>
      <w:pPr>
        <w:widowControl/>
        <w:ind w:firstLine="600"/>
        <w:jc w:val="left"/>
        <w:rPr>
          <w:rFonts w:ascii="Calibri" w:hAnsi="Calibri" w:eastAsia="黑体" w:cs="Times New Roman"/>
          <w:bCs/>
          <w:color w:val="000000" w:themeColor="text1"/>
          <w:kern w:val="44"/>
          <w:sz w:val="44"/>
          <w:szCs w:val="44"/>
          <w14:textFill>
            <w14:solidFill>
              <w14:schemeClr w14:val="tx1"/>
            </w14:solidFill>
          </w14:textFill>
        </w:rPr>
      </w:pPr>
      <w:r>
        <w:rPr>
          <w:color w:val="000000" w:themeColor="text1"/>
          <w14:textFill>
            <w14:solidFill>
              <w14:schemeClr w14:val="tx1"/>
            </w14:solidFill>
          </w14:textFill>
        </w:rPr>
        <w:br w:type="page"/>
      </w:r>
    </w:p>
    <w:p>
      <w:pPr>
        <w:pStyle w:val="2"/>
        <w:ind w:firstLine="880"/>
        <w:rPr>
          <w:color w:val="000000" w:themeColor="text1"/>
          <w14:textFill>
            <w14:solidFill>
              <w14:schemeClr w14:val="tx1"/>
            </w14:solidFill>
          </w14:textFill>
        </w:rPr>
      </w:pPr>
      <w:bookmarkStart w:id="112" w:name="_Toc82624397"/>
      <w:r>
        <w:rPr>
          <w:rFonts w:hint="eastAsia"/>
          <w:color w:val="000000" w:themeColor="text1"/>
          <w14:textFill>
            <w14:solidFill>
              <w14:schemeClr w14:val="tx1"/>
            </w14:solidFill>
          </w14:textFill>
        </w:rPr>
        <w:t>附图目录</w:t>
      </w:r>
      <w:bookmarkEnd w:id="112"/>
    </w:p>
    <w:p>
      <w:pPr>
        <w:pStyle w:val="38"/>
        <w:spacing w:line="360" w:lineRule="auto"/>
        <w:ind w:firstLine="0" w:firstLineChars="0"/>
        <w:jc w:val="both"/>
        <w:rPr>
          <w:rFonts w:hint="default" w:ascii="方正仿宋_GBK" w:hAnsi="Calibri" w:eastAsia="方正仿宋_GBK"/>
          <w:kern w:val="2"/>
          <w:sz w:val="28"/>
          <w:szCs w:val="28"/>
        </w:rPr>
      </w:pPr>
      <w:r>
        <w:rPr>
          <w:rFonts w:ascii="方正仿宋_GBK" w:hAnsi="Calibri" w:eastAsia="方正仿宋_GBK"/>
          <w:kern w:val="2"/>
          <w:sz w:val="28"/>
          <w:szCs w:val="28"/>
        </w:rPr>
        <w:t>附图1.云阳旅游区位图</w:t>
      </w:r>
    </w:p>
    <w:p>
      <w:pPr>
        <w:pStyle w:val="38"/>
        <w:spacing w:line="360" w:lineRule="auto"/>
        <w:ind w:firstLine="0" w:firstLineChars="0"/>
        <w:jc w:val="both"/>
        <w:rPr>
          <w:rFonts w:hint="default" w:ascii="方正仿宋_GBK" w:hAnsi="Calibri" w:eastAsia="方正仿宋_GBK"/>
          <w:kern w:val="2"/>
          <w:sz w:val="28"/>
          <w:szCs w:val="28"/>
        </w:rPr>
      </w:pPr>
      <w:r>
        <w:rPr>
          <w:rFonts w:ascii="方正仿宋_GBK" w:hAnsi="Calibri" w:eastAsia="方正仿宋_GBK"/>
          <w:kern w:val="2"/>
          <w:sz w:val="28"/>
          <w:szCs w:val="28"/>
        </w:rPr>
        <w:t>附图2.云阳自然旅游资源分布图</w:t>
      </w:r>
    </w:p>
    <w:p>
      <w:pPr>
        <w:autoSpaceDE w:val="0"/>
        <w:autoSpaceDN w:val="0"/>
        <w:adjustRightInd w:val="0"/>
        <w:spacing w:line="360" w:lineRule="auto"/>
        <w:ind w:firstLine="0" w:firstLineChars="0"/>
        <w:rPr>
          <w:rFonts w:ascii="方正仿宋_GBK"/>
          <w:sz w:val="28"/>
          <w:szCs w:val="28"/>
        </w:rPr>
      </w:pPr>
      <w:r>
        <w:rPr>
          <w:rFonts w:ascii="方正仿宋_GBK" w:hAnsi="Calibri"/>
          <w:sz w:val="28"/>
          <w:szCs w:val="28"/>
        </w:rPr>
        <w:t>附图3.</w:t>
      </w:r>
      <w:r>
        <w:rPr>
          <w:rFonts w:hint="eastAsia" w:ascii="方正仿宋_GBK"/>
          <w:sz w:val="28"/>
          <w:szCs w:val="28"/>
        </w:rPr>
        <w:t>云阳人文旅游资源分布图</w:t>
      </w:r>
    </w:p>
    <w:p>
      <w:pPr>
        <w:spacing w:line="360" w:lineRule="auto"/>
        <w:ind w:firstLine="0" w:firstLineChars="0"/>
        <w:rPr>
          <w:rFonts w:ascii="方正仿宋_GBK" w:hAnsi="Calibri"/>
          <w:sz w:val="28"/>
          <w:szCs w:val="28"/>
        </w:rPr>
      </w:pPr>
      <w:r>
        <w:rPr>
          <w:rFonts w:ascii="方正仿宋_GBK" w:hAnsi="Calibri"/>
          <w:sz w:val="28"/>
          <w:szCs w:val="28"/>
        </w:rPr>
        <w:t>附图4.</w:t>
      </w:r>
      <w:r>
        <w:rPr>
          <w:rFonts w:hint="eastAsia" w:ascii="方正仿宋_GBK" w:hAnsi="Calibri"/>
          <w:sz w:val="28"/>
          <w:szCs w:val="28"/>
        </w:rPr>
        <w:t>云阳“十四五”旅游发展空间结构规划图</w:t>
      </w:r>
    </w:p>
    <w:p>
      <w:pPr>
        <w:spacing w:line="360" w:lineRule="auto"/>
        <w:ind w:firstLine="0" w:firstLineChars="0"/>
        <w:rPr>
          <w:rFonts w:ascii="方正仿宋_GBK" w:hAnsi="Calibri"/>
          <w:sz w:val="28"/>
          <w:szCs w:val="28"/>
        </w:rPr>
      </w:pPr>
      <w:r>
        <w:rPr>
          <w:rFonts w:ascii="方正仿宋_GBK" w:hAnsi="Calibri"/>
          <w:sz w:val="28"/>
          <w:szCs w:val="28"/>
        </w:rPr>
        <w:t>附图5.云阳“十四五”旅游集散体系规划图</w:t>
      </w:r>
    </w:p>
    <w:p>
      <w:pPr>
        <w:spacing w:line="360" w:lineRule="auto"/>
        <w:ind w:firstLine="0" w:firstLineChars="0"/>
        <w:rPr>
          <w:rFonts w:ascii="方正仿宋_GBK"/>
          <w:sz w:val="28"/>
          <w:szCs w:val="28"/>
        </w:rPr>
      </w:pPr>
      <w:r>
        <w:rPr>
          <w:rFonts w:ascii="方正仿宋_GBK" w:hAnsi="Calibri"/>
          <w:sz w:val="28"/>
          <w:szCs w:val="28"/>
        </w:rPr>
        <w:t>附图6.</w:t>
      </w:r>
      <w:r>
        <w:rPr>
          <w:rFonts w:hint="eastAsia" w:ascii="方正仿宋_GBK"/>
          <w:sz w:val="28"/>
          <w:szCs w:val="28"/>
        </w:rPr>
        <w:t>云阳“十四五”内外联动旅游线路规划图</w:t>
      </w:r>
    </w:p>
    <w:p>
      <w:pPr>
        <w:spacing w:line="360" w:lineRule="auto"/>
        <w:ind w:firstLine="0" w:firstLineChars="0"/>
        <w:rPr>
          <w:rFonts w:ascii="方正仿宋_GBK"/>
          <w:sz w:val="28"/>
          <w:szCs w:val="28"/>
        </w:rPr>
      </w:pPr>
      <w:r>
        <w:rPr>
          <w:rFonts w:ascii="方正仿宋_GBK" w:hAnsi="Calibri"/>
          <w:sz w:val="28"/>
          <w:szCs w:val="28"/>
        </w:rPr>
        <w:t>附图7.</w:t>
      </w:r>
      <w:r>
        <w:rPr>
          <w:rFonts w:hint="eastAsia" w:ascii="方正仿宋_GBK"/>
          <w:sz w:val="28"/>
          <w:szCs w:val="28"/>
        </w:rPr>
        <w:t>云阳“十四五”文化发展项目布局规划图</w:t>
      </w:r>
    </w:p>
    <w:p>
      <w:pPr>
        <w:spacing w:line="360" w:lineRule="auto"/>
        <w:ind w:firstLine="0" w:firstLineChars="0"/>
        <w:rPr>
          <w:rFonts w:ascii="方正仿宋_GBK"/>
          <w:sz w:val="28"/>
          <w:szCs w:val="28"/>
        </w:rPr>
      </w:pPr>
      <w:r>
        <w:rPr>
          <w:rFonts w:ascii="方正仿宋_GBK" w:hAnsi="Calibri"/>
          <w:sz w:val="28"/>
          <w:szCs w:val="28"/>
        </w:rPr>
        <w:t>附图8.</w:t>
      </w:r>
      <w:r>
        <w:rPr>
          <w:rFonts w:hint="eastAsia" w:ascii="方正仿宋_GBK"/>
          <w:sz w:val="28"/>
          <w:szCs w:val="28"/>
        </w:rPr>
        <w:t>云阳“十四五”旅游发展项目布局规划图</w:t>
      </w:r>
    </w:p>
    <w:p>
      <w:pPr>
        <w:spacing w:line="360" w:lineRule="auto"/>
        <w:ind w:firstLine="0" w:firstLineChars="0"/>
        <w:rPr>
          <w:rFonts w:ascii="方正仿宋_GBK"/>
          <w:sz w:val="28"/>
          <w:szCs w:val="28"/>
        </w:rPr>
      </w:pPr>
      <w:r>
        <w:rPr>
          <w:rFonts w:ascii="方正仿宋_GBK" w:hAnsi="Calibri"/>
          <w:sz w:val="28"/>
          <w:szCs w:val="28"/>
        </w:rPr>
        <w:t>附图9.</w:t>
      </w:r>
      <w:r>
        <w:rPr>
          <w:rFonts w:hint="eastAsia" w:ascii="方正仿宋_GBK"/>
          <w:sz w:val="28"/>
          <w:szCs w:val="28"/>
        </w:rPr>
        <w:t>云阳“十四五”体育发展项目布局规划图</w:t>
      </w: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Segoe UI">
    <w:altName w:val="Noto Naskh Arabic"/>
    <w:panose1 w:val="020B0502040204020203"/>
    <w:charset w:val="00"/>
    <w:family w:val="swiss"/>
    <w:pitch w:val="default"/>
    <w:sig w:usb0="00000000" w:usb1="00000000" w:usb2="00000009" w:usb3="00000000" w:csb0="200001FF" w:csb1="00000000"/>
  </w:font>
  <w:font w:name="Noto Naskh Arabic">
    <w:panose1 w:val="020B0502040504020204"/>
    <w:charset w:val="00"/>
    <w:family w:val="auto"/>
    <w:pitch w:val="default"/>
    <w:sig w:usb0="80002003" w:usb1="80002000" w:usb2="00000008" w:usb3="00000000" w:csb0="00000041" w:csb1="0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3"/>
                            <w:ind w:firstLine="480"/>
                            <w:rPr>
                              <w:rFonts w:asciiTheme="minorEastAsia" w:hAnsiTheme="minorEastAsia" w:eastAsiaTheme="minorEastAsia"/>
                              <w:sz w:val="24"/>
                            </w:rPr>
                          </w:pP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- 2 -</w:t>
                          </w:r>
                          <w:r>
                            <w:rPr>
                              <w:rFonts w:hint="eastAsia" w:asciiTheme="minorEastAsia" w:hAnsiTheme="minorEastAsia" w:eastAsia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inside;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">
              <v:fill on="f" focussize="0,0"/>
              <v:stroke on="f"/>
              <v:imagedata o:title=""/>
              <o:lock v:ext="edit" aspectratio="f"/>
              <v:textbox inset="0mm,0mm,0mm,0mm" style="mso-fit-shape-to-text:t;">
                <w:txbxContent>
                  <w:p>
                    <w:pPr>
                      <w:pStyle w:val="13"/>
                      <w:ind w:firstLine="480"/>
                      <w:rPr>
                        <w:rFonts w:asciiTheme="minorEastAsia" w:hAnsiTheme="minorEastAsia" w:eastAsiaTheme="minorEastAsia"/>
                        <w:sz w:val="24"/>
                      </w:rPr>
                    </w:pP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- 2 -</w:t>
                    </w:r>
                    <w:r>
                      <w:rPr>
                        <w:rFonts w:hint="eastAsia" w:asciiTheme="minorEastAsia" w:hAnsiTheme="minorEastAsia" w:eastAsia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8306"/>
      </w:tabs>
      <w:ind w:firstLine="360"/>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ind w:firstLine="480"/>
                            <w:rPr>
                              <w:rFonts w:asciiTheme="minorEastAsia" w:hAnsiTheme="minorEastAsia" w:eastAsiaTheme="minorEastAsia"/>
                              <w:sz w:val="24"/>
                            </w:rPr>
                          </w:pP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- 19 -</w:t>
                          </w:r>
                          <w:r>
                            <w:rPr>
                              <w:rFonts w:hint="eastAsia" w:asciiTheme="minorEastAsia" w:hAnsiTheme="minorEastAsia" w:eastAsia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inside;mso-position-horizontal-relative:margin;mso-wrap-style:none;z-index:251660288;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">
              <v:fill on="f" focussize="0,0"/>
              <v:stroke on="f"/>
              <v:imagedata o:title=""/>
              <o:lock v:ext="edit" aspectratio="f"/>
              <v:textbox inset="0mm,0mm,0mm,0mm" style="mso-fit-shape-to-text:t;">
                <w:txbxContent>
                  <w:p>
                    <w:pPr>
                      <w:pStyle w:val="13"/>
                      <w:ind w:firstLine="480"/>
                      <w:rPr>
                        <w:rFonts w:asciiTheme="minorEastAsia" w:hAnsiTheme="minorEastAsia" w:eastAsiaTheme="minorEastAsia"/>
                        <w:sz w:val="24"/>
                      </w:rPr>
                    </w:pP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- 19 -</w:t>
                    </w:r>
                    <w:r>
                      <w:rPr>
                        <w:rFonts w:hint="eastAsia" w:asciiTheme="minorEastAsia" w:hAnsiTheme="minorEastAsia" w:eastAsiaTheme="minorEastAsia"/>
                        <w:sz w:val="28"/>
                        <w:szCs w:val="28"/>
                      </w:rPr>
                      <w:fldChar w:fldCharType="end"/>
                    </w:r>
                  </w:p>
                </w:txbxContent>
              </v:textbox>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ODY5ODY1OWNiMDA5MjJhOTU4YjVlZTY0N2MwMTkifQ=="/>
  </w:docVars>
  <w:rsids>
    <w:rsidRoot w:val="006F5D26"/>
    <w:rsid w:val="00007914"/>
    <w:rsid w:val="00012960"/>
    <w:rsid w:val="00013646"/>
    <w:rsid w:val="000159F7"/>
    <w:rsid w:val="00020BF5"/>
    <w:rsid w:val="00026BD8"/>
    <w:rsid w:val="00033072"/>
    <w:rsid w:val="00040D6C"/>
    <w:rsid w:val="000410D1"/>
    <w:rsid w:val="00042662"/>
    <w:rsid w:val="0004355C"/>
    <w:rsid w:val="00043A4B"/>
    <w:rsid w:val="00050309"/>
    <w:rsid w:val="000518B0"/>
    <w:rsid w:val="000604E3"/>
    <w:rsid w:val="00060779"/>
    <w:rsid w:val="00060E3F"/>
    <w:rsid w:val="00061BF1"/>
    <w:rsid w:val="0006581D"/>
    <w:rsid w:val="00065F06"/>
    <w:rsid w:val="0007390D"/>
    <w:rsid w:val="00073E3F"/>
    <w:rsid w:val="00074329"/>
    <w:rsid w:val="00076852"/>
    <w:rsid w:val="00077BA4"/>
    <w:rsid w:val="00080C0E"/>
    <w:rsid w:val="00082331"/>
    <w:rsid w:val="00091997"/>
    <w:rsid w:val="00097C79"/>
    <w:rsid w:val="000A2221"/>
    <w:rsid w:val="000A2B23"/>
    <w:rsid w:val="000C24D6"/>
    <w:rsid w:val="000C297C"/>
    <w:rsid w:val="000C6E47"/>
    <w:rsid w:val="000C782F"/>
    <w:rsid w:val="000C7BB6"/>
    <w:rsid w:val="000D11DF"/>
    <w:rsid w:val="000D1DC6"/>
    <w:rsid w:val="000D6C73"/>
    <w:rsid w:val="000D7ED8"/>
    <w:rsid w:val="000E00CF"/>
    <w:rsid w:val="000E0DA0"/>
    <w:rsid w:val="000E4B3A"/>
    <w:rsid w:val="000F30BC"/>
    <w:rsid w:val="000F3946"/>
    <w:rsid w:val="000F5A8A"/>
    <w:rsid w:val="000F7AF9"/>
    <w:rsid w:val="000F7C50"/>
    <w:rsid w:val="00100CA6"/>
    <w:rsid w:val="00103EEC"/>
    <w:rsid w:val="0011217C"/>
    <w:rsid w:val="00112AA7"/>
    <w:rsid w:val="001155CE"/>
    <w:rsid w:val="00120D21"/>
    <w:rsid w:val="00124B8A"/>
    <w:rsid w:val="001256EF"/>
    <w:rsid w:val="00136D67"/>
    <w:rsid w:val="0014671C"/>
    <w:rsid w:val="001474F4"/>
    <w:rsid w:val="00153B78"/>
    <w:rsid w:val="00155C3C"/>
    <w:rsid w:val="001567C5"/>
    <w:rsid w:val="00156B47"/>
    <w:rsid w:val="001606F0"/>
    <w:rsid w:val="0016198C"/>
    <w:rsid w:val="001631F2"/>
    <w:rsid w:val="001700D4"/>
    <w:rsid w:val="00174D8D"/>
    <w:rsid w:val="00175E6D"/>
    <w:rsid w:val="0017690B"/>
    <w:rsid w:val="00194E7B"/>
    <w:rsid w:val="00195241"/>
    <w:rsid w:val="001A2E9C"/>
    <w:rsid w:val="001A4383"/>
    <w:rsid w:val="001A5A46"/>
    <w:rsid w:val="001A6517"/>
    <w:rsid w:val="001B03C3"/>
    <w:rsid w:val="001B6F11"/>
    <w:rsid w:val="001C3B67"/>
    <w:rsid w:val="001D03D2"/>
    <w:rsid w:val="001E1553"/>
    <w:rsid w:val="001E49D7"/>
    <w:rsid w:val="001E514B"/>
    <w:rsid w:val="001E60E6"/>
    <w:rsid w:val="001E7FBC"/>
    <w:rsid w:val="001F06DD"/>
    <w:rsid w:val="001F5C2C"/>
    <w:rsid w:val="001F7B70"/>
    <w:rsid w:val="00202F3F"/>
    <w:rsid w:val="002078CD"/>
    <w:rsid w:val="0021159A"/>
    <w:rsid w:val="00214FCE"/>
    <w:rsid w:val="002162B7"/>
    <w:rsid w:val="00216F6A"/>
    <w:rsid w:val="00220030"/>
    <w:rsid w:val="002205B9"/>
    <w:rsid w:val="00225290"/>
    <w:rsid w:val="00232A4B"/>
    <w:rsid w:val="0023418D"/>
    <w:rsid w:val="00236188"/>
    <w:rsid w:val="00243B75"/>
    <w:rsid w:val="00243BBA"/>
    <w:rsid w:val="00243F15"/>
    <w:rsid w:val="00250ED3"/>
    <w:rsid w:val="00253F83"/>
    <w:rsid w:val="002554B4"/>
    <w:rsid w:val="00255760"/>
    <w:rsid w:val="00255AAA"/>
    <w:rsid w:val="00270591"/>
    <w:rsid w:val="00276A91"/>
    <w:rsid w:val="0028220C"/>
    <w:rsid w:val="00282FB0"/>
    <w:rsid w:val="0028451A"/>
    <w:rsid w:val="002913C6"/>
    <w:rsid w:val="002914CC"/>
    <w:rsid w:val="002920A0"/>
    <w:rsid w:val="002957EC"/>
    <w:rsid w:val="002A0EBB"/>
    <w:rsid w:val="002A2CD7"/>
    <w:rsid w:val="002A3BF5"/>
    <w:rsid w:val="002A3DC5"/>
    <w:rsid w:val="002A63FB"/>
    <w:rsid w:val="002B19B9"/>
    <w:rsid w:val="002B2EA6"/>
    <w:rsid w:val="002C1461"/>
    <w:rsid w:val="002C509E"/>
    <w:rsid w:val="002D0152"/>
    <w:rsid w:val="002D23E7"/>
    <w:rsid w:val="002D2451"/>
    <w:rsid w:val="002D55EC"/>
    <w:rsid w:val="002D63B8"/>
    <w:rsid w:val="002D6CB3"/>
    <w:rsid w:val="002D78E5"/>
    <w:rsid w:val="002E046F"/>
    <w:rsid w:val="002E2C73"/>
    <w:rsid w:val="002E3EDF"/>
    <w:rsid w:val="002E6DE6"/>
    <w:rsid w:val="00301B91"/>
    <w:rsid w:val="00306E45"/>
    <w:rsid w:val="0032174F"/>
    <w:rsid w:val="00323C11"/>
    <w:rsid w:val="003255E5"/>
    <w:rsid w:val="00326FE1"/>
    <w:rsid w:val="003301FA"/>
    <w:rsid w:val="0034697A"/>
    <w:rsid w:val="00347C89"/>
    <w:rsid w:val="0035096D"/>
    <w:rsid w:val="00354D00"/>
    <w:rsid w:val="00360491"/>
    <w:rsid w:val="003638DC"/>
    <w:rsid w:val="003725AB"/>
    <w:rsid w:val="00375600"/>
    <w:rsid w:val="00376146"/>
    <w:rsid w:val="00381D1F"/>
    <w:rsid w:val="00382EB2"/>
    <w:rsid w:val="003851B0"/>
    <w:rsid w:val="00386FB1"/>
    <w:rsid w:val="00390AFC"/>
    <w:rsid w:val="0039163F"/>
    <w:rsid w:val="003925FC"/>
    <w:rsid w:val="0039394C"/>
    <w:rsid w:val="003956B8"/>
    <w:rsid w:val="003973B9"/>
    <w:rsid w:val="003A2DFB"/>
    <w:rsid w:val="003A6ECA"/>
    <w:rsid w:val="003A753F"/>
    <w:rsid w:val="003B1A20"/>
    <w:rsid w:val="003B3F7C"/>
    <w:rsid w:val="003B42A1"/>
    <w:rsid w:val="003B490C"/>
    <w:rsid w:val="003B5746"/>
    <w:rsid w:val="003B772C"/>
    <w:rsid w:val="003C2F11"/>
    <w:rsid w:val="003C612D"/>
    <w:rsid w:val="003D3215"/>
    <w:rsid w:val="003D4AA4"/>
    <w:rsid w:val="003E5655"/>
    <w:rsid w:val="003F5A02"/>
    <w:rsid w:val="003F63FC"/>
    <w:rsid w:val="004006A1"/>
    <w:rsid w:val="004011F6"/>
    <w:rsid w:val="00403197"/>
    <w:rsid w:val="00404867"/>
    <w:rsid w:val="004059F0"/>
    <w:rsid w:val="004114D1"/>
    <w:rsid w:val="004164E0"/>
    <w:rsid w:val="00416F48"/>
    <w:rsid w:val="00422CD9"/>
    <w:rsid w:val="0042554D"/>
    <w:rsid w:val="00427C55"/>
    <w:rsid w:val="004304FE"/>
    <w:rsid w:val="004332B9"/>
    <w:rsid w:val="004365B3"/>
    <w:rsid w:val="00452BAA"/>
    <w:rsid w:val="00462E08"/>
    <w:rsid w:val="004672A9"/>
    <w:rsid w:val="004738CE"/>
    <w:rsid w:val="00474B50"/>
    <w:rsid w:val="004826AE"/>
    <w:rsid w:val="00483860"/>
    <w:rsid w:val="00487908"/>
    <w:rsid w:val="00490A74"/>
    <w:rsid w:val="00494EC3"/>
    <w:rsid w:val="004A1E31"/>
    <w:rsid w:val="004A303C"/>
    <w:rsid w:val="004A4046"/>
    <w:rsid w:val="004A4FE0"/>
    <w:rsid w:val="004A63FE"/>
    <w:rsid w:val="004B1849"/>
    <w:rsid w:val="004B31BA"/>
    <w:rsid w:val="004C18A3"/>
    <w:rsid w:val="004C1D33"/>
    <w:rsid w:val="004C5797"/>
    <w:rsid w:val="004D0C2F"/>
    <w:rsid w:val="004D21A0"/>
    <w:rsid w:val="004D25D9"/>
    <w:rsid w:val="004D4BFC"/>
    <w:rsid w:val="004D6814"/>
    <w:rsid w:val="004D685C"/>
    <w:rsid w:val="004E0D63"/>
    <w:rsid w:val="004F085C"/>
    <w:rsid w:val="004F55AD"/>
    <w:rsid w:val="004F7426"/>
    <w:rsid w:val="005033B9"/>
    <w:rsid w:val="00506443"/>
    <w:rsid w:val="00506E82"/>
    <w:rsid w:val="00507B40"/>
    <w:rsid w:val="00510534"/>
    <w:rsid w:val="00513C49"/>
    <w:rsid w:val="00514894"/>
    <w:rsid w:val="00523726"/>
    <w:rsid w:val="00526C94"/>
    <w:rsid w:val="00531545"/>
    <w:rsid w:val="0054280A"/>
    <w:rsid w:val="00543BFE"/>
    <w:rsid w:val="00545FE6"/>
    <w:rsid w:val="005521DE"/>
    <w:rsid w:val="00554399"/>
    <w:rsid w:val="00555698"/>
    <w:rsid w:val="00556336"/>
    <w:rsid w:val="00557300"/>
    <w:rsid w:val="00557597"/>
    <w:rsid w:val="00564630"/>
    <w:rsid w:val="005670B5"/>
    <w:rsid w:val="00570443"/>
    <w:rsid w:val="0057074F"/>
    <w:rsid w:val="0057494A"/>
    <w:rsid w:val="00574CB4"/>
    <w:rsid w:val="005818E1"/>
    <w:rsid w:val="00586EF1"/>
    <w:rsid w:val="005919FE"/>
    <w:rsid w:val="005922DE"/>
    <w:rsid w:val="005926D8"/>
    <w:rsid w:val="005A1441"/>
    <w:rsid w:val="005A36FF"/>
    <w:rsid w:val="005A6E2E"/>
    <w:rsid w:val="005A7576"/>
    <w:rsid w:val="005C054E"/>
    <w:rsid w:val="005C3AFC"/>
    <w:rsid w:val="005C708C"/>
    <w:rsid w:val="005D5EC0"/>
    <w:rsid w:val="005F1B41"/>
    <w:rsid w:val="005F273F"/>
    <w:rsid w:val="005F2A4B"/>
    <w:rsid w:val="005F7C9B"/>
    <w:rsid w:val="00603788"/>
    <w:rsid w:val="0060657D"/>
    <w:rsid w:val="00612DBB"/>
    <w:rsid w:val="00623DC1"/>
    <w:rsid w:val="00625CEC"/>
    <w:rsid w:val="00626334"/>
    <w:rsid w:val="00626877"/>
    <w:rsid w:val="00632C01"/>
    <w:rsid w:val="0063390F"/>
    <w:rsid w:val="006361E8"/>
    <w:rsid w:val="0063798C"/>
    <w:rsid w:val="00643DC7"/>
    <w:rsid w:val="00643F3E"/>
    <w:rsid w:val="00655BFB"/>
    <w:rsid w:val="00661AB1"/>
    <w:rsid w:val="00664A60"/>
    <w:rsid w:val="0067162B"/>
    <w:rsid w:val="00673BF8"/>
    <w:rsid w:val="00683ECD"/>
    <w:rsid w:val="00684D54"/>
    <w:rsid w:val="006853BF"/>
    <w:rsid w:val="00690D1A"/>
    <w:rsid w:val="00691452"/>
    <w:rsid w:val="00695866"/>
    <w:rsid w:val="00695E92"/>
    <w:rsid w:val="00696D96"/>
    <w:rsid w:val="00697E85"/>
    <w:rsid w:val="006B1084"/>
    <w:rsid w:val="006B1D0B"/>
    <w:rsid w:val="006B2777"/>
    <w:rsid w:val="006C1B1C"/>
    <w:rsid w:val="006C36E1"/>
    <w:rsid w:val="006C5532"/>
    <w:rsid w:val="006C5622"/>
    <w:rsid w:val="006C572E"/>
    <w:rsid w:val="006D1430"/>
    <w:rsid w:val="006D7E9C"/>
    <w:rsid w:val="006E49C2"/>
    <w:rsid w:val="006E7446"/>
    <w:rsid w:val="006F5D26"/>
    <w:rsid w:val="006F5EE7"/>
    <w:rsid w:val="007013F1"/>
    <w:rsid w:val="00704974"/>
    <w:rsid w:val="00711CCC"/>
    <w:rsid w:val="00712D84"/>
    <w:rsid w:val="0071624D"/>
    <w:rsid w:val="00716BFD"/>
    <w:rsid w:val="00717434"/>
    <w:rsid w:val="007218D4"/>
    <w:rsid w:val="007225A4"/>
    <w:rsid w:val="00734203"/>
    <w:rsid w:val="00736E04"/>
    <w:rsid w:val="007433E1"/>
    <w:rsid w:val="00747F41"/>
    <w:rsid w:val="00773E15"/>
    <w:rsid w:val="0077707F"/>
    <w:rsid w:val="00782034"/>
    <w:rsid w:val="00786762"/>
    <w:rsid w:val="00797C1F"/>
    <w:rsid w:val="007A2C6E"/>
    <w:rsid w:val="007A460E"/>
    <w:rsid w:val="007B0AE7"/>
    <w:rsid w:val="007B17D2"/>
    <w:rsid w:val="007B2E2B"/>
    <w:rsid w:val="007B56A4"/>
    <w:rsid w:val="007C2481"/>
    <w:rsid w:val="007C2D3C"/>
    <w:rsid w:val="007D2C12"/>
    <w:rsid w:val="007D48DB"/>
    <w:rsid w:val="007F1ED9"/>
    <w:rsid w:val="007F5B85"/>
    <w:rsid w:val="008028FF"/>
    <w:rsid w:val="00812581"/>
    <w:rsid w:val="00812A41"/>
    <w:rsid w:val="00814AFF"/>
    <w:rsid w:val="00816283"/>
    <w:rsid w:val="00816A5B"/>
    <w:rsid w:val="00821FD7"/>
    <w:rsid w:val="008346D7"/>
    <w:rsid w:val="008365F1"/>
    <w:rsid w:val="00847382"/>
    <w:rsid w:val="00850AA7"/>
    <w:rsid w:val="00851AF5"/>
    <w:rsid w:val="00853EB7"/>
    <w:rsid w:val="0086128F"/>
    <w:rsid w:val="00864371"/>
    <w:rsid w:val="00864378"/>
    <w:rsid w:val="00864DFE"/>
    <w:rsid w:val="008747CC"/>
    <w:rsid w:val="008804DA"/>
    <w:rsid w:val="00880C45"/>
    <w:rsid w:val="008813F4"/>
    <w:rsid w:val="00891B7E"/>
    <w:rsid w:val="008969D1"/>
    <w:rsid w:val="008A260B"/>
    <w:rsid w:val="008A5411"/>
    <w:rsid w:val="008B4D1D"/>
    <w:rsid w:val="008B5E8D"/>
    <w:rsid w:val="008C325E"/>
    <w:rsid w:val="008D3EB5"/>
    <w:rsid w:val="008D7B01"/>
    <w:rsid w:val="008F0CAF"/>
    <w:rsid w:val="008F19D9"/>
    <w:rsid w:val="008F3231"/>
    <w:rsid w:val="008F59FC"/>
    <w:rsid w:val="008F5F3E"/>
    <w:rsid w:val="008F7F72"/>
    <w:rsid w:val="0090095A"/>
    <w:rsid w:val="00906F2C"/>
    <w:rsid w:val="00923159"/>
    <w:rsid w:val="00925191"/>
    <w:rsid w:val="00931C0B"/>
    <w:rsid w:val="0093740C"/>
    <w:rsid w:val="00943FA4"/>
    <w:rsid w:val="00944202"/>
    <w:rsid w:val="00944B3C"/>
    <w:rsid w:val="00953085"/>
    <w:rsid w:val="0095428D"/>
    <w:rsid w:val="00954FCA"/>
    <w:rsid w:val="00957356"/>
    <w:rsid w:val="0096186C"/>
    <w:rsid w:val="009633C7"/>
    <w:rsid w:val="00972B01"/>
    <w:rsid w:val="00980C0A"/>
    <w:rsid w:val="00980C78"/>
    <w:rsid w:val="0098763B"/>
    <w:rsid w:val="00987ACF"/>
    <w:rsid w:val="0099100A"/>
    <w:rsid w:val="0099283A"/>
    <w:rsid w:val="009A300E"/>
    <w:rsid w:val="009A6B2D"/>
    <w:rsid w:val="009B3080"/>
    <w:rsid w:val="009C0E71"/>
    <w:rsid w:val="009C134D"/>
    <w:rsid w:val="009C1A37"/>
    <w:rsid w:val="009E2F3D"/>
    <w:rsid w:val="009F0BE1"/>
    <w:rsid w:val="009F52E5"/>
    <w:rsid w:val="00A00705"/>
    <w:rsid w:val="00A03B03"/>
    <w:rsid w:val="00A04E53"/>
    <w:rsid w:val="00A12C55"/>
    <w:rsid w:val="00A138AA"/>
    <w:rsid w:val="00A14DD8"/>
    <w:rsid w:val="00A2027B"/>
    <w:rsid w:val="00A25F39"/>
    <w:rsid w:val="00A27452"/>
    <w:rsid w:val="00A37D5A"/>
    <w:rsid w:val="00A53726"/>
    <w:rsid w:val="00A5537A"/>
    <w:rsid w:val="00A62897"/>
    <w:rsid w:val="00A738DB"/>
    <w:rsid w:val="00A75B96"/>
    <w:rsid w:val="00A76D3A"/>
    <w:rsid w:val="00A7754B"/>
    <w:rsid w:val="00A7783D"/>
    <w:rsid w:val="00A85A7A"/>
    <w:rsid w:val="00A874B3"/>
    <w:rsid w:val="00A92A21"/>
    <w:rsid w:val="00A9684B"/>
    <w:rsid w:val="00AA270B"/>
    <w:rsid w:val="00AA644D"/>
    <w:rsid w:val="00AB0E32"/>
    <w:rsid w:val="00AB1445"/>
    <w:rsid w:val="00AB78E8"/>
    <w:rsid w:val="00AB7C92"/>
    <w:rsid w:val="00AC24AB"/>
    <w:rsid w:val="00AC323E"/>
    <w:rsid w:val="00AD01D5"/>
    <w:rsid w:val="00AD01ED"/>
    <w:rsid w:val="00AD195E"/>
    <w:rsid w:val="00AE21D3"/>
    <w:rsid w:val="00AE742F"/>
    <w:rsid w:val="00AF2123"/>
    <w:rsid w:val="00AF34CB"/>
    <w:rsid w:val="00AF3BD0"/>
    <w:rsid w:val="00AF70CA"/>
    <w:rsid w:val="00B06594"/>
    <w:rsid w:val="00B06D9E"/>
    <w:rsid w:val="00B13894"/>
    <w:rsid w:val="00B14507"/>
    <w:rsid w:val="00B24C8E"/>
    <w:rsid w:val="00B27636"/>
    <w:rsid w:val="00B3023E"/>
    <w:rsid w:val="00B3463F"/>
    <w:rsid w:val="00B40B22"/>
    <w:rsid w:val="00B41773"/>
    <w:rsid w:val="00B4309E"/>
    <w:rsid w:val="00B43275"/>
    <w:rsid w:val="00B43583"/>
    <w:rsid w:val="00B454AB"/>
    <w:rsid w:val="00B46055"/>
    <w:rsid w:val="00B50C38"/>
    <w:rsid w:val="00B50E5E"/>
    <w:rsid w:val="00B5403F"/>
    <w:rsid w:val="00B571D6"/>
    <w:rsid w:val="00B657A5"/>
    <w:rsid w:val="00B6620B"/>
    <w:rsid w:val="00B70366"/>
    <w:rsid w:val="00B70D46"/>
    <w:rsid w:val="00B80FB0"/>
    <w:rsid w:val="00B823E9"/>
    <w:rsid w:val="00B85C64"/>
    <w:rsid w:val="00B91CD5"/>
    <w:rsid w:val="00BB0F32"/>
    <w:rsid w:val="00BB3A4C"/>
    <w:rsid w:val="00BB7493"/>
    <w:rsid w:val="00BD0F7D"/>
    <w:rsid w:val="00BD5580"/>
    <w:rsid w:val="00BE14D9"/>
    <w:rsid w:val="00BF379C"/>
    <w:rsid w:val="00C038CE"/>
    <w:rsid w:val="00C046D7"/>
    <w:rsid w:val="00C051DC"/>
    <w:rsid w:val="00C10886"/>
    <w:rsid w:val="00C10F50"/>
    <w:rsid w:val="00C14682"/>
    <w:rsid w:val="00C16A7C"/>
    <w:rsid w:val="00C204F2"/>
    <w:rsid w:val="00C229FF"/>
    <w:rsid w:val="00C23CE4"/>
    <w:rsid w:val="00C2704F"/>
    <w:rsid w:val="00C404B1"/>
    <w:rsid w:val="00C502AF"/>
    <w:rsid w:val="00C54DC6"/>
    <w:rsid w:val="00C638D1"/>
    <w:rsid w:val="00C66EC9"/>
    <w:rsid w:val="00C73C3D"/>
    <w:rsid w:val="00C7529B"/>
    <w:rsid w:val="00C761DE"/>
    <w:rsid w:val="00C7652C"/>
    <w:rsid w:val="00C82E58"/>
    <w:rsid w:val="00C8305F"/>
    <w:rsid w:val="00C8593D"/>
    <w:rsid w:val="00C903E6"/>
    <w:rsid w:val="00C90CD2"/>
    <w:rsid w:val="00C946DD"/>
    <w:rsid w:val="00CA2558"/>
    <w:rsid w:val="00CA58A1"/>
    <w:rsid w:val="00CA767D"/>
    <w:rsid w:val="00CA7C2E"/>
    <w:rsid w:val="00CB00DA"/>
    <w:rsid w:val="00CB3BEA"/>
    <w:rsid w:val="00CC3942"/>
    <w:rsid w:val="00CC3D7D"/>
    <w:rsid w:val="00CC3E26"/>
    <w:rsid w:val="00CD0DAE"/>
    <w:rsid w:val="00CD264F"/>
    <w:rsid w:val="00CD277E"/>
    <w:rsid w:val="00CE40FD"/>
    <w:rsid w:val="00CF2659"/>
    <w:rsid w:val="00CF2FB9"/>
    <w:rsid w:val="00D0138C"/>
    <w:rsid w:val="00D034B3"/>
    <w:rsid w:val="00D04D40"/>
    <w:rsid w:val="00D12B2F"/>
    <w:rsid w:val="00D22DF8"/>
    <w:rsid w:val="00D25114"/>
    <w:rsid w:val="00D27B1B"/>
    <w:rsid w:val="00D27BFE"/>
    <w:rsid w:val="00D50CC0"/>
    <w:rsid w:val="00D55CBA"/>
    <w:rsid w:val="00D56F62"/>
    <w:rsid w:val="00D625CE"/>
    <w:rsid w:val="00D62A6A"/>
    <w:rsid w:val="00D64F31"/>
    <w:rsid w:val="00D76F13"/>
    <w:rsid w:val="00D81356"/>
    <w:rsid w:val="00D84A34"/>
    <w:rsid w:val="00D852ED"/>
    <w:rsid w:val="00D97945"/>
    <w:rsid w:val="00DA38C3"/>
    <w:rsid w:val="00DA4072"/>
    <w:rsid w:val="00DA51CF"/>
    <w:rsid w:val="00DA7495"/>
    <w:rsid w:val="00DA781A"/>
    <w:rsid w:val="00DB0431"/>
    <w:rsid w:val="00DB7EEB"/>
    <w:rsid w:val="00DC0163"/>
    <w:rsid w:val="00DC2330"/>
    <w:rsid w:val="00DC53F2"/>
    <w:rsid w:val="00DD0FB1"/>
    <w:rsid w:val="00DD1101"/>
    <w:rsid w:val="00DD1F10"/>
    <w:rsid w:val="00DD20A6"/>
    <w:rsid w:val="00DD26AA"/>
    <w:rsid w:val="00DD6C80"/>
    <w:rsid w:val="00DD7273"/>
    <w:rsid w:val="00DE0A82"/>
    <w:rsid w:val="00DE18B1"/>
    <w:rsid w:val="00DE29E7"/>
    <w:rsid w:val="00E15C51"/>
    <w:rsid w:val="00E26050"/>
    <w:rsid w:val="00E268D3"/>
    <w:rsid w:val="00E26D1C"/>
    <w:rsid w:val="00E274B3"/>
    <w:rsid w:val="00E36E73"/>
    <w:rsid w:val="00E4012A"/>
    <w:rsid w:val="00E4106F"/>
    <w:rsid w:val="00E420DB"/>
    <w:rsid w:val="00E430E8"/>
    <w:rsid w:val="00E45348"/>
    <w:rsid w:val="00E5178B"/>
    <w:rsid w:val="00E611D8"/>
    <w:rsid w:val="00E623E1"/>
    <w:rsid w:val="00E8073B"/>
    <w:rsid w:val="00E83F0B"/>
    <w:rsid w:val="00E92F69"/>
    <w:rsid w:val="00E95DBA"/>
    <w:rsid w:val="00E97F4C"/>
    <w:rsid w:val="00EA3004"/>
    <w:rsid w:val="00EB07FB"/>
    <w:rsid w:val="00EB1B58"/>
    <w:rsid w:val="00EB268C"/>
    <w:rsid w:val="00EB429F"/>
    <w:rsid w:val="00EC5A46"/>
    <w:rsid w:val="00EC5C6F"/>
    <w:rsid w:val="00EC6882"/>
    <w:rsid w:val="00EE12E1"/>
    <w:rsid w:val="00EE23EE"/>
    <w:rsid w:val="00EE5432"/>
    <w:rsid w:val="00EF2CE5"/>
    <w:rsid w:val="00EF78B3"/>
    <w:rsid w:val="00F00871"/>
    <w:rsid w:val="00F01584"/>
    <w:rsid w:val="00F0180A"/>
    <w:rsid w:val="00F02055"/>
    <w:rsid w:val="00F02738"/>
    <w:rsid w:val="00F027F5"/>
    <w:rsid w:val="00F03CAC"/>
    <w:rsid w:val="00F06582"/>
    <w:rsid w:val="00F06FA8"/>
    <w:rsid w:val="00F07DFB"/>
    <w:rsid w:val="00F1252F"/>
    <w:rsid w:val="00F170E6"/>
    <w:rsid w:val="00F22263"/>
    <w:rsid w:val="00F25352"/>
    <w:rsid w:val="00F30685"/>
    <w:rsid w:val="00F370BF"/>
    <w:rsid w:val="00F37C43"/>
    <w:rsid w:val="00F46048"/>
    <w:rsid w:val="00F518F0"/>
    <w:rsid w:val="00F5710C"/>
    <w:rsid w:val="00F638C3"/>
    <w:rsid w:val="00F6600F"/>
    <w:rsid w:val="00F667EF"/>
    <w:rsid w:val="00F67C4C"/>
    <w:rsid w:val="00F72150"/>
    <w:rsid w:val="00F73B95"/>
    <w:rsid w:val="00F75378"/>
    <w:rsid w:val="00F80175"/>
    <w:rsid w:val="00F83DEB"/>
    <w:rsid w:val="00F86787"/>
    <w:rsid w:val="00F90C4C"/>
    <w:rsid w:val="00F9398F"/>
    <w:rsid w:val="00F93D8D"/>
    <w:rsid w:val="00F97761"/>
    <w:rsid w:val="00FA177C"/>
    <w:rsid w:val="00FB24E9"/>
    <w:rsid w:val="00FB4EE6"/>
    <w:rsid w:val="00FB5146"/>
    <w:rsid w:val="00FB6149"/>
    <w:rsid w:val="00FB73C0"/>
    <w:rsid w:val="00FC19C5"/>
    <w:rsid w:val="00FC6092"/>
    <w:rsid w:val="00FE264A"/>
    <w:rsid w:val="00FE2F8E"/>
    <w:rsid w:val="00FE4A00"/>
    <w:rsid w:val="00FE62F2"/>
    <w:rsid w:val="00FF072E"/>
    <w:rsid w:val="00FF22B0"/>
    <w:rsid w:val="00FF72A8"/>
    <w:rsid w:val="03837B79"/>
    <w:rsid w:val="05863D73"/>
    <w:rsid w:val="071959D7"/>
    <w:rsid w:val="07326CF4"/>
    <w:rsid w:val="07960ADC"/>
    <w:rsid w:val="08F30BBB"/>
    <w:rsid w:val="0A3112F9"/>
    <w:rsid w:val="0C1D133D"/>
    <w:rsid w:val="0D7F1CD1"/>
    <w:rsid w:val="0EF8179D"/>
    <w:rsid w:val="10F9586A"/>
    <w:rsid w:val="11BF0740"/>
    <w:rsid w:val="12C66EC4"/>
    <w:rsid w:val="136D224E"/>
    <w:rsid w:val="14BC4F63"/>
    <w:rsid w:val="15CE3D48"/>
    <w:rsid w:val="16745199"/>
    <w:rsid w:val="17830BD6"/>
    <w:rsid w:val="17E43B1B"/>
    <w:rsid w:val="18CF2D75"/>
    <w:rsid w:val="197D1C2E"/>
    <w:rsid w:val="1B850321"/>
    <w:rsid w:val="1CFF7B44"/>
    <w:rsid w:val="1F347DA8"/>
    <w:rsid w:val="1F7066BA"/>
    <w:rsid w:val="1F8D7E78"/>
    <w:rsid w:val="21B10F30"/>
    <w:rsid w:val="22217C24"/>
    <w:rsid w:val="24A27E42"/>
    <w:rsid w:val="24FF548C"/>
    <w:rsid w:val="276E1B20"/>
    <w:rsid w:val="2C06286C"/>
    <w:rsid w:val="2C451267"/>
    <w:rsid w:val="2C77361F"/>
    <w:rsid w:val="2CAB2553"/>
    <w:rsid w:val="2D4D703F"/>
    <w:rsid w:val="2D73208C"/>
    <w:rsid w:val="2F1B1EDE"/>
    <w:rsid w:val="31E479CE"/>
    <w:rsid w:val="3668432F"/>
    <w:rsid w:val="36F54060"/>
    <w:rsid w:val="38191F3B"/>
    <w:rsid w:val="3973089F"/>
    <w:rsid w:val="3A5B5849"/>
    <w:rsid w:val="3B6E43C5"/>
    <w:rsid w:val="3D72261D"/>
    <w:rsid w:val="3E1C241D"/>
    <w:rsid w:val="3EA2656F"/>
    <w:rsid w:val="402E26AB"/>
    <w:rsid w:val="40FA4904"/>
    <w:rsid w:val="429B6B97"/>
    <w:rsid w:val="43BE069F"/>
    <w:rsid w:val="43DA129A"/>
    <w:rsid w:val="4CFB6191"/>
    <w:rsid w:val="4D6869BA"/>
    <w:rsid w:val="4EB2428D"/>
    <w:rsid w:val="4FB97626"/>
    <w:rsid w:val="50D95BA8"/>
    <w:rsid w:val="539A1C37"/>
    <w:rsid w:val="547D61CD"/>
    <w:rsid w:val="559A6084"/>
    <w:rsid w:val="55C501E7"/>
    <w:rsid w:val="57060EDD"/>
    <w:rsid w:val="58CC2817"/>
    <w:rsid w:val="59B74BCA"/>
    <w:rsid w:val="59DB5694"/>
    <w:rsid w:val="5A822E95"/>
    <w:rsid w:val="5A9558A3"/>
    <w:rsid w:val="5AB01498"/>
    <w:rsid w:val="5BA226E8"/>
    <w:rsid w:val="5CBB4EB1"/>
    <w:rsid w:val="5D52448B"/>
    <w:rsid w:val="5E2D0DA4"/>
    <w:rsid w:val="5F7E4A79"/>
    <w:rsid w:val="60B4730B"/>
    <w:rsid w:val="60ED6726"/>
    <w:rsid w:val="696D6444"/>
    <w:rsid w:val="6A2545AF"/>
    <w:rsid w:val="6B286CDC"/>
    <w:rsid w:val="6C4C4675"/>
    <w:rsid w:val="6C7B45CC"/>
    <w:rsid w:val="6CA37EA8"/>
    <w:rsid w:val="6E6F03DA"/>
    <w:rsid w:val="6F324A28"/>
    <w:rsid w:val="71395DF4"/>
    <w:rsid w:val="72044711"/>
    <w:rsid w:val="728E0FEF"/>
    <w:rsid w:val="73C16CED"/>
    <w:rsid w:val="74311498"/>
    <w:rsid w:val="74B83826"/>
    <w:rsid w:val="74EF3C8A"/>
    <w:rsid w:val="769F32A4"/>
    <w:rsid w:val="770B4F0A"/>
    <w:rsid w:val="77C94C97"/>
    <w:rsid w:val="78B24B42"/>
    <w:rsid w:val="7F7C4316"/>
    <w:rsid w:val="7F8135FD"/>
    <w:rsid w:val="F1C9E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方正仿宋_GBK" w:cstheme="minorBidi"/>
      <w:kern w:val="2"/>
      <w:sz w:val="30"/>
      <w:szCs w:val="22"/>
      <w:lang w:val="en-US" w:eastAsia="zh-CN" w:bidi="ar-SA"/>
    </w:rPr>
  </w:style>
  <w:style w:type="paragraph" w:styleId="2">
    <w:name w:val="heading 1"/>
    <w:basedOn w:val="1"/>
    <w:next w:val="1"/>
    <w:link w:val="30"/>
    <w:qFormat/>
    <w:uiPriority w:val="0"/>
    <w:pPr>
      <w:keepNext/>
      <w:keepLines/>
      <w:spacing w:before="340" w:after="330"/>
      <w:jc w:val="center"/>
      <w:outlineLvl w:val="0"/>
    </w:pPr>
    <w:rPr>
      <w:rFonts w:ascii="Calibri" w:hAnsi="Calibri" w:eastAsia="黑体" w:cs="Times New Roman"/>
      <w:bCs/>
      <w:kern w:val="44"/>
      <w:sz w:val="44"/>
      <w:szCs w:val="44"/>
    </w:rPr>
  </w:style>
  <w:style w:type="paragraph" w:styleId="3">
    <w:name w:val="heading 2"/>
    <w:basedOn w:val="1"/>
    <w:next w:val="1"/>
    <w:link w:val="31"/>
    <w:qFormat/>
    <w:uiPriority w:val="0"/>
    <w:pPr>
      <w:keepNext/>
      <w:keepLines/>
      <w:spacing w:before="260" w:after="260" w:line="416" w:lineRule="auto"/>
      <w:jc w:val="center"/>
      <w:outlineLvl w:val="1"/>
    </w:pPr>
    <w:rPr>
      <w:rFonts w:ascii="Calibri Light" w:hAnsi="Calibri Light" w:eastAsia="黑体" w:cs="Times New Roman"/>
      <w:bCs/>
      <w:sz w:val="36"/>
      <w:szCs w:val="32"/>
    </w:rPr>
  </w:style>
  <w:style w:type="paragraph" w:styleId="4">
    <w:name w:val="heading 3"/>
    <w:basedOn w:val="1"/>
    <w:next w:val="1"/>
    <w:link w:val="43"/>
    <w:qFormat/>
    <w:uiPriority w:val="9"/>
    <w:pPr>
      <w:keepNext/>
      <w:keepLines/>
      <w:spacing w:line="413" w:lineRule="auto"/>
      <w:outlineLvl w:val="2"/>
    </w:pPr>
    <w:rPr>
      <w:rFonts w:ascii="Calibri" w:hAnsi="Calibri" w:eastAsia="方正黑体_GBK" w:cs="Times New Roman"/>
      <w:sz w:val="32"/>
      <w:szCs w:val="24"/>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eastAsia="宋体" w:cs="Times New Roman"/>
    </w:rPr>
  </w:style>
  <w:style w:type="paragraph" w:styleId="6">
    <w:name w:val="Normal Indent"/>
    <w:basedOn w:val="1"/>
    <w:next w:val="1"/>
    <w:qFormat/>
    <w:uiPriority w:val="0"/>
    <w:rPr>
      <w:rFonts w:ascii="Calibri" w:hAnsi="Calibri" w:eastAsia="宋体" w:cs="Times New Roman"/>
      <w:szCs w:val="24"/>
    </w:rPr>
  </w:style>
  <w:style w:type="paragraph" w:styleId="7">
    <w:name w:val="Body Text"/>
    <w:basedOn w:val="1"/>
    <w:link w:val="35"/>
    <w:unhideWhenUsed/>
    <w:qFormat/>
    <w:uiPriority w:val="99"/>
    <w:rPr>
      <w:rFonts w:cs="Times New Roman"/>
      <w:szCs w:val="24"/>
    </w:rPr>
  </w:style>
  <w:style w:type="paragraph" w:styleId="8">
    <w:name w:val="toc 5"/>
    <w:basedOn w:val="1"/>
    <w:next w:val="1"/>
    <w:unhideWhenUsed/>
    <w:qFormat/>
    <w:uiPriority w:val="39"/>
    <w:pPr>
      <w:ind w:left="1680" w:leftChars="800"/>
    </w:pPr>
    <w:rPr>
      <w:rFonts w:ascii="Calibri" w:hAnsi="Calibri" w:eastAsia="宋体" w:cs="Times New Roman"/>
    </w:rPr>
  </w:style>
  <w:style w:type="paragraph" w:styleId="9">
    <w:name w:val="toc 3"/>
    <w:basedOn w:val="1"/>
    <w:next w:val="1"/>
    <w:qFormat/>
    <w:uiPriority w:val="39"/>
    <w:pPr>
      <w:ind w:left="840" w:leftChars="400"/>
    </w:pPr>
    <w:rPr>
      <w:rFonts w:cs="Times New Roman"/>
      <w:szCs w:val="24"/>
    </w:rPr>
  </w:style>
  <w:style w:type="paragraph" w:styleId="10">
    <w:name w:val="toc 8"/>
    <w:basedOn w:val="1"/>
    <w:next w:val="1"/>
    <w:unhideWhenUsed/>
    <w:qFormat/>
    <w:uiPriority w:val="39"/>
    <w:pPr>
      <w:ind w:left="2940" w:leftChars="1400"/>
    </w:pPr>
    <w:rPr>
      <w:rFonts w:ascii="Calibri" w:hAnsi="Calibri" w:eastAsia="宋体" w:cs="Times New Roman"/>
    </w:rPr>
  </w:style>
  <w:style w:type="paragraph" w:styleId="11">
    <w:name w:val="Date"/>
    <w:basedOn w:val="1"/>
    <w:next w:val="1"/>
    <w:link w:val="29"/>
    <w:semiHidden/>
    <w:unhideWhenUsed/>
    <w:qFormat/>
    <w:uiPriority w:val="99"/>
    <w:pPr>
      <w:ind w:left="100" w:leftChars="2500"/>
    </w:pPr>
  </w:style>
  <w:style w:type="paragraph" w:styleId="12">
    <w:name w:val="Balloon Text"/>
    <w:basedOn w:val="1"/>
    <w:link w:val="33"/>
    <w:qFormat/>
    <w:uiPriority w:val="0"/>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296"/>
      </w:tabs>
    </w:pPr>
    <w:rPr>
      <w:rFonts w:ascii="黑体" w:hAnsi="黑体" w:eastAsia="黑体" w:cs="Times New Roman"/>
      <w:b/>
      <w:sz w:val="24"/>
      <w:szCs w:val="24"/>
    </w:rPr>
  </w:style>
  <w:style w:type="paragraph" w:styleId="16">
    <w:name w:val="toc 4"/>
    <w:basedOn w:val="1"/>
    <w:next w:val="1"/>
    <w:unhideWhenUsed/>
    <w:qFormat/>
    <w:uiPriority w:val="39"/>
    <w:pPr>
      <w:ind w:left="1260" w:leftChars="600"/>
    </w:pPr>
    <w:rPr>
      <w:rFonts w:ascii="Calibri" w:hAnsi="Calibri" w:eastAsia="宋体" w:cs="Times New Roman"/>
    </w:rPr>
  </w:style>
  <w:style w:type="paragraph" w:styleId="17">
    <w:name w:val="toc 6"/>
    <w:basedOn w:val="1"/>
    <w:next w:val="1"/>
    <w:unhideWhenUsed/>
    <w:qFormat/>
    <w:uiPriority w:val="39"/>
    <w:pPr>
      <w:ind w:left="2100" w:leftChars="1000"/>
    </w:pPr>
    <w:rPr>
      <w:rFonts w:ascii="Calibri" w:hAnsi="Calibri" w:eastAsia="宋体" w:cs="Times New Roman"/>
    </w:rPr>
  </w:style>
  <w:style w:type="paragraph" w:styleId="18">
    <w:name w:val="toc 2"/>
    <w:basedOn w:val="1"/>
    <w:next w:val="1"/>
    <w:qFormat/>
    <w:uiPriority w:val="39"/>
    <w:pPr>
      <w:ind w:left="420" w:leftChars="200"/>
    </w:pPr>
    <w:rPr>
      <w:rFonts w:cs="Times New Roman"/>
      <w:szCs w:val="24"/>
    </w:rPr>
  </w:style>
  <w:style w:type="paragraph" w:styleId="19">
    <w:name w:val="toc 9"/>
    <w:basedOn w:val="1"/>
    <w:next w:val="1"/>
    <w:unhideWhenUsed/>
    <w:qFormat/>
    <w:uiPriority w:val="39"/>
    <w:pPr>
      <w:ind w:left="3360" w:leftChars="1600"/>
    </w:pPr>
    <w:rPr>
      <w:rFonts w:ascii="Calibri" w:hAnsi="Calibri" w:eastAsia="宋体" w:cs="Times New Roman"/>
    </w:rPr>
  </w:style>
  <w:style w:type="paragraph" w:styleId="20">
    <w:name w:val="Normal (Web)"/>
    <w:basedOn w:val="1"/>
    <w:qFormat/>
    <w:uiPriority w:val="99"/>
    <w:rPr>
      <w:rFonts w:ascii="Calibri" w:hAnsi="Calibri" w:eastAsia="仿宋" w:cs="Times New Roman"/>
      <w:sz w:val="24"/>
      <w:szCs w:val="24"/>
    </w:rPr>
  </w:style>
  <w:style w:type="table" w:styleId="22">
    <w:name w:val="Table Grid"/>
    <w:basedOn w:val="2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rFonts w:eastAsia="仿宋"/>
      <w:b/>
      <w:bCs/>
      <w:sz w:val="28"/>
    </w:rPr>
  </w:style>
  <w:style w:type="character" w:styleId="25">
    <w:name w:val="Hyperlink"/>
    <w:unhideWhenUsed/>
    <w:qFormat/>
    <w:uiPriority w:val="99"/>
    <w:rPr>
      <w:color w:val="0563C1"/>
      <w:u w:val="single"/>
    </w:rPr>
  </w:style>
  <w:style w:type="character" w:styleId="26">
    <w:name w:val="footnote reference"/>
    <w:basedOn w:val="23"/>
    <w:semiHidden/>
    <w:unhideWhenUsed/>
    <w:qFormat/>
    <w:uiPriority w:val="99"/>
    <w:rPr>
      <w:vertAlign w:val="superscript"/>
    </w:rPr>
  </w:style>
  <w:style w:type="character" w:customStyle="1" w:styleId="27">
    <w:name w:val="页眉 Char"/>
    <w:basedOn w:val="23"/>
    <w:link w:val="14"/>
    <w:qFormat/>
    <w:uiPriority w:val="99"/>
    <w:rPr>
      <w:sz w:val="18"/>
      <w:szCs w:val="18"/>
    </w:rPr>
  </w:style>
  <w:style w:type="character" w:customStyle="1" w:styleId="28">
    <w:name w:val="页脚 Char"/>
    <w:basedOn w:val="23"/>
    <w:link w:val="13"/>
    <w:qFormat/>
    <w:uiPriority w:val="99"/>
    <w:rPr>
      <w:sz w:val="18"/>
      <w:szCs w:val="18"/>
    </w:rPr>
  </w:style>
  <w:style w:type="character" w:customStyle="1" w:styleId="29">
    <w:name w:val="日期 Char"/>
    <w:basedOn w:val="23"/>
    <w:link w:val="11"/>
    <w:semiHidden/>
    <w:qFormat/>
    <w:uiPriority w:val="99"/>
  </w:style>
  <w:style w:type="character" w:customStyle="1" w:styleId="30">
    <w:name w:val="标题 1 Char"/>
    <w:basedOn w:val="23"/>
    <w:link w:val="2"/>
    <w:qFormat/>
    <w:uiPriority w:val="0"/>
    <w:rPr>
      <w:rFonts w:ascii="Calibri" w:hAnsi="Calibri" w:eastAsia="黑体"/>
      <w:bCs/>
      <w:kern w:val="44"/>
      <w:sz w:val="44"/>
      <w:szCs w:val="44"/>
    </w:rPr>
  </w:style>
  <w:style w:type="character" w:customStyle="1" w:styleId="31">
    <w:name w:val="标题 2 Char"/>
    <w:basedOn w:val="23"/>
    <w:link w:val="3"/>
    <w:qFormat/>
    <w:uiPriority w:val="0"/>
    <w:rPr>
      <w:rFonts w:ascii="Calibri Light" w:hAnsi="Calibri Light" w:eastAsia="黑体"/>
      <w:bCs/>
      <w:kern w:val="2"/>
      <w:sz w:val="36"/>
      <w:szCs w:val="32"/>
    </w:rPr>
  </w:style>
  <w:style w:type="character" w:customStyle="1" w:styleId="32">
    <w:name w:val="标题 3 Char"/>
    <w:basedOn w:val="23"/>
    <w:semiHidden/>
    <w:qFormat/>
    <w:uiPriority w:val="9"/>
    <w:rPr>
      <w:b/>
      <w:bCs/>
      <w:sz w:val="32"/>
      <w:szCs w:val="32"/>
    </w:rPr>
  </w:style>
  <w:style w:type="character" w:customStyle="1" w:styleId="33">
    <w:name w:val="批注框文本 Char"/>
    <w:link w:val="12"/>
    <w:qFormat/>
    <w:uiPriority w:val="0"/>
    <w:rPr>
      <w:rFonts w:eastAsia="方正仿宋_GBK"/>
      <w:sz w:val="18"/>
      <w:szCs w:val="18"/>
    </w:rPr>
  </w:style>
  <w:style w:type="character" w:customStyle="1" w:styleId="34">
    <w:name w:val="bjh-p"/>
    <w:qFormat/>
    <w:uiPriority w:val="0"/>
  </w:style>
  <w:style w:type="character" w:customStyle="1" w:styleId="35">
    <w:name w:val="正文文本 Char"/>
    <w:basedOn w:val="23"/>
    <w:link w:val="7"/>
    <w:qFormat/>
    <w:uiPriority w:val="99"/>
    <w:rPr>
      <w:rFonts w:ascii="Times New Roman" w:hAnsi="Times New Roman" w:eastAsia="方正仿宋_GBK" w:cs="Times New Roman"/>
      <w:sz w:val="28"/>
      <w:szCs w:val="24"/>
    </w:rPr>
  </w:style>
  <w:style w:type="character" w:customStyle="1" w:styleId="36">
    <w:name w:val="批注框文本 Char1"/>
    <w:basedOn w:val="23"/>
    <w:semiHidden/>
    <w:qFormat/>
    <w:uiPriority w:val="99"/>
    <w:rPr>
      <w:sz w:val="18"/>
      <w:szCs w:val="18"/>
    </w:rPr>
  </w:style>
  <w:style w:type="paragraph" w:customStyle="1" w:styleId="37">
    <w:name w:val="首行缩进"/>
    <w:basedOn w:val="1"/>
    <w:qFormat/>
    <w:uiPriority w:val="0"/>
    <w:pPr>
      <w:spacing w:line="360" w:lineRule="auto"/>
      <w:ind w:firstLine="480"/>
    </w:pPr>
    <w:rPr>
      <w:rFonts w:hint="eastAsia" w:ascii="宋体" w:hAnsi="宋体" w:eastAsia="仿宋" w:cs="Times New Roman"/>
      <w:kern w:val="0"/>
      <w:sz w:val="24"/>
    </w:rPr>
  </w:style>
  <w:style w:type="paragraph" w:customStyle="1" w:styleId="38">
    <w:name w:val="Default"/>
    <w:basedOn w:val="1"/>
    <w:qFormat/>
    <w:uiPriority w:val="0"/>
    <w:pPr>
      <w:autoSpaceDE w:val="0"/>
      <w:autoSpaceDN w:val="0"/>
      <w:adjustRightInd w:val="0"/>
      <w:jc w:val="left"/>
    </w:pPr>
    <w:rPr>
      <w:rFonts w:hint="eastAsia" w:ascii="仿宋_GB2312" w:eastAsia="仿宋_GB2312" w:cs="Times New Roman"/>
      <w:color w:val="000000"/>
      <w:kern w:val="0"/>
      <w:sz w:val="24"/>
      <w:szCs w:val="24"/>
    </w:rPr>
  </w:style>
  <w:style w:type="paragraph" w:customStyle="1" w:styleId="39">
    <w:name w:val="TOC 标题1"/>
    <w:basedOn w:val="2"/>
    <w:next w:val="1"/>
    <w:qFormat/>
    <w:uiPriority w:val="39"/>
    <w:pPr>
      <w:widowControl/>
      <w:spacing w:before="240" w:after="0" w:line="259" w:lineRule="auto"/>
      <w:jc w:val="left"/>
      <w:outlineLvl w:val="9"/>
    </w:pPr>
    <w:rPr>
      <w:rFonts w:ascii="Calibri Light" w:hAnsi="Calibri Light" w:eastAsia="宋体"/>
      <w:b/>
      <w:bCs w:val="0"/>
      <w:color w:val="2E74B5"/>
      <w:kern w:val="0"/>
      <w:sz w:val="32"/>
      <w:szCs w:val="32"/>
    </w:rPr>
  </w:style>
  <w:style w:type="paragraph" w:customStyle="1" w:styleId="4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1">
    <w:name w:val="列出段落1"/>
    <w:basedOn w:val="1"/>
    <w:qFormat/>
    <w:uiPriority w:val="0"/>
    <w:pPr>
      <w:ind w:firstLine="420"/>
    </w:pPr>
    <w:rPr>
      <w:rFonts w:eastAsia="宋体" w:cs="Times New Roman"/>
      <w:szCs w:val="21"/>
    </w:rPr>
  </w:style>
  <w:style w:type="paragraph" w:customStyle="1" w:styleId="42">
    <w:name w:val="正文 New New New New New New New New New New New New New New New New"/>
    <w:qFormat/>
    <w:uiPriority w:val="0"/>
    <w:pPr>
      <w:widowControl w:val="0"/>
      <w:jc w:val="both"/>
    </w:pPr>
    <w:rPr>
      <w:rFonts w:ascii="Times New Roman" w:hAnsi="Times New Roman" w:eastAsia="楷体" w:cs="Times New Roman"/>
      <w:kern w:val="2"/>
      <w:sz w:val="21"/>
      <w:szCs w:val="24"/>
      <w:lang w:val="en-US" w:eastAsia="zh-CN" w:bidi="ar-SA"/>
    </w:rPr>
  </w:style>
  <w:style w:type="character" w:customStyle="1" w:styleId="43">
    <w:name w:val="标题 3 Char1"/>
    <w:link w:val="4"/>
    <w:qFormat/>
    <w:uiPriority w:val="9"/>
    <w:rPr>
      <w:rFonts w:ascii="Calibri" w:hAnsi="Calibri" w:eastAsia="方正黑体_GBK"/>
      <w:kern w:val="2"/>
      <w:sz w:val="32"/>
      <w:szCs w:val="24"/>
    </w:rPr>
  </w:style>
  <w:style w:type="paragraph" w:styleId="44">
    <w:name w:val="List Paragraph"/>
    <w:basedOn w:val="1"/>
    <w:qFormat/>
    <w:uiPriority w:val="34"/>
    <w:pPr>
      <w:ind w:firstLine="420"/>
    </w:pPr>
    <w:rPr>
      <w:rFonts w:eastAsiaTheme="minorEastAsia"/>
      <w:sz w:val="21"/>
    </w:rPr>
  </w:style>
  <w:style w:type="paragraph" w:customStyle="1" w:styleId="45">
    <w:name w:val="列出段落2"/>
    <w:basedOn w:val="1"/>
    <w:qFormat/>
    <w:uiPriority w:val="0"/>
    <w:pPr>
      <w:ind w:firstLine="420"/>
    </w:pPr>
    <w:rPr>
      <w:rFonts w:ascii="Calibri" w:hAnsi="Calibri" w:eastAsia="宋体" w:cs="Times New Roman"/>
      <w:sz w:val="21"/>
      <w:szCs w:val="21"/>
    </w:rPr>
  </w:style>
  <w:style w:type="table" w:customStyle="1" w:styleId="46">
    <w:name w:val="网格型1"/>
    <w:basedOn w:val="2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
    <w:name w:val="List Paragraph1"/>
    <w:basedOn w:val="1"/>
    <w:qFormat/>
    <w:uiPriority w:val="0"/>
    <w:pPr>
      <w:ind w:firstLine="420"/>
    </w:pPr>
    <w:rPr>
      <w:rFonts w:ascii="Calibri" w:hAnsi="Calibri" w:eastAsia="宋体" w:cs="Times New Roman"/>
      <w:sz w:val="21"/>
      <w:szCs w:val="21"/>
    </w:rPr>
  </w:style>
  <w:style w:type="character" w:customStyle="1" w:styleId="48">
    <w:name w:val="description"/>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Lenovo-PC</Company>
  <Pages>76</Pages>
  <Words>39494</Words>
  <Characters>40069</Characters>
  <Lines>334</Lines>
  <Paragraphs>94</Paragraphs>
  <TotalTime>2</TotalTime>
  <ScaleCrop>false</ScaleCrop>
  <LinksUpToDate>false</LinksUpToDate>
  <CharactersWithSpaces>40558</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2021-09-22T15:36:00Z</dcterms:created>
  <dc:creator>Lenovo</dc:creator>
  <cp:lastModifiedBy>admini</cp:lastModifiedBy>
  <cp:lastPrinted>2021-04-26T18:30:00Z</cp:lastPrinted>
  <dcterms:modified xsi:type="dcterms:W3CDTF">2025-08-12T16:34:30Z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49193E6A3A314E05A38AF8A4ED0E4E1F</vt:lpwstr>
  </property>
</Properties>
</file>