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right="0" w:rightChars="0" w:firstLine="210" w:firstLineChars="100"/>
        <w:jc w:val="right"/>
        <w:textAlignment w:val="auto"/>
        <w:rPr>
          <w:rFonts w:ascii="Times New Roman" w:hAnsi="Times New Roman" w:eastAsia="方正仿宋_GBK" w:cs="方正仿宋_GBK"/>
          <w:sz w:val="32"/>
          <w:szCs w:val="32"/>
        </w:rPr>
      </w:pPr>
      <w:r>
        <w:rPr>
          <w:rFonts w:hint="eastAsia"/>
        </w:rPr>
        <w:pict>
          <v:shape id="艺术字 4" o:spid="_x0000_s2058" o:spt="136" type="#_x0000_t136" style="position:absolute;left:0pt;margin-left:72.4pt;margin-top:122.55pt;height:51pt;width:442.2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云阳县发展和改革委员会" style="font-family:方正小标宋_GBK;font-size:36pt;v-text-align:center;"/>
          </v:shape>
        </w:pict>
      </w:r>
      <w:r>
        <w:rPr>
          <w:rFonts w:hint="eastAsia" w:ascii="方正仿宋_GBK" w:hAnsi="方正仿宋_GBK" w:eastAsia="方正仿宋_GBK" w:cs="方正仿宋_GBK"/>
          <w:b/>
          <w:bCs w:val="0"/>
          <w:sz w:val="32"/>
          <w:szCs w:val="32"/>
        </w:rPr>
        <w:t>A类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right"/>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right"/>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223" w:rightChars="106" w:firstLine="210" w:firstLineChars="100"/>
        <w:jc w:val="right"/>
        <w:rPr>
          <w:rFonts w:ascii="Times New Roman" w:hAnsi="Times New Roman" w:eastAsia="方正仿宋_GBK" w:cs="方正仿宋_GBK"/>
          <w:sz w:val="32"/>
          <w:szCs w:val="32"/>
        </w:rPr>
      </w:pPr>
      <w:r>
        <w:rPr>
          <w:rFonts w:hint="eastAsia"/>
        </w:rPr>
        <mc:AlternateContent>
          <mc:Choice Requires="wps">
            <w:drawing>
              <wp:anchor distT="0" distB="0" distL="114300" distR="114300" simplePos="0" relativeHeight="251661312" behindDoc="0" locked="0" layoutInCell="1" allowOverlap="1">
                <wp:simplePos x="0" y="0"/>
                <wp:positionH relativeFrom="page">
                  <wp:posOffset>701040</wp:posOffset>
                </wp:positionH>
                <wp:positionV relativeFrom="page">
                  <wp:posOffset>2355850</wp:posOffset>
                </wp:positionV>
                <wp:extent cx="6120130" cy="0"/>
                <wp:effectExtent l="0" t="31750" r="13970" b="44450"/>
                <wp:wrapNone/>
                <wp:docPr id="1" name="直接连接符 1"/>
                <wp:cNvGraphicFramePr/>
                <a:graphic xmlns:a="http://schemas.openxmlformats.org/drawingml/2006/main">
                  <a:graphicData uri="http://schemas.microsoft.com/office/word/2010/wordprocessingShape">
                    <wps:wsp>
                      <wps:cNvSpPr/>
                      <wps:spPr>
                        <a:xfrm>
                          <a:off x="0" y="0"/>
                          <a:ext cx="6120130" cy="0"/>
                        </a:xfrm>
                        <a:prstGeom prst="line">
                          <a:avLst/>
                        </a:prstGeom>
                        <a:ln w="635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2pt;margin-top:185.5pt;height:0pt;width:481.9pt;mso-position-horizontal-relative:page;mso-position-vertical-relative:page;z-index:251661312;mso-width-relative:page;mso-height-relative:page;" filled="f" stroked="t" coordsize="21600,21600" o:gfxdata="UEsDBAoAAAAAAIdO4kAAAAAAAAAAAAAAAAAEAAAAZHJzL1BLAwQUAAAACACHTuJALxp859UAAAAM&#10;AQAADwAAAGRycy9kb3ducmV2LnhtbE2PQWvCQBCF74X+h2WE3upurGhJs/EgiOdEEXpbs9MkmJ0N&#10;2Y3Gf98RhPb43ny8eS/bTK4TVxxC60lDMlcgkCpvW6o1HA+7908QIRqypvOEGu4YYJO/vmQmtf5G&#10;BV7LWAsOoZAaDU2MfSplqBp0Jsx9j8S3Hz84E1kOtbSDuXG46+RCqZV0piX+0Jgetw1Wl3J0Gvbl&#10;FJysd2VL36f9cQzbqijuWr/NEvUFIuIU/2B41OfqkHOnsx/JBtGxTtSSUQ0f64RHPQi1Xi5AnJ+W&#10;zDP5f0T+C1BLAwQUAAAACACHTuJAJS9TKPgBAADrAwAADgAAAGRycy9lMm9Eb2MueG1srVPNjtMw&#10;EL4j8Q6W7zTprlihqOkeKOWCYKVdHmBqO4mF/+Rxm/YleAEkbnDiyJ23YXkMxkm2C7uXHjYHZ+wZ&#10;fzPfN+PF5d4atlMRtXc1n89KzpQTXmrX1vzjzfrFK84wgZNgvFM1Pyjkl8vnzxZ9qNSZ77yRKjIC&#10;cVj1oeZdSqEqChSdsoAzH5QjZ+OjhUTb2BYyQk/o1hRnZXlR9D7KEL1QiHS6Gp18QoynAPqm0UKt&#10;vNha5dKIGpWBRJSw0wH5cqi2aZRIH5oGVWKm5sQ0DSslIXuT12K5gKqNEDotphLglBIecLKgHSU9&#10;Qq0gAdtG/QjKahE9+ibNhLfFSGRQhFjMywfaXHcQ1MCFpMZwFB2fDla8311FpiVNAmcOLDX89svP&#10;35+//fn1ldbbH9/ZPIvUB6wo9jpcxWmHZGbG+yba/CcubD8IezgKq/aJCTq8mBO7c9Jc3PmK+4sh&#10;YnqrvGXZqLnRLnOGCnbvMFEyCr0LycfGsZ4Qz1+WGQ9oAhvqPJk2EItEffx0003dQG+0XGtj8kWM&#10;7ea1iWwHNAvrdUlfZkbw/4XlXCvAbowbXOOUdArkGydZOgRSydHj4LkSqyRnRtFbyhYBQpVAm1Mi&#10;KbVxVEEWd5QzWxsvD9STbYi67UiQQf8hhmZgqHea1zxk/+4HpPs3u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xp859UAAAAMAQAADwAAAAAAAAABACAAAAAiAAAAZHJzL2Rvd25yZXYueG1sUEsB&#10;AhQAFAAAAAgAh07iQCUvUyj4AQAA6wMAAA4AAAAAAAAAAQAgAAAAJAEAAGRycy9lMm9Eb2MueG1s&#10;UEsFBgAAAAAGAAYAWQEAAI4FAAAAAA==&#10;">
                <v:fill on="f" focussize="0,0"/>
                <v:stroke weight="5pt" color="#FF0000" linestyle="thickThin" joinstyle="round"/>
                <v:imagedata o:title=""/>
                <o:lock v:ext="edit" aspectratio="f"/>
              </v:line>
            </w:pict>
          </mc:Fallback>
        </mc:AlternateContent>
      </w:r>
      <w:r>
        <w:rPr>
          <w:rFonts w:hint="eastAsia" w:ascii="Times New Roman" w:hAnsi="Times New Roman" w:eastAsia="方正仿宋_GBK" w:cs="方正仿宋_GBK"/>
          <w:sz w:val="32"/>
          <w:szCs w:val="32"/>
        </w:rPr>
        <w:t>云</w:t>
      </w:r>
      <w:r>
        <w:rPr>
          <w:rFonts w:hint="eastAsia" w:ascii="Times New Roman" w:hAnsi="Times New Roman" w:eastAsia="方正仿宋_GBK" w:cs="方正仿宋_GBK"/>
          <w:sz w:val="32"/>
          <w:szCs w:val="32"/>
          <w:lang w:eastAsia="zh-CN"/>
        </w:rPr>
        <w:t>阳</w:t>
      </w:r>
      <w:r>
        <w:rPr>
          <w:rFonts w:hint="eastAsia" w:ascii="Times New Roman" w:hAnsi="Times New Roman" w:eastAsia="方正仿宋_GBK" w:cs="方正仿宋_GBK"/>
          <w:sz w:val="32"/>
          <w:szCs w:val="32"/>
        </w:rPr>
        <w:t>发改函〔202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77</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0" w:firstLineChars="0"/>
        <w:jc w:val="center"/>
        <w:textAlignment w:val="auto"/>
        <w:rPr>
          <w:rFonts w:ascii="Times New Roman" w:hAnsi="Times New Roman" w:eastAsia="方正仿宋_GBK" w:cs="方正仿宋_GBK"/>
          <w:sz w:val="32"/>
          <w:szCs w:val="32"/>
        </w:rPr>
      </w:pPr>
    </w:p>
    <w:p>
      <w:pPr>
        <w:pStyle w:val="11"/>
        <w:keepNext w:val="0"/>
        <w:keepLines w:val="0"/>
        <w:pageBreakBefore w:val="0"/>
        <w:widowControl w:val="0"/>
        <w:kinsoku/>
        <w:wordWrap/>
        <w:overflowPunct/>
        <w:topLinePunct w:val="0"/>
        <w:autoSpaceDE/>
        <w:autoSpaceDN/>
        <w:bidi w:val="0"/>
        <w:adjustRightInd/>
        <w:snapToGrid/>
        <w:spacing w:before="0" w:after="0" w:line="580" w:lineRule="exact"/>
        <w:ind w:right="0" w:rightChars="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rPr>
        <w:t>云阳县</w:t>
      </w:r>
      <w:r>
        <w:rPr>
          <w:rFonts w:hint="eastAsia" w:ascii="Times New Roman" w:hAnsi="Times New Roman" w:eastAsia="方正小标宋_GBK" w:cs="Times New Roman"/>
          <w:sz w:val="44"/>
          <w:szCs w:val="44"/>
          <w:lang w:eastAsia="zh-CN"/>
        </w:rPr>
        <w:t>发展和改革委员会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关于县政协第十</w:t>
      </w:r>
      <w:r>
        <w:rPr>
          <w:rFonts w:hint="eastAsia" w:ascii="Times New Roman" w:hAnsi="Times New Roman" w:eastAsia="方正小标宋_GBK" w:cs="Times New Roman"/>
          <w:sz w:val="44"/>
          <w:szCs w:val="44"/>
          <w:lang w:val="en-US" w:eastAsia="zh-CN"/>
        </w:rPr>
        <w:t>五</w:t>
      </w:r>
      <w:r>
        <w:rPr>
          <w:rFonts w:hint="eastAsia" w:ascii="Times New Roman" w:hAnsi="Times New Roman" w:eastAsia="方正小标宋_GBK" w:cs="Times New Roman"/>
          <w:sz w:val="44"/>
          <w:szCs w:val="44"/>
        </w:rPr>
        <w:t>届</w:t>
      </w:r>
      <w:r>
        <w:rPr>
          <w:rFonts w:hint="eastAsia" w:ascii="Times New Roman" w:hAnsi="Times New Roman" w:eastAsia="方正小标宋_GBK" w:cs="Times New Roman"/>
          <w:sz w:val="44"/>
          <w:szCs w:val="44"/>
          <w:lang w:val="en-US" w:eastAsia="zh-CN"/>
        </w:rPr>
        <w:t>二次会议42—2号</w:t>
      </w:r>
      <w:r>
        <w:rPr>
          <w:rFonts w:hint="eastAsia" w:ascii="Times New Roman" w:hAnsi="Times New Roman" w:eastAsia="方正小标宋_GBK" w:cs="Times New Roman"/>
          <w:sz w:val="44"/>
          <w:szCs w:val="44"/>
        </w:rPr>
        <w:t>提案的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复</w:t>
      </w:r>
      <w:r>
        <w:rPr>
          <w:rFonts w:hint="eastAsia" w:ascii="Times New Roman" w:hAnsi="Times New Roman" w:eastAsia="方正小标宋_GBK" w:cs="Times New Roman"/>
          <w:sz w:val="44"/>
          <w:szCs w:val="44"/>
          <w:lang w:val="en-US" w:eastAsia="zh-CN"/>
        </w:rPr>
        <w:t xml:space="preserve">  </w:t>
      </w:r>
      <w:r>
        <w:rPr>
          <w:rFonts w:hint="eastAsia" w:ascii="Times New Roman" w:hAnsi="Times New Roman" w:eastAsia="方正小标宋_GBK" w:cs="Times New Roman"/>
          <w:sz w:val="44"/>
          <w:szCs w:val="44"/>
        </w:rPr>
        <w:t>函</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甘猛</w:t>
      </w:r>
      <w:r>
        <w:rPr>
          <w:rFonts w:hint="eastAsia" w:ascii="Times New Roman" w:hAnsi="Times New Roman" w:eastAsia="方正仿宋_GBK" w:cs="Times New Roman"/>
          <w:sz w:val="32"/>
          <w:szCs w:val="32"/>
          <w:lang w:val="en-US" w:eastAsia="zh-CN"/>
        </w:rPr>
        <w:t>委员</w:t>
      </w:r>
      <w:r>
        <w:rPr>
          <w:rFonts w:hint="default" w:ascii="Times New Roman" w:hAnsi="Times New Roman" w:eastAsia="方正仿宋_GBK" w:cs="Times New Roman"/>
          <w:sz w:val="32"/>
          <w:szCs w:val="32"/>
        </w:rPr>
        <w:t>：</w:t>
      </w:r>
      <w:r>
        <w:rPr>
          <w:rFonts w:hint="eastAsia"/>
        </w:rPr>
        <mc:AlternateContent>
          <mc:Choice Requires="wps">
            <w:drawing>
              <wp:anchor distT="0" distB="0" distL="114300" distR="114300" simplePos="0" relativeHeight="251662336" behindDoc="0" locked="0" layoutInCell="1" allowOverlap="1">
                <wp:simplePos x="0" y="0"/>
                <wp:positionH relativeFrom="page">
                  <wp:posOffset>713105</wp:posOffset>
                </wp:positionH>
                <wp:positionV relativeFrom="page">
                  <wp:posOffset>9997440</wp:posOffset>
                </wp:positionV>
                <wp:extent cx="6120130" cy="0"/>
                <wp:effectExtent l="0" t="31750" r="13970" b="44450"/>
                <wp:wrapNone/>
                <wp:docPr id="3" name="直接连接符 3"/>
                <wp:cNvGraphicFramePr/>
                <a:graphic xmlns:a="http://schemas.openxmlformats.org/drawingml/2006/main">
                  <a:graphicData uri="http://schemas.microsoft.com/office/word/2010/wordprocessingShape">
                    <wps:wsp>
                      <wps:cNvSpPr/>
                      <wps:spPr>
                        <a:xfrm>
                          <a:off x="0" y="0"/>
                          <a:ext cx="6120130" cy="0"/>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15pt;margin-top:787.2pt;height:0pt;width:481.9pt;mso-position-horizontal-relative:page;mso-position-vertical-relative:page;z-index:251662336;mso-width-relative:page;mso-height-relative:page;" filled="f" stroked="t" coordsize="21600,21600" o:gfxdata="UEsDBAoAAAAAAIdO4kAAAAAAAAAAAAAAAAAEAAAAZHJzL1BLAwQUAAAACACHTuJA2JkCEdcAAAAO&#10;AQAADwAAAGRycy9kb3ducmV2LnhtbE2PzU7DMBCE70i8g7VI3Kid0h8U4vRAxQGJSwPc3XjrRMTr&#10;NHbT0qdne6jgtjM7mv22WJ18J0YcYhtIQzZRIJDqYFtyGj4/Xh+eQMRkyJouEGr4wQir8vamMLkN&#10;R9rgWCUnuIRibjQ0KfW5lLFu0Js4CT0S73Zh8CaxHJy0gzlyue/kVKmF9KYlvtCYHl8arL+rg9dA&#10;1Xm/d7v5e/vWuZr989d6XGt9f5epZxAJT+kvDBd8RoeSmbbhQDaKjnU2feQoD/PlbAbiElHLRQZi&#10;e/VkWcj/b5S/UEsDBBQAAAAIAIdO4kBusE2e+QEAAOsDAAAOAAAAZHJzL2Uyb0RvYy54bWytU72O&#10;EzEQ7pF4B8s92c1FnNAqmysIoUFw0h0PMLG9WQv/yeNkk5fgBZDooKKk5204HoOxN5eDo0nBFt6x&#10;Z/zNfN+M51d7a9hORdTetXw6qTlTTnip3abl729Xz15whgmcBOOdavlBIb9aPH0yH0KjLnzvjVSR&#10;EYjDZggt71MKTVWh6JUFnPigHDk7Hy0k2sZNJSMMhG5NdVHXl9XgowzRC4VIp8vRyY+I8RxA33Va&#10;qKUXW6tcGlGjMpCIEvY6IF+UartOifSu61AlZlpOTFNZKQnZ67xWizk0mwih1+JYApxTwiNOFrSj&#10;pCeoJSRg26j/gbJaRI++SxPhbTUSKYoQi2n9SJubHoIqXEhqDCfR8f/Bire768i0bPmMMweWGn73&#10;6fvPj19+/fhM6923r2yWRRoCNhR7E67jcYdkZsb7Ltr8Jy5sX4Q9nIRV+8QEHV5Oid2MNBf3vurh&#10;YoiYXitvWTZabrTLnKGB3RtMlIxC70PysXFsIMTZ8zrjAU1gR50n0wZikXrtbqmXHwoEeqPlShuT&#10;L2LcrF+ayHZAs7Ba1fRlZgT/V1jOtQTsx7jiGqekVyBfOcnSIZBKjh4Hz5VYJTkzit5StggQmgTa&#10;nBNJqY2jCrK4o5zZWnt5oJ5sQ9SbngSZliqzh2ag1Huc1zxkf+4L0sMbX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JkCEdcAAAAOAQAADwAAAAAAAAABACAAAAAiAAAAZHJzL2Rvd25yZXYueG1s&#10;UEsBAhQAFAAAAAgAh07iQG6wTZ75AQAA6wMAAA4AAAAAAAAAAQAgAAAAJgEAAGRycy9lMm9Eb2Mu&#10;eG1sUEsFBgAAAAAGAAYAWQEAAJEFAAAAAA==&#10;">
                <v:fill on="f" focussize="0,0"/>
                <v:stroke weight="5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您提</w:t>
      </w:r>
      <w:r>
        <w:rPr>
          <w:rFonts w:hint="default" w:ascii="Times New Roman" w:hAnsi="Times New Roman" w:eastAsia="方正仿宋_GBK" w:cs="Times New Roman"/>
          <w:sz w:val="32"/>
          <w:szCs w:val="32"/>
          <w:lang w:eastAsia="zh-CN"/>
        </w:rPr>
        <w:t>出的《关于促进民营经济持续健康发展的建议》（第</w:t>
      </w:r>
      <w:r>
        <w:rPr>
          <w:rFonts w:hint="eastAsia" w:ascii="Times New Roman" w:hAnsi="Times New Roman" w:eastAsia="方正仿宋_GBK" w:cs="Times New Roman"/>
          <w:sz w:val="32"/>
          <w:szCs w:val="32"/>
          <w:lang w:val="en-US" w:eastAsia="zh-CN"/>
        </w:rPr>
        <w:t>42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号）</w:t>
      </w:r>
      <w:r>
        <w:rPr>
          <w:rFonts w:hint="default" w:ascii="Times New Roman" w:hAnsi="Times New Roman" w:eastAsia="方正仿宋_GBK" w:cs="Times New Roman"/>
          <w:sz w:val="32"/>
          <w:szCs w:val="32"/>
        </w:rPr>
        <w:t>收悉。经与</w:t>
      </w:r>
      <w:r>
        <w:rPr>
          <w:rFonts w:hint="default" w:ascii="Times New Roman" w:hAnsi="Times New Roman" w:eastAsia="方正仿宋_GBK" w:cs="Times New Roman"/>
          <w:sz w:val="32"/>
          <w:szCs w:val="32"/>
          <w:u w:val="none"/>
        </w:rPr>
        <w:t>县经济信息委、县人力社保局、县工商联、县金融工作服务中心</w:t>
      </w:r>
      <w:r>
        <w:rPr>
          <w:rFonts w:hint="eastAsia" w:ascii="Times New Roman" w:hAnsi="Times New Roman" w:eastAsia="方正仿宋_GBK" w:cs="Times New Roman"/>
          <w:sz w:val="32"/>
          <w:szCs w:val="32"/>
          <w:u w:val="none"/>
          <w:lang w:eastAsia="zh-CN"/>
        </w:rPr>
        <w:t>等单位</w:t>
      </w:r>
      <w:r>
        <w:rPr>
          <w:rFonts w:hint="default" w:ascii="Times New Roman" w:hAnsi="Times New Roman" w:eastAsia="方正仿宋_GBK" w:cs="Times New Roman"/>
          <w:sz w:val="32"/>
          <w:szCs w:val="32"/>
        </w:rPr>
        <w:t>共同研究办理，现答复如下：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rPr>
      </w:pPr>
      <w:r>
        <w:rPr>
          <w:rFonts w:hint="eastAsia" w:ascii="Times New Roman" w:hAnsi="Times New Roman" w:eastAsia="方正仿宋_GBK" w:cs="Times New Roman"/>
          <w:sz w:val="32"/>
          <w:szCs w:val="32"/>
          <w:u w:val="none"/>
          <w:lang w:val="en-US" w:eastAsia="zh-CN"/>
        </w:rPr>
        <w:t>民营经济是社会主义市场经济的重要组成部分。近年来，我县深入贯彻习近平总书记关于民营经济发展的重要论述，秉承“</w:t>
      </w:r>
      <w:r>
        <w:rPr>
          <w:rFonts w:hint="default" w:ascii="Times New Roman" w:hAnsi="Times New Roman" w:eastAsia="方正仿宋_GBK" w:cs="Times New Roman"/>
          <w:sz w:val="32"/>
          <w:szCs w:val="32"/>
          <w:u w:val="none"/>
        </w:rPr>
        <w:t>企业是宝，企业家是</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宝中之宝</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Times New Roman"/>
          <w:sz w:val="32"/>
          <w:szCs w:val="32"/>
          <w:u w:val="none"/>
          <w:lang w:val="en-US" w:eastAsia="zh-CN"/>
        </w:rPr>
        <w:t>”</w:t>
      </w:r>
      <w:r>
        <w:rPr>
          <w:rFonts w:hint="eastAsia" w:ascii="Times New Roman" w:hAnsi="Times New Roman" w:eastAsia="方正仿宋_GBK" w:cs="方正仿宋_GBK"/>
          <w:sz w:val="32"/>
          <w:szCs w:val="32"/>
          <w:u w:val="none"/>
          <w:lang w:eastAsia="zh-CN"/>
        </w:rPr>
        <w:t>的理念，</w:t>
      </w:r>
      <w:r>
        <w:rPr>
          <w:rFonts w:hint="eastAsia" w:ascii="Times New Roman" w:hAnsi="Times New Roman" w:eastAsia="方正仿宋_GBK" w:cs="Times New Roman"/>
          <w:sz w:val="32"/>
          <w:szCs w:val="32"/>
          <w:u w:val="none"/>
          <w:lang w:val="en-US" w:eastAsia="zh-CN"/>
        </w:rPr>
        <w:t>推动民营企业成为全县经济社会发展</w:t>
      </w:r>
      <w:r>
        <w:rPr>
          <w:rFonts w:hint="default" w:ascii="Times New Roman" w:hAnsi="Times New Roman" w:eastAsia="方正仿宋_GBK" w:cs="Times New Roman"/>
          <w:sz w:val="32"/>
          <w:szCs w:val="32"/>
          <w:u w:val="none"/>
        </w:rPr>
        <w:t>的中坚力量和活力源泉</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lang w:val="en-US" w:eastAsia="zh-CN"/>
        </w:rPr>
        <w:t>2022年</w:t>
      </w:r>
      <w:r>
        <w:rPr>
          <w:rFonts w:hint="eastAsia" w:ascii="Times New Roman" w:hAnsi="Times New Roman" w:eastAsia="方正仿宋_GBK" w:cs="Times New Roman"/>
          <w:sz w:val="32"/>
          <w:szCs w:val="32"/>
          <w:u w:val="none"/>
          <w:lang w:eastAsia="zh-CN"/>
        </w:rPr>
        <w:t>民营经济占全县</w:t>
      </w:r>
      <w:r>
        <w:rPr>
          <w:rFonts w:hint="eastAsia" w:ascii="Times New Roman" w:hAnsi="Times New Roman" w:eastAsia="方正仿宋_GBK" w:cs="Times New Roman"/>
          <w:sz w:val="32"/>
          <w:szCs w:val="32"/>
          <w:u w:val="none"/>
          <w:lang w:val="en-US" w:eastAsia="zh-CN"/>
        </w:rPr>
        <w:t>GDP比重达64.7%。</w:t>
      </w:r>
      <w:r>
        <w:rPr>
          <w:rFonts w:hint="default" w:ascii="Times New Roman" w:hAnsi="Times New Roman" w:eastAsia="方正仿宋_GBK" w:cs="Times New Roman"/>
          <w:sz w:val="32"/>
          <w:szCs w:val="32"/>
        </w:rPr>
        <w:t>您</w:t>
      </w:r>
      <w:r>
        <w:rPr>
          <w:rFonts w:hint="eastAsia" w:ascii="Times New Roman" w:hAnsi="Times New Roman" w:eastAsia="方正仿宋_GBK" w:cs="Times New Roman"/>
          <w:sz w:val="32"/>
          <w:szCs w:val="32"/>
          <w:lang w:eastAsia="zh-CN"/>
        </w:rPr>
        <w:t>指出</w:t>
      </w:r>
      <w:r>
        <w:rPr>
          <w:rFonts w:hint="default" w:ascii="Times New Roman" w:hAnsi="Times New Roman" w:eastAsia="方正仿宋_GBK" w:cs="Times New Roman"/>
          <w:sz w:val="32"/>
          <w:szCs w:val="32"/>
        </w:rPr>
        <w:t>的</w:t>
      </w:r>
      <w:r>
        <w:rPr>
          <w:rFonts w:hint="eastAsia" w:ascii="Times New Roman" w:hAnsi="Times New Roman" w:eastAsia="方正仿宋_GBK" w:cs="Times New Roman"/>
          <w:sz w:val="32"/>
          <w:szCs w:val="32"/>
          <w:lang w:eastAsia="zh-CN"/>
        </w:rPr>
        <w:t>我县民营经济存在问题客观中肯、精准深刻，提出的</w:t>
      </w:r>
      <w:r>
        <w:rPr>
          <w:rFonts w:hint="default" w:ascii="Times New Roman" w:hAnsi="Times New Roman" w:eastAsia="方正仿宋_GBK" w:cs="Times New Roman"/>
          <w:sz w:val="32"/>
          <w:szCs w:val="32"/>
        </w:rPr>
        <w:t>建议</w:t>
      </w:r>
      <w:r>
        <w:rPr>
          <w:rFonts w:hint="eastAsia" w:ascii="Times New Roman" w:hAnsi="Times New Roman" w:eastAsia="方正仿宋_GBK" w:cs="Times New Roman"/>
          <w:sz w:val="32"/>
          <w:szCs w:val="32"/>
          <w:lang w:eastAsia="zh-CN"/>
        </w:rPr>
        <w:t>具有极强的</w:t>
      </w:r>
      <w:r>
        <w:rPr>
          <w:rFonts w:hint="default" w:ascii="Times New Roman" w:hAnsi="Times New Roman" w:eastAsia="方正仿宋_GBK" w:cs="Times New Roman"/>
          <w:sz w:val="32"/>
          <w:szCs w:val="32"/>
        </w:rPr>
        <w:t>针对性、</w:t>
      </w:r>
      <w:r>
        <w:rPr>
          <w:rFonts w:hint="eastAsia" w:ascii="Times New Roman" w:hAnsi="Times New Roman" w:eastAsia="方正仿宋_GBK" w:cs="Times New Roman"/>
          <w:sz w:val="32"/>
          <w:szCs w:val="32"/>
          <w:lang w:eastAsia="zh-CN"/>
        </w:rPr>
        <w:t>指导性和</w:t>
      </w:r>
      <w:r>
        <w:rPr>
          <w:rFonts w:hint="default" w:ascii="Times New Roman" w:hAnsi="Times New Roman" w:eastAsia="方正仿宋_GBK" w:cs="Times New Roman"/>
          <w:sz w:val="32"/>
          <w:szCs w:val="32"/>
        </w:rPr>
        <w:t>可行性，</w:t>
      </w:r>
      <w:r>
        <w:rPr>
          <w:rFonts w:hint="eastAsia" w:ascii="Times New Roman" w:hAnsi="Times New Roman" w:eastAsia="方正仿宋_GBK" w:cs="Times New Roman"/>
          <w:sz w:val="32"/>
          <w:szCs w:val="32"/>
          <w:lang w:eastAsia="zh-CN"/>
        </w:rPr>
        <w:t>对于</w:t>
      </w:r>
      <w:r>
        <w:rPr>
          <w:rFonts w:hint="default" w:ascii="Times New Roman" w:hAnsi="Times New Roman" w:eastAsia="方正仿宋_GBK" w:cs="Times New Roman"/>
          <w:sz w:val="32"/>
          <w:szCs w:val="32"/>
        </w:rPr>
        <w:t>我们推动</w:t>
      </w:r>
      <w:r>
        <w:rPr>
          <w:rFonts w:hint="eastAsia" w:ascii="Times New Roman" w:hAnsi="Times New Roman" w:eastAsia="方正仿宋_GBK" w:cs="Times New Roman"/>
          <w:sz w:val="32"/>
          <w:szCs w:val="32"/>
          <w:lang w:eastAsia="zh-CN"/>
        </w:rPr>
        <w:t>民营经济持续健康</w:t>
      </w:r>
      <w:r>
        <w:rPr>
          <w:rFonts w:hint="default" w:ascii="Times New Roman" w:hAnsi="Times New Roman" w:eastAsia="方正仿宋_GBK" w:cs="Times New Roman"/>
          <w:sz w:val="32"/>
          <w:szCs w:val="32"/>
        </w:rPr>
        <w:t>发展具有</w:t>
      </w:r>
      <w:r>
        <w:rPr>
          <w:rFonts w:hint="eastAsia" w:ascii="Times New Roman" w:hAnsi="Times New Roman" w:eastAsia="方正仿宋_GBK" w:cs="Times New Roman"/>
          <w:sz w:val="32"/>
          <w:szCs w:val="32"/>
          <w:lang w:eastAsia="zh-CN"/>
        </w:rPr>
        <w:t>很</w:t>
      </w:r>
      <w:r>
        <w:rPr>
          <w:rFonts w:hint="default" w:ascii="Times New Roman" w:hAnsi="Times New Roman" w:eastAsia="方正仿宋_GBK" w:cs="Times New Roman"/>
          <w:sz w:val="32"/>
          <w:szCs w:val="32"/>
        </w:rPr>
        <w:t>强的借鉴</w:t>
      </w:r>
      <w:r>
        <w:rPr>
          <w:rFonts w:hint="eastAsia" w:ascii="Times New Roman" w:hAnsi="Times New Roman" w:eastAsia="方正仿宋_GBK" w:cs="Times New Roman"/>
          <w:sz w:val="32"/>
          <w:szCs w:val="32"/>
          <w:lang w:eastAsia="zh-CN"/>
        </w:rPr>
        <w:t>意义</w:t>
      </w:r>
      <w:r>
        <w:rPr>
          <w:rFonts w:hint="default"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kern w:val="0"/>
          <w:sz w:val="32"/>
          <w:szCs w:val="32"/>
          <w:lang w:val="en-US" w:eastAsia="zh-CN" w:bidi="ar-SA"/>
        </w:rPr>
        <w:t>关于提升服务深度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Times New Roman"/>
          <w:sz w:val="32"/>
          <w:szCs w:val="32"/>
          <w:lang w:val="en-US" w:eastAsia="zh-CN"/>
        </w:rPr>
        <w:t>近年来，我们</w:t>
      </w:r>
      <w:r>
        <w:rPr>
          <w:rFonts w:hint="eastAsia" w:ascii="Times New Roman" w:hAnsi="Times New Roman" w:eastAsia="方正仿宋_GBK" w:cs="Times New Roman"/>
          <w:bCs/>
          <w:kern w:val="0"/>
          <w:sz w:val="32"/>
          <w:szCs w:val="32"/>
          <w:lang w:eastAsia="zh-CN"/>
        </w:rPr>
        <w:t>深入</w:t>
      </w:r>
      <w:r>
        <w:rPr>
          <w:rFonts w:hint="eastAsia" w:ascii="Times New Roman" w:hAnsi="Times New Roman" w:eastAsia="方正仿宋_GBK" w:cs="Times New Roman"/>
          <w:bCs/>
          <w:kern w:val="0"/>
          <w:sz w:val="32"/>
          <w:szCs w:val="32"/>
        </w:rPr>
        <w:t>推动“放管服”改革，</w:t>
      </w:r>
      <w:r>
        <w:rPr>
          <w:rFonts w:hint="eastAsia" w:ascii="Times New Roman" w:hAnsi="Times New Roman" w:eastAsia="方正仿宋_GBK" w:cs="Times New Roman"/>
          <w:sz w:val="32"/>
          <w:szCs w:val="32"/>
          <w:lang w:val="en-US" w:eastAsia="zh-CN"/>
        </w:rPr>
        <w:t>着力推动服务型政府建设，政务服务水平不断提升。</w:t>
      </w:r>
      <w:r>
        <w:rPr>
          <w:rFonts w:hint="eastAsia" w:ascii="Times New Roman" w:hAnsi="Times New Roman" w:eastAsia="方正仿宋_GBK" w:cs="Times New Roman"/>
          <w:kern w:val="2"/>
          <w:sz w:val="32"/>
          <w:szCs w:val="32"/>
          <w:lang w:val="en-US" w:eastAsia="zh-CN" w:bidi="ar-SA"/>
        </w:rPr>
        <w:t>全面实行权责清单制度，在县政府门户网站公开全县行政权力清单和公共服务清单，并实行动态调整。</w:t>
      </w:r>
      <w:r>
        <w:rPr>
          <w:rFonts w:hint="eastAsia" w:ascii="Times New Roman" w:hAnsi="Times New Roman" w:eastAsia="方正仿宋_GBK" w:cs="Times New Roman"/>
          <w:bCs/>
          <w:kern w:val="0"/>
          <w:sz w:val="32"/>
          <w:szCs w:val="32"/>
        </w:rPr>
        <w:t>依托重庆市网上行政审批平台进行动态管理，实现市县</w:t>
      </w:r>
      <w:r>
        <w:rPr>
          <w:rFonts w:hint="eastAsia" w:ascii="Times New Roman" w:hAnsi="Times New Roman" w:eastAsia="方正仿宋_GBK" w:cs="Times New Roman"/>
          <w:bCs/>
          <w:kern w:val="0"/>
          <w:sz w:val="32"/>
          <w:szCs w:val="32"/>
          <w:lang w:eastAsia="zh-CN"/>
        </w:rPr>
        <w:t>两级</w:t>
      </w:r>
      <w:r>
        <w:rPr>
          <w:rFonts w:hint="eastAsia" w:ascii="Times New Roman" w:hAnsi="Times New Roman" w:eastAsia="方正仿宋_GBK" w:cs="Times New Roman"/>
          <w:bCs/>
          <w:kern w:val="0"/>
          <w:sz w:val="32"/>
          <w:szCs w:val="32"/>
        </w:rPr>
        <w:t>清单一致，领取政务服务事项6532项，实现同一事项名称、基本编码、法律依据、事项类别等基本要素“四级四同”，并在重庆市政务服务网公开发布。规范审批服务行为，严格按照政务服务事项实施清单提供办事服务，无额外增加或变相增加办理环节和申请材料，今年“好差评”有效评价数量19</w:t>
      </w:r>
      <w:r>
        <w:rPr>
          <w:rFonts w:hint="eastAsia" w:ascii="Times New Roman" w:hAnsi="Times New Roman" w:eastAsia="方正仿宋_GBK" w:cs="Times New Roman"/>
          <w:bCs/>
          <w:kern w:val="0"/>
          <w:sz w:val="32"/>
          <w:szCs w:val="32"/>
          <w:lang w:val="en-US" w:eastAsia="zh-CN"/>
        </w:rPr>
        <w:t>.6万</w:t>
      </w:r>
      <w:r>
        <w:rPr>
          <w:rFonts w:hint="eastAsia" w:ascii="Times New Roman" w:hAnsi="Times New Roman" w:eastAsia="方正仿宋_GBK" w:cs="Times New Roman"/>
          <w:bCs/>
          <w:kern w:val="0"/>
          <w:sz w:val="32"/>
          <w:szCs w:val="32"/>
        </w:rPr>
        <w:t>条，无差评。设立“办不成事”“怎么能办”服务窗口</w:t>
      </w:r>
      <w:r>
        <w:rPr>
          <w:rFonts w:hint="eastAsia" w:ascii="Times New Roman" w:hAnsi="Times New Roman" w:eastAsia="方正仿宋_GBK" w:cs="Times New Roman"/>
          <w:bCs/>
          <w:kern w:val="0"/>
          <w:sz w:val="32"/>
          <w:szCs w:val="32"/>
          <w:lang w:eastAsia="zh-CN"/>
        </w:rPr>
        <w:t>、无差别综合窗口，解决企业和群众办事过程中遇到的疑难事项和复杂问题，实现“一窗受理、综合服务”。</w:t>
      </w:r>
    </w:p>
    <w:p>
      <w:pPr>
        <w:keepNext w:val="0"/>
        <w:keepLines w:val="0"/>
        <w:pageBreakBefore w:val="0"/>
        <w:kinsoku/>
        <w:wordWrap/>
        <w:overflowPunct/>
        <w:topLinePunct w:val="0"/>
        <w:autoSpaceDN/>
        <w:bidi w:val="0"/>
        <w:adjustRightInd/>
        <w:snapToGrid w:val="0"/>
        <w:spacing w:line="578"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方正仿宋_GBK"/>
          <w:sz w:val="32"/>
          <w:szCs w:val="32"/>
          <w:shd w:val="clear" w:color="auto" w:fill="FFFFFF"/>
          <w:lang w:eastAsia="zh-CN"/>
        </w:rPr>
        <w:t>下一步，我们将坚持服务型政府的理念，持续深化“放管服”改革和优化营商环境，用实招细招提升服务效能。一是进一步深入推进办事事项的标准化和规范化工作，规范行政审批事项、程序、文书，</w:t>
      </w:r>
      <w:r>
        <w:rPr>
          <w:rFonts w:hint="eastAsia" w:ascii="Times New Roman" w:hAnsi="Times New Roman" w:eastAsia="方正仿宋_GBK"/>
          <w:sz w:val="32"/>
          <w:szCs w:val="32"/>
        </w:rPr>
        <w:t>持续优化全县政务服务办事流程，探索业务事项办理标准化、智能化</w:t>
      </w:r>
      <w:r>
        <w:rPr>
          <w:rFonts w:hint="eastAsia" w:ascii="Times New Roman" w:hAnsi="Times New Roman" w:eastAsia="方正仿宋_GBK"/>
          <w:sz w:val="32"/>
          <w:szCs w:val="32"/>
          <w:lang w:eastAsia="zh-CN"/>
        </w:rPr>
        <w:t>。二是</w:t>
      </w:r>
      <w:r>
        <w:rPr>
          <w:rFonts w:hint="eastAsia" w:ascii="Times New Roman" w:hAnsi="Times New Roman" w:eastAsia="方正仿宋_GBK" w:cs="Times New Roman"/>
          <w:color w:val="000000"/>
          <w:sz w:val="32"/>
          <w:szCs w:val="32"/>
          <w:lang w:eastAsia="zh-CN"/>
        </w:rPr>
        <w:t>持续开展“五星”企业家等表彰活动，鼓励支持民营经济发展壮大，</w:t>
      </w:r>
      <w:r>
        <w:rPr>
          <w:rFonts w:hint="eastAsia" w:ascii="Times New Roman" w:hAnsi="Times New Roman" w:eastAsia="方正仿宋_GBK"/>
          <w:sz w:val="32"/>
          <w:szCs w:val="32"/>
          <w:lang w:eastAsia="zh-CN"/>
        </w:rPr>
        <w:t>严厉打击恶意损害企业和企业家形象声誉的违法违规行为，</w:t>
      </w:r>
      <w:r>
        <w:rPr>
          <w:rFonts w:hint="eastAsia" w:ascii="Times New Roman" w:hAnsi="Times New Roman" w:eastAsia="方正仿宋_GBK" w:cs="Times New Roman"/>
          <w:color w:val="000000"/>
          <w:kern w:val="2"/>
          <w:sz w:val="32"/>
          <w:szCs w:val="32"/>
          <w:lang w:val="en-US" w:eastAsia="zh-CN" w:bidi="ar-SA"/>
        </w:rPr>
        <w:t>消除民营企业和民营企业家顾虑，优化民营经济发展舆论环境。</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方正仿宋_GBK"/>
          <w:color w:val="000000" w:themeColor="text1"/>
          <w:sz w:val="32"/>
          <w:szCs w:val="32"/>
          <w:highlight w:val="none"/>
          <w:u w:val="none" w:color="auto"/>
          <w14:textFill>
            <w14:solidFill>
              <w14:schemeClr w14:val="tx1"/>
            </w14:solidFill>
          </w14:textFill>
        </w:rPr>
      </w:pPr>
      <w:r>
        <w:rPr>
          <w:rFonts w:hint="eastAsia" w:ascii="Times New Roman" w:hAnsi="Times New Roman" w:eastAsia="方正黑体_GBK" w:cs="方正黑体_GBK"/>
          <w:kern w:val="0"/>
          <w:sz w:val="32"/>
          <w:szCs w:val="32"/>
          <w:lang w:val="en-US" w:eastAsia="zh-CN" w:bidi="ar-SA"/>
        </w:rPr>
        <w:t>关于降低融资难度</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Autospacing="0" w:afterAutospacing="0" w:line="578" w:lineRule="exact"/>
        <w:ind w:right="0" w:rightChars="0" w:firstLine="640" w:firstLineChars="200"/>
        <w:jc w:val="both"/>
        <w:textAlignment w:val="auto"/>
        <w:rPr>
          <w:rFonts w:hint="eastAsia" w:ascii="Times New Roman" w:hAnsi="Times New Roman" w:eastAsia="方正仿宋_GBK" w:cs="方正仿宋_GBK"/>
          <w:color w:val="000000" w:themeColor="text1"/>
          <w:sz w:val="32"/>
          <w:szCs w:val="32"/>
          <w:u w:val="none"/>
          <w14:textFill>
            <w14:solidFill>
              <w14:schemeClr w14:val="tx1"/>
            </w14:solidFill>
          </w14:textFill>
        </w:rPr>
      </w:pPr>
      <w:r>
        <w:rPr>
          <w:rFonts w:hint="default" w:ascii="Times New Roman" w:hAnsi="Times New Roman" w:eastAsia="方正仿宋_GBK" w:cs="Times New Roman"/>
          <w:kern w:val="2"/>
          <w:sz w:val="32"/>
          <w:szCs w:val="32"/>
          <w:lang w:val="en-US" w:eastAsia="zh-CN" w:bidi="ar-SA"/>
        </w:rPr>
        <w:t>为缓解中小微企业融资难问题，畅通中小企业融资渠道，</w:t>
      </w:r>
      <w:r>
        <w:rPr>
          <w:rFonts w:hint="eastAsia" w:ascii="Times New Roman" w:hAnsi="Times New Roman" w:eastAsia="方正仿宋_GBK" w:cs="方正仿宋_GBK"/>
          <w:color w:val="auto"/>
          <w:sz w:val="32"/>
          <w:szCs w:val="32"/>
        </w:rPr>
        <w:t>我县多措并举</w:t>
      </w:r>
      <w:r>
        <w:rPr>
          <w:rFonts w:hint="default" w:ascii="Times New Roman" w:hAnsi="Times New Roman" w:eastAsia="方正仿宋_GBK" w:cs="Times New Roman"/>
          <w:kern w:val="2"/>
          <w:sz w:val="32"/>
          <w:szCs w:val="32"/>
          <w:lang w:val="en-US" w:eastAsia="zh-CN" w:bidi="ar-SA"/>
        </w:rPr>
        <w:t>出台一系列</w:t>
      </w:r>
      <w:r>
        <w:rPr>
          <w:rFonts w:hint="eastAsia" w:ascii="Times New Roman" w:hAnsi="Times New Roman" w:eastAsia="方正仿宋_GBK" w:cs="方正仿宋_GBK"/>
          <w:color w:val="auto"/>
          <w:sz w:val="32"/>
          <w:szCs w:val="32"/>
          <w:lang w:val="en-US" w:eastAsia="zh-CN"/>
        </w:rPr>
        <w:t>民营企业及中小微企业融资配套政策，</w:t>
      </w:r>
      <w:r>
        <w:rPr>
          <w:rFonts w:hint="default" w:ascii="Times New Roman" w:hAnsi="Times New Roman" w:eastAsia="方正仿宋_GBK" w:cs="Times New Roman"/>
          <w:kern w:val="2"/>
          <w:sz w:val="32"/>
          <w:szCs w:val="32"/>
          <w:lang w:val="en-US" w:eastAsia="zh-CN" w:bidi="ar-SA"/>
        </w:rPr>
        <w:t>全面支持</w:t>
      </w:r>
      <w:r>
        <w:rPr>
          <w:rFonts w:hint="eastAsia" w:ascii="Times New Roman" w:hAnsi="Times New Roman" w:eastAsia="方正仿宋_GBK" w:cs="方正仿宋_GBK"/>
          <w:color w:val="auto"/>
          <w:sz w:val="32"/>
          <w:szCs w:val="32"/>
          <w:lang w:val="en-US" w:eastAsia="zh-CN"/>
        </w:rPr>
        <w:t>民营企业及中小微企业</w:t>
      </w:r>
      <w:r>
        <w:rPr>
          <w:rFonts w:hint="default" w:ascii="Times New Roman" w:hAnsi="Times New Roman" w:eastAsia="方正仿宋_GBK" w:cs="Times New Roman"/>
          <w:kern w:val="2"/>
          <w:sz w:val="32"/>
          <w:szCs w:val="32"/>
          <w:lang w:val="en-US" w:eastAsia="zh-CN" w:bidi="ar-SA"/>
        </w:rPr>
        <w:t>发展。</w:t>
      </w:r>
      <w:r>
        <w:rPr>
          <w:rFonts w:hint="eastAsia" w:ascii="Times New Roman" w:hAnsi="Times New Roman" w:eastAsia="方正仿宋_GBK" w:cs="Times New Roman"/>
          <w:kern w:val="2"/>
          <w:sz w:val="32"/>
          <w:szCs w:val="32"/>
          <w:lang w:val="en-US" w:eastAsia="zh-CN" w:bidi="ar-SA"/>
        </w:rPr>
        <w:t>出台《云阳县稳经济政策汇编》，</w:t>
      </w:r>
      <w:r>
        <w:rPr>
          <w:rFonts w:hint="default" w:ascii="Times New Roman" w:hAnsi="Times New Roman" w:eastAsia="方正仿宋_GBK" w:cs="Times New Roman"/>
          <w:kern w:val="2"/>
          <w:sz w:val="32"/>
          <w:szCs w:val="32"/>
          <w:lang w:val="en-US" w:eastAsia="zh-CN" w:bidi="ar-SA"/>
        </w:rPr>
        <w:t>鼓励</w:t>
      </w:r>
      <w:r>
        <w:rPr>
          <w:rFonts w:hint="eastAsia" w:ascii="Times New Roman" w:hAnsi="Times New Roman" w:eastAsia="方正仿宋_GBK" w:cs="Times New Roman"/>
          <w:kern w:val="2"/>
          <w:sz w:val="32"/>
          <w:szCs w:val="32"/>
          <w:lang w:val="en-US" w:eastAsia="zh-CN" w:bidi="ar-SA"/>
        </w:rPr>
        <w:t>银行等金融机构</w:t>
      </w:r>
      <w:r>
        <w:rPr>
          <w:rFonts w:hint="default" w:ascii="Times New Roman" w:hAnsi="Times New Roman" w:eastAsia="方正仿宋_GBK" w:cs="Times New Roman"/>
          <w:kern w:val="2"/>
          <w:sz w:val="32"/>
          <w:szCs w:val="32"/>
          <w:lang w:val="en-US" w:eastAsia="zh-CN" w:bidi="ar-SA"/>
        </w:rPr>
        <w:t>对</w:t>
      </w:r>
      <w:r>
        <w:rPr>
          <w:rFonts w:hint="eastAsia" w:ascii="Times New Roman" w:hAnsi="Times New Roman" w:eastAsia="方正仿宋_GBK" w:cs="Times New Roman"/>
          <w:kern w:val="2"/>
          <w:sz w:val="32"/>
          <w:szCs w:val="32"/>
          <w:lang w:val="en-US" w:eastAsia="zh-CN" w:bidi="ar-SA"/>
        </w:rPr>
        <w:t>企业</w:t>
      </w:r>
      <w:r>
        <w:rPr>
          <w:rFonts w:hint="default" w:ascii="Times New Roman" w:hAnsi="Times New Roman" w:eastAsia="方正仿宋_GBK" w:cs="Times New Roman"/>
          <w:kern w:val="2"/>
          <w:sz w:val="32"/>
          <w:szCs w:val="32"/>
          <w:lang w:val="en-US" w:eastAsia="zh-CN" w:bidi="ar-SA"/>
        </w:rPr>
        <w:t>贷款实施合理续贷、展期、调整还款安排</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扩大国家融资担保基金、政府性融资担保覆盖面</w:t>
      </w:r>
      <w:r>
        <w:rPr>
          <w:rFonts w:hint="eastAsia" w:ascii="Times New Roman" w:hAnsi="Times New Roman" w:eastAsia="方正仿宋_GBK" w:cs="Times New Roman"/>
          <w:kern w:val="2"/>
          <w:sz w:val="32"/>
          <w:szCs w:val="32"/>
          <w:lang w:val="en-US" w:eastAsia="zh-CN" w:bidi="ar-SA"/>
        </w:rPr>
        <w:t>，实施融资担保奖补，降低</w:t>
      </w:r>
      <w:r>
        <w:rPr>
          <w:rFonts w:hint="default" w:ascii="Times New Roman" w:hAnsi="Times New Roman" w:eastAsia="方正仿宋_GBK" w:cs="Times New Roman"/>
          <w:color w:val="auto"/>
          <w:sz w:val="32"/>
          <w:szCs w:val="32"/>
        </w:rPr>
        <w:t>应急转贷使用费率至0.1‰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color w:val="auto"/>
          <w:kern w:val="0"/>
          <w:sz w:val="32"/>
          <w:szCs w:val="32"/>
          <w:lang w:val="en-US" w:eastAsia="zh-CN"/>
        </w:rPr>
        <w:t>设立民营小微企业首贷续贷中心，</w:t>
      </w:r>
      <w:r>
        <w:rPr>
          <w:rFonts w:hint="eastAsia" w:ascii="Times New Roman" w:hAnsi="Times New Roman" w:eastAsia="方正仿宋_GBK" w:cs="Times New Roman"/>
          <w:sz w:val="32"/>
          <w:szCs w:val="32"/>
        </w:rPr>
        <w:t>积极</w:t>
      </w:r>
      <w:r>
        <w:rPr>
          <w:rFonts w:ascii="Times New Roman" w:hAnsi="Times New Roman" w:eastAsia="方正仿宋_GBK" w:cs="Times New Roman"/>
          <w:sz w:val="32"/>
          <w:szCs w:val="32"/>
        </w:rPr>
        <w:t>宣传推广</w:t>
      </w:r>
      <w:r>
        <w:rPr>
          <w:rFonts w:hint="eastAsia" w:ascii="Times New Roman" w:hAnsi="Times New Roman" w:eastAsia="方正仿宋_GBK" w:cs="Times New Roman"/>
          <w:sz w:val="32"/>
          <w:szCs w:val="32"/>
          <w:lang w:val="en-US" w:eastAsia="zh-CN"/>
        </w:rPr>
        <w:t>“信易贷</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渝惠融”、“渝企金服”、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渝快融</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“长江融汇通”等平台，2022年</w:t>
      </w:r>
      <w:r>
        <w:rPr>
          <w:rFonts w:hint="default" w:ascii="Times New Roman" w:hAnsi="Times New Roman" w:eastAsia="方正仿宋_GBK" w:cs="Times New Roman"/>
          <w:sz w:val="32"/>
          <w:szCs w:val="32"/>
          <w:lang w:val="en-US" w:eastAsia="zh-CN"/>
        </w:rPr>
        <w:t>共计发放贷款</w:t>
      </w:r>
      <w:r>
        <w:rPr>
          <w:rFonts w:hint="eastAsia" w:ascii="Times New Roman" w:hAnsi="Times New Roman" w:eastAsia="方正仿宋_GBK" w:cs="Times New Roman"/>
          <w:sz w:val="32"/>
          <w:szCs w:val="32"/>
          <w:lang w:val="en-US" w:eastAsia="zh-CN"/>
        </w:rPr>
        <w:t>11.7</w:t>
      </w:r>
      <w:r>
        <w:rPr>
          <w:rFonts w:hint="default" w:ascii="Times New Roman" w:hAnsi="Times New Roman" w:eastAsia="方正仿宋_GBK" w:cs="Times New Roman"/>
          <w:sz w:val="32"/>
          <w:szCs w:val="32"/>
          <w:lang w:val="en-US" w:eastAsia="zh-CN"/>
        </w:rPr>
        <w:t>亿元</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方正仿宋_GBK"/>
          <w:color w:val="auto"/>
          <w:sz w:val="32"/>
          <w:szCs w:val="32"/>
          <w:lang w:val="en-US" w:eastAsia="zh-CN"/>
        </w:rPr>
        <w:t>创新推出</w:t>
      </w:r>
      <w:r>
        <w:rPr>
          <w:rFonts w:hint="default" w:ascii="Times New Roman" w:hAnsi="Times New Roman" w:eastAsia="方正仿宋_GBK" w:cs="方正仿宋_GBK"/>
          <w:color w:val="auto"/>
          <w:sz w:val="32"/>
          <w:szCs w:val="32"/>
          <w:lang w:val="en-US" w:eastAsia="zh-CN"/>
        </w:rPr>
        <w:t>银政企多向对接服务平台“惠金融”</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Times New Roman"/>
          <w:sz w:val="32"/>
          <w:szCs w:val="32"/>
          <w:lang w:val="en-US" w:eastAsia="zh-CN"/>
        </w:rPr>
        <w:t>已有</w:t>
      </w:r>
      <w:r>
        <w:rPr>
          <w:rFonts w:ascii="Times New Roman" w:hAnsi="Times New Roman" w:eastAsia="方正仿宋_GBK" w:cs="Times New Roman"/>
          <w:sz w:val="32"/>
          <w:szCs w:val="32"/>
        </w:rPr>
        <w:t>12083家民营企业入</w:t>
      </w:r>
      <w:r>
        <w:rPr>
          <w:rFonts w:hint="eastAsia" w:ascii="Times New Roman" w:hAnsi="Times New Roman" w:eastAsia="方正仿宋_GBK" w:cs="方正仿宋_GBK"/>
          <w:sz w:val="32"/>
          <w:szCs w:val="32"/>
        </w:rPr>
        <w:t>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实现线上融资</w:t>
      </w:r>
      <w:r>
        <w:rPr>
          <w:rFonts w:hint="eastAsia" w:ascii="Times New Roman" w:hAnsi="Times New Roman" w:eastAsia="方正仿宋_GBK" w:cs="Times New Roman"/>
          <w:sz w:val="32"/>
          <w:szCs w:val="32"/>
          <w:lang w:val="en-US" w:eastAsia="zh-CN"/>
        </w:rPr>
        <w:t>1.2亿</w:t>
      </w:r>
      <w:r>
        <w:rPr>
          <w:rFonts w:hint="default" w:ascii="Times New Roman" w:hAnsi="Times New Roman" w:eastAsia="方正仿宋_GBK" w:cs="Times New Roman"/>
          <w:sz w:val="32"/>
          <w:szCs w:val="32"/>
          <w:lang w:val="en-US" w:eastAsia="zh-CN"/>
        </w:rPr>
        <w:t>元</w:t>
      </w:r>
      <w:r>
        <w:rPr>
          <w:rFonts w:hint="eastAsia" w:ascii="Times New Roman" w:hAnsi="Times New Roman" w:eastAsia="方正仿宋_GBK" w:cs="Times New Roman"/>
          <w:sz w:val="32"/>
          <w:szCs w:val="32"/>
          <w:lang w:val="en-US" w:eastAsia="zh-CN"/>
        </w:rPr>
        <w:t>。加强金融产品服务创新，引导金融机构开发服务产品，2022年</w:t>
      </w:r>
      <w:r>
        <w:rPr>
          <w:rFonts w:hint="default" w:ascii="Times New Roman" w:hAnsi="Times New Roman" w:eastAsia="方正仿宋_GBK" w:cs="Times New Roman"/>
          <w:color w:val="auto"/>
          <w:sz w:val="32"/>
          <w:szCs w:val="32"/>
          <w:lang w:eastAsia="zh-CN"/>
        </w:rPr>
        <w:t>新增应收账款质押融资</w:t>
      </w:r>
      <w:r>
        <w:rPr>
          <w:rFonts w:hint="default" w:ascii="Times New Roman" w:hAnsi="Times New Roman" w:eastAsia="方正仿宋_GBK" w:cs="Times New Roman"/>
          <w:color w:val="auto"/>
          <w:sz w:val="32"/>
          <w:szCs w:val="32"/>
          <w:lang w:val="en-US" w:eastAsia="zh-CN"/>
        </w:rPr>
        <w:t>8.1亿元</w:t>
      </w:r>
      <w:r>
        <w:rPr>
          <w:rFonts w:hint="eastAsia" w:ascii="Times New Roman" w:hAnsi="Times New Roman" w:eastAsia="方正仿宋_GBK" w:cs="Times New Roman"/>
          <w:color w:val="auto"/>
          <w:sz w:val="32"/>
          <w:szCs w:val="32"/>
          <w:lang w:val="en-US" w:eastAsia="zh-CN"/>
        </w:rPr>
        <w:t>，发放</w:t>
      </w:r>
      <w:r>
        <w:rPr>
          <w:rFonts w:hint="default" w:ascii="Times New Roman" w:hAnsi="Times New Roman" w:eastAsia="方正仿宋_GBK" w:cs="Times New Roman"/>
          <w:color w:val="auto"/>
          <w:sz w:val="32"/>
          <w:szCs w:val="32"/>
          <w:u w:val="none"/>
          <w:lang w:eastAsia="zh-CN"/>
        </w:rPr>
        <w:t>知识价值信</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用贷款9630万元</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u w:val="none"/>
          <w14:textFill>
            <w14:solidFill>
              <w14:schemeClr w14:val="tx1"/>
            </w14:solidFill>
          </w14:textFill>
        </w:rPr>
        <w:t>创新“牲畜+农险+信贷”模式，发放活体</w:t>
      </w:r>
      <w:r>
        <w:rPr>
          <w:rFonts w:hint="eastAsia" w:ascii="Times New Roman" w:hAnsi="Times New Roman" w:eastAsia="方正仿宋_GBK" w:cs="方正仿宋_GBK"/>
          <w:color w:val="000000" w:themeColor="text1"/>
          <w:sz w:val="32"/>
          <w:szCs w:val="32"/>
          <w:u w:val="none"/>
          <w:lang w:eastAsia="zh-CN"/>
          <w14:textFill>
            <w14:solidFill>
              <w14:schemeClr w14:val="tx1"/>
            </w14:solidFill>
          </w14:textFill>
        </w:rPr>
        <w:t>抵押贷</w:t>
      </w:r>
      <w:r>
        <w:rPr>
          <w:rFonts w:hint="eastAsia" w:ascii="Times New Roman" w:hAnsi="Times New Roman" w:eastAsia="方正仿宋_GBK" w:cs="方正仿宋_GBK"/>
          <w:color w:val="000000" w:themeColor="text1"/>
          <w:sz w:val="32"/>
          <w:szCs w:val="32"/>
          <w:u w:val="none"/>
          <w:lang w:val="en-US" w:eastAsia="zh-CN"/>
          <w14:textFill>
            <w14:solidFill>
              <w14:schemeClr w14:val="tx1"/>
            </w14:solidFill>
          </w14:textFill>
        </w:rPr>
        <w:t>426.1</w:t>
      </w:r>
      <w:r>
        <w:rPr>
          <w:rFonts w:hint="default" w:ascii="Times New Roman" w:hAnsi="Times New Roman" w:eastAsia="方正仿宋_GBK" w:cs="Times New Roman"/>
          <w:color w:val="000000" w:themeColor="text1"/>
          <w:sz w:val="32"/>
          <w:szCs w:val="32"/>
          <w:u w:val="none"/>
          <w14:textFill>
            <w14:solidFill>
              <w14:schemeClr w14:val="tx1"/>
            </w14:solidFill>
          </w14:textFill>
        </w:rPr>
        <w:t>万</w:t>
      </w:r>
      <w:r>
        <w:rPr>
          <w:rFonts w:hint="eastAsia" w:ascii="Times New Roman" w:hAnsi="Times New Roman" w:eastAsia="方正仿宋_GBK" w:cs="方正仿宋_GBK"/>
          <w:color w:val="000000" w:themeColor="text1"/>
          <w:sz w:val="32"/>
          <w:szCs w:val="32"/>
          <w:u w:val="none"/>
          <w14:textFill>
            <w14:solidFill>
              <w14:schemeClr w14:val="tx1"/>
            </w14:solidFill>
          </w14:textFill>
        </w:rPr>
        <w:t>元。</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Autospacing="0" w:afterAutospacing="0" w:line="578" w:lineRule="exact"/>
        <w:ind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方正仿宋_GBK"/>
          <w:color w:val="000000" w:themeColor="text1"/>
          <w:sz w:val="32"/>
          <w:szCs w:val="32"/>
          <w:u w:val="none"/>
          <w:lang w:eastAsia="zh-CN"/>
          <w14:textFill>
            <w14:solidFill>
              <w14:schemeClr w14:val="tx1"/>
            </w14:solidFill>
          </w14:textFill>
        </w:rPr>
        <w:t>下一步，我们将</w:t>
      </w:r>
      <w:r>
        <w:rPr>
          <w:rFonts w:hint="eastAsia" w:ascii="Times New Roman" w:hAnsi="Times New Roman" w:eastAsia="方正仿宋_GBK"/>
          <w:color w:val="auto"/>
          <w:sz w:val="32"/>
          <w:szCs w:val="32"/>
          <w:lang w:val="en-US" w:eastAsia="zh-CN"/>
        </w:rPr>
        <w:t>持续</w:t>
      </w:r>
      <w:r>
        <w:rPr>
          <w:rFonts w:hint="eastAsia" w:ascii="Times New Roman" w:hAnsi="Times New Roman" w:eastAsia="方正仿宋_GBK" w:cs="方正仿宋_GBK"/>
          <w:color w:val="auto"/>
          <w:sz w:val="32"/>
          <w:szCs w:val="32"/>
          <w:lang w:val="en-US" w:eastAsia="zh-CN"/>
        </w:rPr>
        <w:t>完善民营企业融资配套政策，</w:t>
      </w:r>
      <w:r>
        <w:rPr>
          <w:rFonts w:hint="eastAsia" w:ascii="Times New Roman" w:hAnsi="Times New Roman" w:eastAsia="方正仿宋_GBK"/>
          <w:color w:val="auto"/>
          <w:sz w:val="32"/>
          <w:szCs w:val="32"/>
        </w:rPr>
        <w:t>引导和协调金融机构加大信贷支持，着力缓解</w:t>
      </w:r>
      <w:r>
        <w:rPr>
          <w:rFonts w:hint="eastAsia" w:ascii="Times New Roman" w:hAnsi="Times New Roman" w:eastAsia="方正仿宋_GBK"/>
          <w:color w:val="auto"/>
          <w:sz w:val="32"/>
          <w:szCs w:val="32"/>
          <w:lang w:val="en-US" w:eastAsia="zh-CN"/>
        </w:rPr>
        <w:t>民营</w:t>
      </w:r>
      <w:r>
        <w:rPr>
          <w:rFonts w:hint="eastAsia" w:ascii="Times New Roman" w:hAnsi="Times New Roman" w:eastAsia="方正仿宋_GBK"/>
          <w:color w:val="auto"/>
          <w:sz w:val="32"/>
          <w:szCs w:val="32"/>
        </w:rPr>
        <w:t>企业“融资难”等问题</w:t>
      </w:r>
      <w:r>
        <w:rPr>
          <w:rFonts w:hint="eastAsia" w:ascii="Times New Roman" w:hAnsi="Times New Roman" w:eastAsia="方正仿宋_GBK"/>
          <w:color w:val="auto"/>
          <w:sz w:val="32"/>
          <w:szCs w:val="32"/>
          <w:lang w:eastAsia="zh-CN"/>
        </w:rPr>
        <w:t>。一是</w:t>
      </w:r>
      <w:r>
        <w:rPr>
          <w:rFonts w:hint="eastAsia" w:ascii="Times New Roman" w:hAnsi="Times New Roman" w:eastAsia="方正仿宋_GBK"/>
          <w:color w:val="auto"/>
          <w:sz w:val="32"/>
          <w:szCs w:val="32"/>
        </w:rPr>
        <w:t>推进各类扶持政策落地见效。通过延期还本付息</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续贷续保帮助受困小企业</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运用降准、降息等手段把资金用到支持实体经济特别是中小微企业上。</w:t>
      </w:r>
      <w:r>
        <w:rPr>
          <w:rFonts w:hint="eastAsia" w:ascii="Times New Roman" w:hAnsi="Times New Roman" w:eastAsia="方正仿宋_GBK"/>
          <w:color w:val="auto"/>
          <w:sz w:val="32"/>
          <w:szCs w:val="32"/>
          <w:lang w:eastAsia="zh-CN"/>
        </w:rPr>
        <w:t>二是</w:t>
      </w:r>
      <w:r>
        <w:rPr>
          <w:rFonts w:hint="eastAsia" w:ascii="Times New Roman" w:hAnsi="Times New Roman" w:eastAsia="方正仿宋_GBK" w:cs="方正仿宋_GBK"/>
          <w:color w:val="000000"/>
          <w:kern w:val="0"/>
          <w:sz w:val="32"/>
          <w:szCs w:val="32"/>
          <w:lang w:val="en-US"/>
        </w:rPr>
        <w:t>推动各金融机构信贷资金向民营企业倾斜</w:t>
      </w:r>
      <w:r>
        <w:rPr>
          <w:rFonts w:hint="eastAsia" w:ascii="Times New Roman" w:hAnsi="Times New Roman" w:eastAsia="方正仿宋_GBK"/>
          <w:color w:val="auto"/>
          <w:sz w:val="32"/>
          <w:szCs w:val="32"/>
        </w:rPr>
        <w:t>，把银行业绩考核同支持民营经济发展挂钩，完善激励机制。</w:t>
      </w:r>
      <w:r>
        <w:rPr>
          <w:rFonts w:ascii="Times New Roman" w:hAnsi="Times New Roman" w:eastAsia="方正仿宋_GBK"/>
          <w:color w:val="auto"/>
          <w:sz w:val="32"/>
          <w:szCs w:val="32"/>
        </w:rPr>
        <w:t>对企业反映的融资需求，进行</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一对一</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协调</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eastAsia="zh-CN"/>
        </w:rPr>
        <w:t>全力满足</w:t>
      </w:r>
      <w:r>
        <w:rPr>
          <w:rFonts w:hint="eastAsia" w:ascii="Times New Roman" w:hAnsi="Times New Roman" w:eastAsia="方正仿宋_GBK"/>
          <w:color w:val="auto"/>
          <w:sz w:val="32"/>
          <w:szCs w:val="32"/>
        </w:rPr>
        <w:t>民营</w:t>
      </w:r>
      <w:r>
        <w:rPr>
          <w:rFonts w:hint="eastAsia" w:ascii="Times New Roman" w:hAnsi="Times New Roman" w:eastAsia="方正仿宋_GBK"/>
          <w:color w:val="auto"/>
          <w:sz w:val="32"/>
          <w:szCs w:val="32"/>
          <w:lang w:eastAsia="zh-CN"/>
        </w:rPr>
        <w:t>企业</w:t>
      </w:r>
      <w:r>
        <w:rPr>
          <w:rFonts w:hint="eastAsia" w:ascii="Times New Roman" w:hAnsi="Times New Roman" w:eastAsia="方正仿宋_GBK"/>
          <w:color w:val="auto"/>
          <w:sz w:val="32"/>
          <w:szCs w:val="32"/>
        </w:rPr>
        <w:t>融资需求</w:t>
      </w:r>
      <w:r>
        <w:rPr>
          <w:rFonts w:hint="eastAsia" w:ascii="Times New Roman" w:hAnsi="Times New Roman" w:eastAsia="方正仿宋_GBK"/>
          <w:color w:val="auto"/>
          <w:sz w:val="32"/>
          <w:szCs w:val="32"/>
          <w:lang w:eastAsia="zh-CN"/>
        </w:rPr>
        <w:t>。三是推进多层次资本市场体系建设，推动龙头企业上市融资，</w:t>
      </w:r>
      <w:r>
        <w:rPr>
          <w:rFonts w:hint="eastAsia" w:ascii="Times New Roman" w:hAnsi="Times New Roman" w:eastAsia="方正仿宋_GBK" w:cs="方正仿宋_GBK"/>
          <w:color w:val="000000"/>
          <w:kern w:val="0"/>
          <w:sz w:val="32"/>
          <w:szCs w:val="32"/>
          <w:lang w:val="en-US" w:eastAsia="zh-CN"/>
        </w:rPr>
        <w:t>积极引进</w:t>
      </w:r>
      <w:r>
        <w:rPr>
          <w:rFonts w:hint="eastAsia" w:ascii="Times New Roman" w:hAnsi="Times New Roman" w:eastAsia="方正仿宋_GBK" w:cs="方正仿宋_GBK"/>
          <w:color w:val="000000"/>
          <w:kern w:val="0"/>
          <w:sz w:val="32"/>
          <w:szCs w:val="32"/>
          <w:lang w:val="en-US"/>
        </w:rPr>
        <w:t>创业投资、私募股权投资等类投资机构，</w:t>
      </w:r>
      <w:r>
        <w:rPr>
          <w:rFonts w:hint="eastAsia" w:ascii="Times New Roman" w:hAnsi="Times New Roman" w:eastAsia="方正仿宋_GBK" w:cs="方正仿宋_GBK"/>
          <w:b w:val="0"/>
          <w:bCs w:val="0"/>
          <w:color w:val="auto"/>
          <w:sz w:val="32"/>
          <w:szCs w:val="32"/>
        </w:rPr>
        <w:t>提高实体企业直接融资能力</w:t>
      </w:r>
      <w:r>
        <w:rPr>
          <w:rFonts w:hint="eastAsia" w:ascii="Times New Roman" w:hAnsi="Times New Roman" w:eastAsia="方正仿宋_GBK" w:cs="方正仿宋_GBK"/>
          <w:b w:val="0"/>
          <w:bCs w:val="0"/>
          <w:color w:val="auto"/>
          <w:sz w:val="32"/>
          <w:szCs w:val="32"/>
          <w:lang w:eastAsia="zh-CN"/>
        </w:rPr>
        <w:t>。四是完善融资担保体系，</w:t>
      </w:r>
      <w:r>
        <w:rPr>
          <w:rFonts w:hint="eastAsia" w:ascii="Times New Roman" w:hAnsi="Times New Roman" w:eastAsia="方正仿宋_GBK" w:cs="Times New Roman"/>
          <w:kern w:val="2"/>
          <w:sz w:val="32"/>
          <w:szCs w:val="32"/>
          <w:lang w:val="en-US" w:eastAsia="zh-CN" w:bidi="ar-SA"/>
        </w:rPr>
        <w:t>推动动产担保统一登记系统试点，推进动产抵押登记信息化、规范化、便利化，创新优化动产融资担保等多样化融资产品，提高中小微企业信贷可获得性。</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Times New Roman" w:hAnsi="Times New Roman" w:eastAsia="方正黑体_GBK" w:cs="方正黑体_GBK"/>
          <w:color w:val="000000"/>
          <w:kern w:val="0"/>
          <w:sz w:val="32"/>
          <w:szCs w:val="32"/>
          <w:lang w:val="en-US" w:eastAsia="zh-CN"/>
        </w:rPr>
      </w:pPr>
      <w:r>
        <w:rPr>
          <w:rFonts w:hint="eastAsia" w:ascii="Times New Roman" w:hAnsi="Times New Roman" w:eastAsia="方正黑体_GBK" w:cs="方正黑体_GBK"/>
          <w:kern w:val="0"/>
          <w:sz w:val="32"/>
          <w:szCs w:val="32"/>
          <w:lang w:val="en-US" w:eastAsia="zh-CN" w:bidi="ar-SA"/>
        </w:rPr>
        <w:t>关于加快创新速度</w:t>
      </w:r>
    </w:p>
    <w:p>
      <w:pPr>
        <w:pStyle w:val="2"/>
        <w:keepNext w:val="0"/>
        <w:keepLines w:val="0"/>
        <w:pageBreakBefore w:val="0"/>
        <w:kinsoku/>
        <w:wordWrap/>
        <w:overflowPunct/>
        <w:topLinePunct w:val="0"/>
        <w:bidi w:val="0"/>
        <w:adjustRightInd/>
        <w:spacing w:after="0" w:line="578" w:lineRule="exact"/>
        <w:ind w:left="0" w:leftChars="0" w:firstLine="640" w:firstLineChars="200"/>
        <w:textAlignment w:val="auto"/>
        <w:rPr>
          <w:rFonts w:hint="eastAsia" w:ascii="Times New Roman" w:hAnsi="Times New Roman" w:eastAsia="方正仿宋_GBK" w:cstheme="minorBidi"/>
          <w:color w:val="auto"/>
          <w:kern w:val="2"/>
          <w:sz w:val="32"/>
          <w:szCs w:val="32"/>
          <w:lang w:val="en-US" w:eastAsia="zh-CN" w:bidi="ar-SA"/>
        </w:rPr>
      </w:pPr>
      <w:r>
        <w:rPr>
          <w:rFonts w:hint="eastAsia" w:ascii="Times New Roman" w:hAnsi="Times New Roman" w:eastAsia="方正仿宋_GBK" w:cstheme="minorBidi"/>
          <w:color w:val="auto"/>
          <w:kern w:val="2"/>
          <w:sz w:val="32"/>
          <w:szCs w:val="32"/>
          <w:lang w:val="en-US" w:eastAsia="zh-CN" w:bidi="ar-SA"/>
        </w:rPr>
        <w:t>习近平总书记在二十大报告中强调，必须坚持科技是第一生产力、人才是第一资源、创新是第一动力，深入实施科教兴国战略、人才强国战略、创新驱动发展战略，开辟发展新领域新赛道，不断塑造发展新动能新优势。近年来，全县深入学习贯彻习近平总书记关于做好新时代人才工作的重要思想，全面推进人才“引、育、留、用”提能升级，全力打造人才友好型城市，首期人才公寓正式启用，124名青年人才“拎包入住”，</w:t>
      </w:r>
      <w:r>
        <w:rPr>
          <w:rFonts w:hint="eastAsia" w:ascii="Times New Roman" w:hAnsi="Times New Roman" w:eastAsia="方正仿宋_GBK" w:cs="Times New Roman"/>
          <w:color w:val="000000" w:themeColor="text1"/>
          <w:sz w:val="32"/>
          <w:szCs w:val="32"/>
          <w:u w:val="none" w:color="auto"/>
          <w:lang w:val="en-US" w:eastAsia="zh-CN"/>
          <w14:textFill>
            <w14:solidFill>
              <w14:schemeClr w14:val="tx1"/>
            </w14:solidFill>
          </w14:textFill>
        </w:rPr>
        <w:t>常态化开展</w:t>
      </w:r>
      <w:r>
        <w:rPr>
          <w:rFonts w:hint="eastAsia" w:ascii="Times New Roman" w:hAnsi="Times New Roman" w:eastAsia="方正仿宋_GBK" w:cs="方正仿宋_GBK"/>
          <w:color w:val="000000" w:themeColor="text1"/>
          <w:sz w:val="32"/>
          <w:szCs w:val="32"/>
          <w:u w:val="none" w:color="auto"/>
          <w:lang w:val="en-US" w:eastAsia="zh-CN"/>
          <w14:textFill>
            <w14:solidFill>
              <w14:schemeClr w14:val="tx1"/>
            </w14:solidFill>
          </w14:textFill>
        </w:rPr>
        <w:t>县外优秀人才引进，</w:t>
      </w:r>
      <w:r>
        <w:rPr>
          <w:rFonts w:hint="eastAsia" w:ascii="Times New Roman" w:hAnsi="Times New Roman" w:eastAsia="方正仿宋_GBK" w:cs="Times New Roman"/>
          <w:color w:val="000000" w:themeColor="text1"/>
          <w:sz w:val="32"/>
          <w:szCs w:val="32"/>
          <w:u w:val="none" w:color="auto"/>
          <w:lang w:val="en-US" w:eastAsia="zh-CN"/>
          <w14:textFill>
            <w14:solidFill>
              <w14:schemeClr w14:val="tx1"/>
            </w14:solidFill>
          </w14:textFill>
        </w:rPr>
        <w:t>2022年</w:t>
      </w:r>
      <w:r>
        <w:rPr>
          <w:rFonts w:hint="default" w:ascii="Times New Roman" w:hAnsi="Times New Roman" w:eastAsia="方正仿宋_GBK" w:cs="Times New Roman"/>
          <w:color w:val="000000" w:themeColor="text1"/>
          <w:sz w:val="32"/>
          <w:szCs w:val="32"/>
          <w:u w:val="none" w:color="auto"/>
          <w:lang w:val="en-US" w:eastAsia="zh-CN"/>
          <w14:textFill>
            <w14:solidFill>
              <w14:schemeClr w14:val="tx1"/>
            </w14:solidFill>
          </w14:textFill>
        </w:rPr>
        <w:t>引进</w:t>
      </w:r>
      <w:r>
        <w:rPr>
          <w:rFonts w:hint="eastAsia" w:ascii="Times New Roman" w:hAnsi="Times New Roman" w:eastAsia="方正仿宋_GBK" w:cs="Times New Roman"/>
          <w:color w:val="000000" w:themeColor="text1"/>
          <w:sz w:val="32"/>
          <w:szCs w:val="32"/>
          <w:u w:val="none" w:color="auto"/>
          <w:lang w:val="en-US" w:eastAsia="zh-CN"/>
          <w14:textFill>
            <w14:solidFill>
              <w14:schemeClr w14:val="tx1"/>
            </w14:solidFill>
          </w14:textFill>
        </w:rPr>
        <w:t>高校毕业生1000余</w:t>
      </w:r>
      <w:r>
        <w:rPr>
          <w:rFonts w:hint="default" w:ascii="Times New Roman" w:hAnsi="Times New Roman" w:eastAsia="方正仿宋_GBK" w:cs="Times New Roman"/>
          <w:color w:val="000000" w:themeColor="text1"/>
          <w:sz w:val="32"/>
          <w:szCs w:val="32"/>
          <w:u w:val="none" w:color="auto"/>
          <w:lang w:val="en-US" w:eastAsia="zh-CN"/>
          <w14:textFill>
            <w14:solidFill>
              <w14:schemeClr w14:val="tx1"/>
            </w14:solidFill>
          </w14:textFill>
        </w:rPr>
        <w:t>名</w:t>
      </w:r>
      <w:r>
        <w:rPr>
          <w:rFonts w:hint="eastAsia" w:ascii="Times New Roman" w:hAnsi="Times New Roman" w:eastAsia="方正仿宋_GBK" w:cs="Times New Roman"/>
          <w:color w:val="000000" w:themeColor="text1"/>
          <w:sz w:val="32"/>
          <w:szCs w:val="32"/>
          <w:u w:val="none" w:color="auto"/>
          <w:lang w:val="en-US" w:eastAsia="zh-CN"/>
          <w14:textFill>
            <w14:solidFill>
              <w14:schemeClr w14:val="tx1"/>
            </w14:solidFill>
          </w14:textFill>
        </w:rPr>
        <w:t>，其中研究生以上学历紧缺人才200名，其它各类高层次人才140名，数量超前3年总和</w:t>
      </w:r>
      <w:r>
        <w:rPr>
          <w:rFonts w:hint="eastAsia" w:ascii="Times New Roman" w:hAnsi="Times New Roman" w:eastAsia="方正仿宋_GBK" w:cstheme="minorBidi"/>
          <w:color w:val="auto"/>
          <w:kern w:val="2"/>
          <w:sz w:val="32"/>
          <w:szCs w:val="32"/>
          <w:lang w:val="en-US" w:eastAsia="zh-CN" w:bidi="ar-SA"/>
        </w:rPr>
        <w:t>。强化科技创新驱动，举办科创中国·重庆双月论坛等活动，“三峡药材科技创新联盟”“三峡云海药业博士工作站”正式揭牌，成功入选国家知识产权强县建设试点县。</w:t>
      </w:r>
    </w:p>
    <w:p>
      <w:pPr>
        <w:pStyle w:val="2"/>
        <w:keepNext w:val="0"/>
        <w:keepLines w:val="0"/>
        <w:pageBreakBefore w:val="0"/>
        <w:kinsoku/>
        <w:wordWrap/>
        <w:overflowPunct/>
        <w:topLinePunct w:val="0"/>
        <w:bidi w:val="0"/>
        <w:adjustRightInd/>
        <w:spacing w:after="0" w:line="578" w:lineRule="exact"/>
        <w:ind w:left="0" w:leftChars="0" w:firstLine="640" w:firstLineChars="200"/>
        <w:textAlignment w:val="auto"/>
        <w:rPr>
          <w:rFonts w:hint="eastAsia" w:ascii="Times New Roman" w:hAnsi="Times New Roman" w:eastAsia="方正仿宋_GBK" w:cstheme="minorBidi"/>
          <w:color w:val="auto"/>
          <w:kern w:val="2"/>
          <w:sz w:val="32"/>
          <w:szCs w:val="32"/>
          <w:lang w:val="en-US" w:eastAsia="zh-CN" w:bidi="ar-SA"/>
        </w:rPr>
      </w:pPr>
      <w:r>
        <w:rPr>
          <w:rFonts w:hint="eastAsia" w:ascii="Times New Roman" w:hAnsi="Times New Roman" w:eastAsia="方正仿宋_GBK" w:cstheme="minorBidi"/>
          <w:color w:val="auto"/>
          <w:kern w:val="2"/>
          <w:sz w:val="32"/>
          <w:szCs w:val="32"/>
          <w:lang w:val="en-US" w:eastAsia="zh-CN" w:bidi="ar-SA"/>
        </w:rPr>
        <w:t>下一步，我们将</w:t>
      </w:r>
      <w:r>
        <w:rPr>
          <w:rFonts w:hint="eastAsia" w:ascii="Times New Roman" w:hAnsi="Times New Roman" w:eastAsia="方正仿宋_GBK" w:cs="方正仿宋_GBK"/>
          <w:color w:val="000000"/>
          <w:kern w:val="0"/>
          <w:sz w:val="32"/>
          <w:szCs w:val="32"/>
          <w:lang w:val="en-US" w:eastAsia="zh-CN"/>
        </w:rPr>
        <w:t>围绕“打造人才友好型城市、渝东北人才高地”目标，优化人才工作政策措施，聚焦“引育留用”各个环节，完善激励机制、优化评价体系、抓好服务保障，构建“近悦远来”人才生态。全面激发企业创新势能，</w:t>
      </w:r>
      <w:r>
        <w:rPr>
          <w:rFonts w:hint="eastAsia" w:ascii="Times New Roman" w:hAnsi="Times New Roman" w:eastAsia="方正仿宋_GBK"/>
          <w:sz w:val="32"/>
          <w:szCs w:val="32"/>
          <w:lang w:eastAsia="zh-CN"/>
        </w:rPr>
        <w:t>推动</w:t>
      </w:r>
      <w:r>
        <w:rPr>
          <w:rFonts w:ascii="Times New Roman" w:hAnsi="Times New Roman" w:eastAsia="方正仿宋_GBK"/>
          <w:sz w:val="32"/>
          <w:szCs w:val="32"/>
        </w:rPr>
        <w:t>重点</w:t>
      </w:r>
      <w:r>
        <w:rPr>
          <w:rFonts w:hint="eastAsia" w:ascii="Times New Roman" w:hAnsi="Times New Roman" w:eastAsia="方正仿宋_GBK"/>
          <w:sz w:val="32"/>
          <w:szCs w:val="32"/>
        </w:rPr>
        <w:t>工业</w:t>
      </w:r>
      <w:r>
        <w:rPr>
          <w:rFonts w:ascii="Times New Roman" w:hAnsi="Times New Roman" w:eastAsia="方正仿宋_GBK"/>
          <w:sz w:val="32"/>
          <w:szCs w:val="32"/>
        </w:rPr>
        <w:t>企业对接高校科研院所开展</w:t>
      </w:r>
      <w:r>
        <w:rPr>
          <w:rFonts w:hint="eastAsia" w:ascii="Times New Roman" w:hAnsi="Times New Roman" w:eastAsia="方正仿宋_GBK"/>
          <w:sz w:val="32"/>
          <w:szCs w:val="32"/>
        </w:rPr>
        <w:t>产学“研”协同创新</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实施国家高新技术企业培育计划，</w:t>
      </w:r>
      <w:r>
        <w:rPr>
          <w:rFonts w:hint="eastAsia" w:ascii="Times New Roman" w:hAnsi="Times New Roman" w:eastAsia="方正仿宋_GBK"/>
          <w:sz w:val="32"/>
          <w:szCs w:val="32"/>
        </w:rPr>
        <w:t>力争</w:t>
      </w: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年新培育国家高新技术企业10家以上</w:t>
      </w:r>
      <w:r>
        <w:rPr>
          <w:rFonts w:hint="eastAsia" w:ascii="Times New Roman" w:hAnsi="Times New Roman" w:eastAsia="方正仿宋_GBK"/>
          <w:sz w:val="32"/>
          <w:szCs w:val="32"/>
        </w:rPr>
        <w:t>，</w:t>
      </w:r>
      <w:r>
        <w:rPr>
          <w:rFonts w:ascii="Times New Roman" w:hAnsi="Times New Roman" w:eastAsia="方正仿宋_GBK"/>
          <w:sz w:val="32"/>
          <w:szCs w:val="32"/>
        </w:rPr>
        <w:t>市级科技型企业</w:t>
      </w:r>
      <w:r>
        <w:rPr>
          <w:rFonts w:hint="eastAsia" w:ascii="Times New Roman" w:hAnsi="Times New Roman" w:eastAsia="方正仿宋_GBK"/>
          <w:sz w:val="32"/>
          <w:szCs w:val="32"/>
        </w:rPr>
        <w:t>60</w:t>
      </w:r>
      <w:r>
        <w:rPr>
          <w:rFonts w:ascii="Times New Roman" w:hAnsi="Times New Roman" w:eastAsia="方正仿宋_GBK"/>
          <w:sz w:val="32"/>
          <w:szCs w:val="32"/>
        </w:rPr>
        <w:t>家以上</w:t>
      </w:r>
      <w:r>
        <w:rPr>
          <w:rFonts w:hint="eastAsia" w:ascii="Times New Roman" w:hAnsi="Times New Roman" w:eastAsia="方正仿宋_GBK"/>
          <w:sz w:val="32"/>
          <w:szCs w:val="32"/>
        </w:rPr>
        <w:t>，</w:t>
      </w:r>
      <w:r>
        <w:rPr>
          <w:rFonts w:ascii="Times New Roman" w:hAnsi="Times New Roman" w:eastAsia="方正仿宋_GBK"/>
          <w:sz w:val="32"/>
          <w:szCs w:val="32"/>
        </w:rPr>
        <w:t>推进规模以上工业企业研发机构全覆盖</w:t>
      </w:r>
      <w:r>
        <w:rPr>
          <w:rFonts w:hint="eastAsia" w:ascii="Times New Roman" w:hAnsi="Times New Roman" w:eastAsia="方正仿宋_GBK"/>
          <w:sz w:val="32"/>
          <w:szCs w:val="32"/>
          <w:lang w:eastAsia="zh-CN"/>
        </w:rPr>
        <w:t>。落实千亿工业高质量发展政策资金，</w:t>
      </w:r>
      <w:r>
        <w:rPr>
          <w:rFonts w:hint="eastAsia" w:ascii="Times New Roman" w:hAnsi="Times New Roman" w:eastAsia="方正仿宋_GBK" w:cs="Times New Roman"/>
          <w:color w:val="000000" w:themeColor="text1"/>
          <w:sz w:val="32"/>
          <w:szCs w:val="32"/>
          <w14:textFill>
            <w14:solidFill>
              <w14:schemeClr w14:val="tx1"/>
            </w14:solidFill>
          </w14:textFill>
        </w:rPr>
        <w:t>鼓励传统企业实施“机器换人”改造升级</w:t>
      </w:r>
      <w:r>
        <w:rPr>
          <w:rFonts w:hint="eastAsia" w:ascii="Times New Roman" w:hAnsi="Times New Roman" w:eastAsia="方正仿宋_GBK" w:cs="Times New Roman"/>
          <w:sz w:val="32"/>
          <w:szCs w:val="32"/>
        </w:rPr>
        <w:t>，持续推动企业“上云上平台”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000000" w:themeColor="text1"/>
          <w:sz w:val="32"/>
          <w:szCs w:val="32"/>
          <w14:textFill>
            <w14:solidFill>
              <w14:schemeClr w14:val="tx1"/>
            </w14:solidFill>
          </w14:textFill>
        </w:rPr>
        <w:t>打造更多“小巨人”企业、制造业“隐形”冠军企业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kern w:val="0"/>
          <w:sz w:val="32"/>
          <w:szCs w:val="32"/>
          <w:lang w:val="en-US"/>
        </w:rPr>
        <w:t>加强职业教育和技能培训，深度挖掘“云阳面工”劳务品牌价值，</w:t>
      </w:r>
      <w:r>
        <w:rPr>
          <w:rFonts w:hint="eastAsia" w:ascii="Times New Roman" w:hAnsi="Times New Roman" w:eastAsia="方正仿宋_GBK" w:cs="方正仿宋_GBK"/>
          <w:b w:val="0"/>
          <w:bCs w:val="0"/>
          <w:sz w:val="32"/>
          <w:szCs w:val="32"/>
        </w:rPr>
        <w:t>高质量举办职业技能大赛，推进市级技能大师工作室创建，打造“云阳工匠”技能人才品牌</w:t>
      </w:r>
      <w:r>
        <w:rPr>
          <w:rFonts w:hint="eastAsia" w:ascii="Times New Roman" w:hAnsi="Times New Roman" w:eastAsia="方正仿宋_GBK" w:cs="方正仿宋_GBK"/>
          <w:b w:val="0"/>
          <w:bCs w:val="0"/>
          <w:sz w:val="32"/>
          <w:szCs w:val="32"/>
          <w:lang w:eastAsia="zh-CN"/>
        </w:rPr>
        <w:t>，开展补贴性职业</w:t>
      </w:r>
      <w:r>
        <w:rPr>
          <w:rFonts w:hint="default" w:ascii="Times New Roman" w:hAnsi="Times New Roman" w:eastAsia="方正仿宋_GBK" w:cs="Times New Roman"/>
          <w:b w:val="0"/>
          <w:bCs w:val="0"/>
          <w:sz w:val="32"/>
          <w:szCs w:val="32"/>
        </w:rPr>
        <w:t>技能培训</w:t>
      </w:r>
      <w:r>
        <w:rPr>
          <w:rFonts w:hint="eastAsia" w:ascii="Times New Roman" w:hAnsi="Times New Roman" w:eastAsia="方正仿宋_GBK" w:cs="Times New Roman"/>
          <w:b w:val="0"/>
          <w:bCs w:val="0"/>
          <w:sz w:val="32"/>
          <w:szCs w:val="32"/>
          <w:lang w:val="en-US" w:eastAsia="zh-CN"/>
        </w:rPr>
        <w:t>8000</w:t>
      </w:r>
      <w:r>
        <w:rPr>
          <w:rFonts w:hint="default" w:ascii="Times New Roman" w:hAnsi="Times New Roman" w:eastAsia="方正仿宋_GBK" w:cs="Times New Roman"/>
          <w:b w:val="0"/>
          <w:bCs w:val="0"/>
          <w:sz w:val="32"/>
          <w:szCs w:val="32"/>
        </w:rPr>
        <w:t>人次</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方正仿宋_GBK"/>
          <w:b w:val="0"/>
          <w:bCs w:val="0"/>
          <w:sz w:val="32"/>
          <w:szCs w:val="32"/>
        </w:rPr>
        <w:t>着力壮大高技能人才队伍</w:t>
      </w:r>
      <w:r>
        <w:rPr>
          <w:rFonts w:hint="eastAsia" w:ascii="Times New Roman" w:hAnsi="Times New Roman" w:eastAsia="方正仿宋_GBK" w:cs="方正仿宋_GBK"/>
          <w:b w:val="0"/>
          <w:bCs w:val="0"/>
          <w:sz w:val="32"/>
          <w:szCs w:val="32"/>
          <w:lang w:eastAsia="zh-CN"/>
        </w:rPr>
        <w:t>。</w:t>
      </w:r>
    </w:p>
    <w:p>
      <w:pPr>
        <w:keepNext w:val="0"/>
        <w:keepLines w:val="0"/>
        <w:pageBreakBefore w:val="0"/>
        <w:kinsoku/>
        <w:wordWrap/>
        <w:overflowPunct/>
        <w:topLinePunct w:val="0"/>
        <w:bidi w:val="0"/>
        <w:adjustRightInd/>
        <w:spacing w:line="578" w:lineRule="exact"/>
        <w:ind w:firstLine="640" w:firstLineChars="200"/>
        <w:textAlignment w:val="auto"/>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四、关于优化发展环境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Times New Roman"/>
          <w:bCs/>
          <w:kern w:val="0"/>
          <w:sz w:val="32"/>
          <w:szCs w:val="32"/>
          <w:lang w:eastAsia="zh-CN"/>
        </w:rPr>
        <w:t>营商环境是企业生存发展的土壤。一直以来，我县全力打造市场化、法制化、国际化营商环境。推动民营企业平等参与市场竞争，</w:t>
      </w:r>
      <w:r>
        <w:rPr>
          <w:rFonts w:hint="eastAsia" w:ascii="Times New Roman" w:hAnsi="Times New Roman" w:eastAsia="方正仿宋_GBK" w:cs="Times New Roman"/>
          <w:bCs/>
          <w:kern w:val="0"/>
          <w:sz w:val="32"/>
          <w:szCs w:val="32"/>
        </w:rPr>
        <w:t>全面落实市场准入负面清单制度，建立完善公平竞争审查工作联席会议、部门内部审查、部门会审、举报处理和回应、第三方评估、督查评价六项制度</w:t>
      </w:r>
      <w:r>
        <w:rPr>
          <w:rFonts w:hint="eastAsia" w:ascii="Times New Roman" w:hAnsi="Times New Roman" w:eastAsia="方正仿宋_GBK" w:cs="Times New Roman"/>
          <w:bCs/>
          <w:kern w:val="0"/>
          <w:sz w:val="32"/>
          <w:szCs w:val="32"/>
          <w:lang w:eastAsia="zh-CN"/>
        </w:rPr>
        <w:t>，累计</w:t>
      </w:r>
      <w:r>
        <w:rPr>
          <w:rFonts w:hint="eastAsia" w:ascii="Times New Roman" w:hAnsi="Times New Roman" w:eastAsia="方正仿宋_GBK" w:cs="Times New Roman"/>
          <w:bCs/>
          <w:kern w:val="0"/>
          <w:sz w:val="32"/>
          <w:szCs w:val="32"/>
        </w:rPr>
        <w:t>清理废除含有地方保护、市场分割、指定交易等妨碍限制统一市场和公平竞争的文件65份</w:t>
      </w:r>
      <w:r>
        <w:rPr>
          <w:rFonts w:hint="eastAsia" w:ascii="Times New Roman" w:hAnsi="Times New Roman" w:cs="Times New Roman"/>
          <w:bCs/>
          <w:kern w:val="0"/>
          <w:sz w:val="32"/>
          <w:szCs w:val="32"/>
          <w:lang w:eastAsia="zh-CN"/>
        </w:rPr>
        <w:t>、</w:t>
      </w:r>
      <w:r>
        <w:rPr>
          <w:rFonts w:hint="eastAsia" w:ascii="Times New Roman" w:hAnsi="Times New Roman" w:eastAsia="方正仿宋_GBK" w:cs="Times New Roman"/>
          <w:bCs/>
          <w:kern w:val="0"/>
          <w:sz w:val="32"/>
          <w:szCs w:val="32"/>
        </w:rPr>
        <w:t>政策措施706项</w:t>
      </w:r>
      <w:r>
        <w:rPr>
          <w:rFonts w:hint="eastAsia" w:ascii="Times New Roman" w:hAnsi="Times New Roman" w:eastAsia="方正仿宋_GBK" w:cs="Times New Roman"/>
          <w:bCs/>
          <w:kern w:val="0"/>
          <w:sz w:val="32"/>
          <w:szCs w:val="32"/>
          <w:lang w:eastAsia="zh-CN"/>
        </w:rPr>
        <w:t>。创新监管机制，</w:t>
      </w:r>
      <w:r>
        <w:rPr>
          <w:rFonts w:hint="eastAsia" w:ascii="Times New Roman" w:hAnsi="Times New Roman" w:eastAsia="方正仿宋_GBK" w:cs="方正仿宋_GBK"/>
          <w:sz w:val="32"/>
          <w:szCs w:val="32"/>
          <w:shd w:val="clear" w:color="auto" w:fill="FFFFFF"/>
        </w:rPr>
        <w:t>成立“双随机、一公开”监管工作联席会议制度，印发实施细则，形成</w:t>
      </w:r>
      <w:r>
        <w:rPr>
          <w:rFonts w:hint="eastAsia" w:ascii="Times New Roman" w:hAnsi="Times New Roman" w:eastAsia="方正仿宋_GBK" w:cs="方正仿宋_GBK"/>
          <w:sz w:val="32"/>
          <w:szCs w:val="32"/>
          <w:shd w:val="clear" w:color="auto" w:fill="FFFFFF"/>
          <w:lang w:eastAsia="zh-CN"/>
        </w:rPr>
        <w:t>了</w:t>
      </w:r>
      <w:r>
        <w:rPr>
          <w:rFonts w:hint="eastAsia" w:ascii="Times New Roman" w:hAnsi="Times New Roman" w:eastAsia="方正仿宋_GBK" w:cs="方正仿宋_GBK"/>
          <w:sz w:val="32"/>
          <w:szCs w:val="32"/>
          <w:shd w:val="clear" w:color="auto" w:fill="FFFFFF"/>
        </w:rPr>
        <w:t>以“双随机、一公开”监管为基本手段，重点监管为补充、信用监管为基础的新型监管机制。以“数字化”为引擎推动营商环境持续优化</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Times New Roman"/>
          <w:bCs/>
          <w:kern w:val="0"/>
          <w:sz w:val="32"/>
          <w:szCs w:val="32"/>
          <w:highlight w:val="none"/>
          <w:u w:val="none"/>
          <w:lang w:eastAsia="zh-CN"/>
        </w:rPr>
        <w:t>发布云上营商数字化治理平台，“一件事一次办”深入推行，“不动产+水电气”联办过户、“司法专递面单电子化”纳入市级试点，营商环境工作获市政府督查激励。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sz w:val="32"/>
          <w:szCs w:val="32"/>
          <w:lang w:eastAsia="zh-CN"/>
        </w:rPr>
        <w:t>下一步，我们将持续优化营商环境，</w:t>
      </w:r>
      <w:r>
        <w:rPr>
          <w:rFonts w:hint="eastAsia" w:ascii="Times New Roman" w:hAnsi="Times New Roman" w:eastAsia="方正仿宋_GBK" w:cs="方正仿宋_GBK"/>
          <w:color w:val="000000"/>
          <w:kern w:val="0"/>
          <w:sz w:val="32"/>
          <w:szCs w:val="32"/>
          <w:lang w:val="en-US" w:eastAsia="zh-CN"/>
        </w:rPr>
        <w:t>强化公平竞争审查，持续清理废除一批妨碍统一市场和公平竞争的政策文件，加快出台《云阳县破除市场各种隐性壁垒工作方案》，开展重点领域反不正当竞争执法工作，维护公平竞争的市场秩序。</w:t>
      </w:r>
      <w:r>
        <w:rPr>
          <w:rFonts w:hint="eastAsia" w:ascii="Times New Roman" w:hAnsi="Times New Roman" w:eastAsia="方正仿宋_GBK"/>
          <w:spacing w:val="8"/>
          <w:sz w:val="32"/>
          <w:szCs w:val="32"/>
          <w:shd w:val="clear" w:color="auto" w:fill="FFFFFF"/>
        </w:rPr>
        <w:t>树立“无事不扰、靠前服务”的监管理念，</w:t>
      </w:r>
      <w:r>
        <w:rPr>
          <w:rFonts w:hint="eastAsia" w:ascii="Times New Roman" w:hAnsi="Times New Roman" w:eastAsia="方正仿宋_GBK" w:cs="Times New Roman"/>
          <w:color w:val="000000"/>
          <w:sz w:val="32"/>
          <w:szCs w:val="32"/>
        </w:rPr>
        <w:t>实施公正监管，减少重复执法。进一步加强“互联网+监管”平台的推广力度，持续深入推进“双随机、一公开”监管、智慧监管，</w:t>
      </w:r>
      <w:r>
        <w:rPr>
          <w:rFonts w:hint="eastAsia" w:ascii="Times New Roman" w:hAnsi="Times New Roman" w:eastAsia="方正仿宋_GBK" w:cs="Times New Roman"/>
          <w:color w:val="000000"/>
          <w:sz w:val="32"/>
          <w:szCs w:val="32"/>
          <w:lang w:eastAsia="zh-CN"/>
        </w:rPr>
        <w:t>建立政府、企业“面对面”沟通交流机制。</w:t>
      </w:r>
      <w:r>
        <w:rPr>
          <w:rFonts w:hint="eastAsia" w:ascii="Times New Roman" w:hAnsi="Times New Roman" w:eastAsia="方正仿宋_GBK" w:cs="Times New Roman"/>
          <w:sz w:val="32"/>
          <w:szCs w:val="32"/>
          <w:highlight w:val="none"/>
          <w:lang w:val="en-US" w:eastAsia="zh-CN"/>
        </w:rPr>
        <w:t>提档升级云上营商数字化治理平台，打造“一件事一次办”套餐10个以上，全面建设“机制最顺、治理最智、效率最高、服务最好、法治最优”的营商环境。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方正仿宋_GBK"/>
          <w:sz w:val="32"/>
          <w:szCs w:val="32"/>
          <w:lang w:eastAsia="zh-CN"/>
        </w:rPr>
        <w:t>衷心感谢您对我们工作的关注和支持，</w:t>
      </w:r>
      <w:r>
        <w:rPr>
          <w:rFonts w:hint="eastAsia" w:ascii="Times New Roman" w:hAnsi="Times New Roman" w:eastAsia="方正仿宋_GBK" w:cs="方正仿宋_GBK"/>
          <w:sz w:val="32"/>
          <w:szCs w:val="32"/>
        </w:rPr>
        <w:t>此复函已经</w:t>
      </w:r>
      <w:r>
        <w:rPr>
          <w:rFonts w:hint="eastAsia" w:ascii="Times New Roman" w:hAnsi="Times New Roman" w:eastAsia="方正仿宋_GBK" w:cs="方正仿宋_GBK"/>
          <w:sz w:val="32"/>
          <w:szCs w:val="32"/>
          <w:lang w:val="en-US" w:eastAsia="zh-CN"/>
        </w:rPr>
        <w:t>戴建军主任</w:t>
      </w:r>
      <w:r>
        <w:rPr>
          <w:rFonts w:hint="eastAsia" w:ascii="Times New Roman" w:hAnsi="Times New Roman" w:eastAsia="方正仿宋_GBK" w:cs="方正仿宋_GBK"/>
          <w:sz w:val="32"/>
          <w:szCs w:val="32"/>
        </w:rPr>
        <w:t>审签。对以上答复</w:t>
      </w:r>
      <w:r>
        <w:rPr>
          <w:rFonts w:hint="eastAsia" w:ascii="Times New Roman" w:hAnsi="Times New Roman" w:eastAsia="方正仿宋_GBK" w:cs="方正仿宋_GBK"/>
          <w:sz w:val="32"/>
          <w:szCs w:val="32"/>
          <w:lang w:eastAsia="zh-CN"/>
        </w:rPr>
        <w:t>的</w:t>
      </w:r>
      <w:r>
        <w:rPr>
          <w:rFonts w:hint="eastAsia" w:ascii="Times New Roman" w:hAnsi="Times New Roman" w:eastAsia="方正仿宋_GBK" w:cs="方正仿宋_GBK"/>
          <w:sz w:val="32"/>
          <w:szCs w:val="32"/>
        </w:rPr>
        <w:t>意见，请</w:t>
      </w:r>
      <w:r>
        <w:rPr>
          <w:rFonts w:hint="eastAsia" w:ascii="Times New Roman" w:hAnsi="Times New Roman" w:eastAsia="方正仿宋_GBK" w:cs="方正仿宋_GBK"/>
          <w:sz w:val="32"/>
          <w:szCs w:val="32"/>
          <w:lang w:eastAsia="zh-CN"/>
        </w:rPr>
        <w:t>您及时通过</w:t>
      </w:r>
      <w:r>
        <w:rPr>
          <w:rFonts w:hint="eastAsia" w:ascii="Times New Roman" w:hAnsi="Times New Roman" w:eastAsia="方正仿宋_GBK" w:cs="方正仿宋_GBK"/>
          <w:sz w:val="32"/>
          <w:szCs w:val="32"/>
        </w:rPr>
        <w:t>填写回执</w:t>
      </w:r>
      <w:r>
        <w:rPr>
          <w:rFonts w:hint="eastAsia" w:ascii="Times New Roman" w:hAnsi="Times New Roman" w:eastAsia="方正仿宋_GBK" w:cs="方正仿宋_GBK"/>
          <w:sz w:val="32"/>
          <w:szCs w:val="32"/>
          <w:lang w:eastAsia="zh-CN"/>
        </w:rPr>
        <w:t>反馈</w:t>
      </w:r>
      <w:r>
        <w:rPr>
          <w:rFonts w:hint="eastAsia" w:ascii="Times New Roman" w:hAnsi="Times New Roman" w:eastAsia="方正仿宋_GBK" w:cs="方正仿宋_GBK"/>
          <w:sz w:val="32"/>
          <w:szCs w:val="32"/>
        </w:rPr>
        <w:t>县政协提案委，以便进一步改进工作。</w:t>
      </w:r>
    </w:p>
    <w:p>
      <w:pPr>
        <w:keepNext w:val="0"/>
        <w:keepLines w:val="0"/>
        <w:pageBreakBefore w:val="0"/>
        <w:widowControl w:val="0"/>
        <w:kinsoku/>
        <w:wordWrap/>
        <w:overflowPunct/>
        <w:topLinePunct w:val="0"/>
        <w:autoSpaceDE/>
        <w:autoSpaceDN/>
        <w:bidi w:val="0"/>
        <w:adjustRightInd/>
        <w:snapToGrid/>
        <w:spacing w:line="578" w:lineRule="exact"/>
        <w:rPr>
          <w:rFonts w:hint="default" w:ascii="Times New Roman" w:hAnsi="Times New Roman" w:eastAsia="方正仿宋_GBK" w:cs="Times New Roman"/>
          <w:sz w:val="32"/>
          <w:szCs w:val="32"/>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578" w:lineRule="exact"/>
        <w:ind w:firstLine="4320" w:firstLineChars="135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云阳县</w:t>
      </w:r>
      <w:r>
        <w:rPr>
          <w:rFonts w:hint="default" w:ascii="Times New Roman" w:hAnsi="Times New Roman" w:eastAsia="方正仿宋_GBK" w:cs="Times New Roman"/>
          <w:sz w:val="32"/>
          <w:szCs w:val="32"/>
          <w:lang w:eastAsia="zh-CN"/>
        </w:rPr>
        <w:t>发展和改革委员会</w:t>
      </w:r>
    </w:p>
    <w:p>
      <w:pPr>
        <w:keepNext w:val="0"/>
        <w:keepLines w:val="0"/>
        <w:pageBreakBefore w:val="0"/>
        <w:widowControl w:val="0"/>
        <w:kinsoku/>
        <w:wordWrap/>
        <w:overflowPunct/>
        <w:topLinePunct w:val="0"/>
        <w:autoSpaceDE/>
        <w:autoSpaceDN/>
        <w:bidi w:val="0"/>
        <w:adjustRightInd/>
        <w:snapToGrid/>
        <w:spacing w:line="578" w:lineRule="exact"/>
        <w:ind w:firstLine="4960" w:firstLineChars="1550"/>
        <w:rPr>
          <w:rFonts w:hint="default" w:ascii="Times New Roman" w:hAnsi="Times New Roman" w:eastAsia="方正仿宋_GBK" w:cs="Times New Roman"/>
          <w:szCs w:val="22"/>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55129461</w:t>
      </w: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张呈秋</w:t>
      </w:r>
      <w:r>
        <w:rPr>
          <w:rFonts w:hint="default" w:ascii="Times New Roman" w:hAnsi="Times New Roman" w:eastAsia="方正仿宋_GBK" w:cs="Times New Roman"/>
          <w:sz w:val="32"/>
          <w:szCs w:val="32"/>
        </w:rPr>
        <w:t>）</w:t>
      </w:r>
    </w:p>
    <w:p>
      <w:pPr>
        <w:pStyle w:val="11"/>
        <w:keepNext w:val="0"/>
        <w:keepLines w:val="0"/>
        <w:pageBreakBefore w:val="0"/>
        <w:kinsoku/>
        <w:wordWrap/>
        <w:overflowPunct/>
        <w:topLinePunct w:val="0"/>
        <w:bidi w:val="0"/>
        <w:adjustRightInd/>
        <w:spacing w:before="0" w:after="0" w:line="578"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adjustRightInd/>
        <w:spacing w:line="578" w:lineRule="exact"/>
        <w:rPr>
          <w:rFonts w:hint="default" w:ascii="Times New Roman" w:hAnsi="Times New Roman" w:eastAsia="方正仿宋_GBK" w:cs="Times New Roman"/>
          <w:sz w:val="32"/>
          <w:szCs w:val="32"/>
        </w:rPr>
      </w:pPr>
    </w:p>
    <w:p>
      <w:pPr>
        <w:pStyle w:val="11"/>
        <w:keepNext w:val="0"/>
        <w:keepLines w:val="0"/>
        <w:pageBreakBefore w:val="0"/>
        <w:kinsoku/>
        <w:wordWrap/>
        <w:overflowPunct/>
        <w:topLinePunct w:val="0"/>
        <w:bidi w:val="0"/>
        <w:adjustRightInd/>
        <w:spacing w:before="0" w:after="0" w:line="578"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adjustRightInd/>
        <w:spacing w:line="578" w:lineRule="exact"/>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bidi w:val="0"/>
        <w:adjustRightInd/>
        <w:spacing w:after="0" w:line="578" w:lineRule="exact"/>
        <w:rPr>
          <w:rFonts w:hint="default" w:ascii="Times New Roman" w:hAnsi="Times New Roman"/>
        </w:rPr>
      </w:pPr>
    </w:p>
    <w:p>
      <w:pPr>
        <w:pStyle w:val="11"/>
        <w:keepNext w:val="0"/>
        <w:keepLines w:val="0"/>
        <w:pageBreakBefore w:val="0"/>
        <w:kinsoku/>
        <w:wordWrap/>
        <w:overflowPunct/>
        <w:topLinePunct w:val="0"/>
        <w:bidi w:val="0"/>
        <w:adjustRightInd/>
        <w:spacing w:before="0" w:after="0" w:line="578" w:lineRule="exact"/>
        <w:rPr>
          <w:rFonts w:hint="default" w:ascii="Times New Roman" w:hAnsi="Times New Roman" w:eastAsia="方正仿宋_GBK"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after="0" w:line="578" w:lineRule="exact"/>
        <w:jc w:val="both"/>
        <w:textAlignment w:val="baseline"/>
        <w:rPr>
          <w:rFonts w:hint="default" w:ascii="Times New Roman" w:hAnsi="Times New Roman"/>
          <w:lang w:eastAsia="zh-CN"/>
        </w:rPr>
      </w:pPr>
    </w:p>
    <w:p>
      <w:pPr>
        <w:keepNext w:val="0"/>
        <w:keepLines w:val="0"/>
        <w:pageBreakBefore w:val="0"/>
        <w:kinsoku/>
        <w:wordWrap/>
        <w:overflowPunct/>
        <w:topLinePunct w:val="0"/>
        <w:bidi w:val="0"/>
        <w:adjustRightInd/>
        <w:spacing w:line="578" w:lineRule="exact"/>
        <w:rPr>
          <w:rFonts w:hint="default" w:ascii="Times New Roman" w:hAnsi="Times New Roman"/>
          <w:lang w:eastAsia="zh-CN"/>
        </w:rPr>
      </w:pPr>
    </w:p>
    <w:p>
      <w:pPr>
        <w:pStyle w:val="2"/>
        <w:rPr>
          <w:rFonts w:hint="default" w:ascii="Times New Roman" w:hAnsi="Times New Roman"/>
          <w:lang w:eastAsia="zh-CN"/>
        </w:rPr>
      </w:pPr>
    </w:p>
    <w:p>
      <w:pPr>
        <w:pStyle w:val="2"/>
        <w:rPr>
          <w:rFonts w:hint="default" w:ascii="Times New Roman" w:hAnsi="Times New Roman"/>
          <w:lang w:eastAsia="zh-CN"/>
        </w:rPr>
      </w:pPr>
    </w:p>
    <w:p>
      <w:pPr>
        <w:pStyle w:val="11"/>
        <w:keepNext w:val="0"/>
        <w:keepLines w:val="0"/>
        <w:pageBreakBefore w:val="0"/>
        <w:kinsoku/>
        <w:wordWrap/>
        <w:overflowPunct/>
        <w:topLinePunct w:val="0"/>
        <w:bidi w:val="0"/>
        <w:adjustRightInd/>
        <w:spacing w:before="0" w:after="0" w:line="578" w:lineRule="exact"/>
        <w:jc w:val="both"/>
        <w:rPr>
          <w:rFonts w:hint="default" w:ascii="Times New Roman" w:hAnsi="Times New Roman"/>
          <w:lang w:eastAsia="zh-CN"/>
        </w:rPr>
      </w:pPr>
    </w:p>
    <w:p>
      <w:pPr>
        <w:pStyle w:val="11"/>
        <w:keepNext w:val="0"/>
        <w:keepLines w:val="0"/>
        <w:pageBreakBefore w:val="0"/>
        <w:widowControl w:val="0"/>
        <w:kinsoku/>
        <w:wordWrap/>
        <w:overflowPunct/>
        <w:topLinePunct w:val="0"/>
        <w:autoSpaceDE/>
        <w:autoSpaceDN/>
        <w:bidi w:val="0"/>
        <w:adjustRightInd/>
        <w:snapToGrid/>
        <w:spacing w:before="0" w:after="0" w:line="578" w:lineRule="exact"/>
        <w:ind w:firstLine="292" w:firstLineChars="100"/>
        <w:jc w:val="both"/>
        <w:textAlignment w:val="baseline"/>
        <w:rPr>
          <w:rFonts w:ascii="Times New Roman" w:hAnsi="Times New Roman"/>
          <w:b w:val="0"/>
          <w:bCs w:val="0"/>
          <w:sz w:val="28"/>
          <w:szCs w:val="28"/>
        </w:rPr>
      </w:pPr>
      <w:r>
        <w:rPr>
          <w:rFonts w:hint="default" w:ascii="Times New Roman" w:hAnsi="Times New Roman" w:eastAsia="方正仿宋_GBK" w:cs="Times New Roman"/>
          <w:b w:val="0"/>
          <w:bCs w:val="0"/>
          <w:spacing w:val="6"/>
          <w:sz w:val="28"/>
          <w:szCs w:val="28"/>
          <w:lang w:eastAsia="zh-CN"/>
        </w:rPr>
        <w:t>抄送：县委督查办</w:t>
      </w:r>
      <w:r>
        <w:rPr>
          <w:rFonts w:hint="eastAsia" w:ascii="Times New Roman" w:hAnsi="Times New Roman" w:eastAsia="方正仿宋_GBK" w:cs="Times New Roman"/>
          <w:b w:val="0"/>
          <w:bCs w:val="0"/>
          <w:spacing w:val="6"/>
          <w:sz w:val="28"/>
          <w:szCs w:val="28"/>
          <w:lang w:eastAsia="zh-CN"/>
        </w:rPr>
        <w:t>，</w:t>
      </w:r>
      <w:r>
        <w:rPr>
          <w:rFonts w:hint="eastAsia" w:ascii="Times New Roman" w:hAnsi="Times New Roman" w:eastAsia="方正仿宋_GBK"/>
          <w:b w:val="0"/>
          <w:bCs w:val="0"/>
          <w:sz w:val="28"/>
          <w:szCs w:val="28"/>
        </w:rPr>
        <w:t>县政府督查办，县政协提案委。</w:t>
      </w:r>
    </w:p>
    <w:sectPr>
      <w:footerReference r:id="rId3" w:type="default"/>
      <w:pgSz w:w="11906" w:h="16838"/>
      <w:pgMar w:top="2098" w:right="1531" w:bottom="1417" w:left="1531" w:header="851" w:footer="340"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keepNext w:val="0"/>
                            <w:keepLines w:val="0"/>
                            <w:pageBreakBefore w:val="0"/>
                            <w:widowControl w:val="0"/>
                            <w:kinsoku/>
                            <w:wordWrap/>
                            <w:overflowPunct/>
                            <w:topLinePunct w:val="0"/>
                            <w:autoSpaceDE/>
                            <w:autoSpaceDN/>
                            <w:bidi w:val="0"/>
                            <w:adjustRightInd/>
                            <w:snapToGrid w:val="0"/>
                            <w:ind w:right="315" w:rightChars="150" w:firstLine="280" w:firstLine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right="315" w:rightChars="150" w:firstLine="280" w:firstLine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B1732"/>
    <w:multiLevelType w:val="singleLevel"/>
    <w:tmpl w:val="043B1732"/>
    <w:lvl w:ilvl="0" w:tentative="0">
      <w:start w:val="2"/>
      <w:numFmt w:val="chineseCounting"/>
      <w:suff w:val="nothing"/>
      <w:lvlText w:val="%1、"/>
      <w:lvlJc w:val="left"/>
      <w:rPr>
        <w:rFonts w:hint="eastAsia" w:ascii="方正黑体_GBK" w:hAnsi="方正黑体_GBK" w:eastAsia="方正黑体_GBK" w:cs="方正黑体_GBK"/>
        <w:sz w:val="32"/>
        <w:szCs w:val="32"/>
      </w:rPr>
    </w:lvl>
  </w:abstractNum>
  <w:abstractNum w:abstractNumId="1">
    <w:nsid w:val="64E89D04"/>
    <w:multiLevelType w:val="singleLevel"/>
    <w:tmpl w:val="64E89D04"/>
    <w:lvl w:ilvl="0" w:tentative="0">
      <w:start w:val="1"/>
      <w:numFmt w:val="chineseCounting"/>
      <w:suff w:val="nothing"/>
      <w:lvlText w:val="%1、"/>
      <w:lvlJc w:val="left"/>
      <w:rPr>
        <w:rFonts w:hint="eastAsia" w:ascii="方正黑体_GBK" w:hAnsi="方正黑体_GBK" w:eastAsia="方正黑体_GBK" w:cs="方正黑体_GBK"/>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4F5497"/>
    <w:rsid w:val="00314B8F"/>
    <w:rsid w:val="004F5497"/>
    <w:rsid w:val="00A97CFB"/>
    <w:rsid w:val="00E60825"/>
    <w:rsid w:val="01D045E6"/>
    <w:rsid w:val="02FF7BF3"/>
    <w:rsid w:val="035E4919"/>
    <w:rsid w:val="05571F68"/>
    <w:rsid w:val="08514A4D"/>
    <w:rsid w:val="0A6A44EC"/>
    <w:rsid w:val="0ADF3032"/>
    <w:rsid w:val="0B6D4294"/>
    <w:rsid w:val="0CF12CA2"/>
    <w:rsid w:val="0D951880"/>
    <w:rsid w:val="0FE812B5"/>
    <w:rsid w:val="10CA5CE4"/>
    <w:rsid w:val="10CD1330"/>
    <w:rsid w:val="110C507B"/>
    <w:rsid w:val="116752E1"/>
    <w:rsid w:val="11951E4E"/>
    <w:rsid w:val="11BE3ED0"/>
    <w:rsid w:val="155846CA"/>
    <w:rsid w:val="17DF08A2"/>
    <w:rsid w:val="186F61CD"/>
    <w:rsid w:val="1BAD248A"/>
    <w:rsid w:val="1C4210C4"/>
    <w:rsid w:val="1C6C5EA1"/>
    <w:rsid w:val="1D282F27"/>
    <w:rsid w:val="1DA72B46"/>
    <w:rsid w:val="200F54C2"/>
    <w:rsid w:val="21257E14"/>
    <w:rsid w:val="269A360B"/>
    <w:rsid w:val="27E32A7D"/>
    <w:rsid w:val="29947356"/>
    <w:rsid w:val="2B0674C1"/>
    <w:rsid w:val="2B41674B"/>
    <w:rsid w:val="2B6C7C6C"/>
    <w:rsid w:val="2C90798A"/>
    <w:rsid w:val="2D144117"/>
    <w:rsid w:val="2E755089"/>
    <w:rsid w:val="2ECD27D0"/>
    <w:rsid w:val="2F042DD8"/>
    <w:rsid w:val="306E1D90"/>
    <w:rsid w:val="30847806"/>
    <w:rsid w:val="31B00187"/>
    <w:rsid w:val="32C444C9"/>
    <w:rsid w:val="32CC6782"/>
    <w:rsid w:val="335A484E"/>
    <w:rsid w:val="33D95773"/>
    <w:rsid w:val="340B2ADF"/>
    <w:rsid w:val="345474EF"/>
    <w:rsid w:val="34E67BB8"/>
    <w:rsid w:val="351729F7"/>
    <w:rsid w:val="35325A82"/>
    <w:rsid w:val="358A766C"/>
    <w:rsid w:val="35B244CD"/>
    <w:rsid w:val="35DF103A"/>
    <w:rsid w:val="362D624A"/>
    <w:rsid w:val="37C16EFA"/>
    <w:rsid w:val="37F7294D"/>
    <w:rsid w:val="3AF963A7"/>
    <w:rsid w:val="3C137C90"/>
    <w:rsid w:val="3CEE4E4D"/>
    <w:rsid w:val="40A95282"/>
    <w:rsid w:val="41EE4ADF"/>
    <w:rsid w:val="42415557"/>
    <w:rsid w:val="432F3601"/>
    <w:rsid w:val="437C3AD0"/>
    <w:rsid w:val="450C7399"/>
    <w:rsid w:val="46DF7AE0"/>
    <w:rsid w:val="4723792D"/>
    <w:rsid w:val="481132D5"/>
    <w:rsid w:val="4814136D"/>
    <w:rsid w:val="4A227A1C"/>
    <w:rsid w:val="4A282B58"/>
    <w:rsid w:val="4AA6014D"/>
    <w:rsid w:val="4D935C93"/>
    <w:rsid w:val="4EA8070C"/>
    <w:rsid w:val="4EE47996"/>
    <w:rsid w:val="4FEE65F2"/>
    <w:rsid w:val="50245B70"/>
    <w:rsid w:val="50E25F8E"/>
    <w:rsid w:val="517E583C"/>
    <w:rsid w:val="51BF0246"/>
    <w:rsid w:val="527132E4"/>
    <w:rsid w:val="529B20AE"/>
    <w:rsid w:val="53277E51"/>
    <w:rsid w:val="534466CC"/>
    <w:rsid w:val="54862E77"/>
    <w:rsid w:val="550C6493"/>
    <w:rsid w:val="5AF076C2"/>
    <w:rsid w:val="5AF251E8"/>
    <w:rsid w:val="5CC20BEA"/>
    <w:rsid w:val="5DB70023"/>
    <w:rsid w:val="5E5E4943"/>
    <w:rsid w:val="61926F77"/>
    <w:rsid w:val="61FA2663"/>
    <w:rsid w:val="635F7193"/>
    <w:rsid w:val="638E7A78"/>
    <w:rsid w:val="64032214"/>
    <w:rsid w:val="656767D3"/>
    <w:rsid w:val="656B0071"/>
    <w:rsid w:val="660D1128"/>
    <w:rsid w:val="676236F6"/>
    <w:rsid w:val="677376B1"/>
    <w:rsid w:val="68182925"/>
    <w:rsid w:val="692F0807"/>
    <w:rsid w:val="69643755"/>
    <w:rsid w:val="6A0E546F"/>
    <w:rsid w:val="6BF23936"/>
    <w:rsid w:val="6D3C6797"/>
    <w:rsid w:val="6D806684"/>
    <w:rsid w:val="7121017E"/>
    <w:rsid w:val="71E05943"/>
    <w:rsid w:val="72A11576"/>
    <w:rsid w:val="796C5D0E"/>
    <w:rsid w:val="7A7C4677"/>
    <w:rsid w:val="7CCE254D"/>
    <w:rsid w:val="7D2C5EE0"/>
    <w:rsid w:val="7F5B0C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autoSpaceDE w:val="0"/>
      <w:autoSpaceDN w:val="0"/>
      <w:spacing w:line="360" w:lineRule="auto"/>
      <w:ind w:firstLine="100" w:firstLineChars="100"/>
    </w:pPr>
  </w:style>
  <w:style w:type="paragraph" w:styleId="3">
    <w:name w:val="Body Text"/>
    <w:basedOn w:val="1"/>
    <w:next w:val="4"/>
    <w:qFormat/>
    <w:uiPriority w:val="0"/>
    <w:pPr>
      <w:spacing w:after="120"/>
    </w:pPr>
  </w:style>
  <w:style w:type="paragraph" w:styleId="4">
    <w:name w:val="toc 5"/>
    <w:basedOn w:val="1"/>
    <w:next w:val="1"/>
    <w:unhideWhenUsed/>
    <w:qFormat/>
    <w:uiPriority w:val="39"/>
    <w:pPr>
      <w:spacing w:line="600" w:lineRule="exact"/>
      <w:ind w:firstLine="200" w:firstLineChars="200"/>
      <w:jc w:val="left"/>
    </w:pPr>
    <w:rPr>
      <w:rFonts w:ascii="方正黑体_GBK" w:eastAsia="方正黑体_GBK"/>
    </w:rPr>
  </w:style>
  <w:style w:type="paragraph" w:styleId="6">
    <w:name w:val="Body Text Indent"/>
    <w:basedOn w:val="1"/>
    <w:unhideWhenUsed/>
    <w:qFormat/>
    <w:uiPriority w:val="99"/>
    <w:pPr>
      <w:ind w:firstLine="720"/>
    </w:pPr>
    <w:rPr>
      <w:rFonts w:ascii="仿宋_GB2312" w:eastAsia="仿宋_GB2312"/>
      <w:sz w:val="32"/>
    </w:rPr>
  </w:style>
  <w:style w:type="paragraph" w:styleId="7">
    <w:name w:val="Plain Text"/>
    <w:basedOn w:val="1"/>
    <w:unhideWhenUsed/>
    <w:qFormat/>
    <w:uiPriority w:val="0"/>
    <w:pPr>
      <w:spacing w:beforeLines="0" w:afterLines="0"/>
    </w:pPr>
    <w:rPr>
      <w:rFonts w:hint="eastAsia" w:ascii="宋体" w:hAnsi="Courier New" w:eastAsia="宋体"/>
      <w:sz w:val="21"/>
      <w:szCs w:val="24"/>
    </w:rPr>
  </w:style>
  <w:style w:type="paragraph" w:styleId="8">
    <w:name w:val="footer"/>
    <w:basedOn w:val="1"/>
    <w:link w:val="1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qFormat/>
    <w:uiPriority w:val="0"/>
    <w:pPr>
      <w:spacing w:after="120" w:line="480" w:lineRule="auto"/>
    </w:pPr>
  </w:style>
  <w:style w:type="paragraph" w:styleId="11">
    <w:name w:val="Title"/>
    <w:basedOn w:val="1"/>
    <w:next w:val="1"/>
    <w:qFormat/>
    <w:uiPriority w:val="0"/>
    <w:pPr>
      <w:spacing w:before="240" w:after="60"/>
      <w:jc w:val="center"/>
      <w:textAlignment w:val="baseline"/>
    </w:pPr>
    <w:rPr>
      <w:rFonts w:ascii="Cambria" w:hAnsi="Cambria"/>
      <w:b/>
      <w:bCs/>
      <w:sz w:val="32"/>
      <w:szCs w:val="32"/>
    </w:rPr>
  </w:style>
  <w:style w:type="paragraph" w:styleId="12">
    <w:name w:val="Body Text First Indent 2"/>
    <w:basedOn w:val="6"/>
    <w:unhideWhenUsed/>
    <w:qFormat/>
    <w:uiPriority w:val="99"/>
    <w:pPr>
      <w:spacing w:after="120"/>
      <w:ind w:left="420" w:leftChars="200" w:firstLine="420" w:firstLineChars="200"/>
    </w:pPr>
    <w:rPr>
      <w:rFonts w:ascii="Arial" w:hAnsi="Arial"/>
    </w:rPr>
  </w:style>
  <w:style w:type="character" w:styleId="15">
    <w:name w:val="Strong"/>
    <w:basedOn w:val="14"/>
    <w:qFormat/>
    <w:uiPriority w:val="0"/>
    <w:rPr>
      <w:b/>
    </w:rPr>
  </w:style>
  <w:style w:type="character" w:customStyle="1" w:styleId="16">
    <w:name w:val="页脚 Char"/>
    <w:basedOn w:val="14"/>
    <w:link w:val="8"/>
    <w:qFormat/>
    <w:uiPriority w:val="0"/>
    <w:rPr>
      <w:kern w:val="2"/>
      <w:sz w:val="18"/>
      <w:szCs w:val="18"/>
    </w:rPr>
  </w:style>
  <w:style w:type="character" w:customStyle="1" w:styleId="17">
    <w:name w:val="页脚 Char1"/>
    <w:basedOn w:val="14"/>
    <w:link w:val="8"/>
    <w:qFormat/>
    <w:uiPriority w:val="0"/>
    <w:rPr>
      <w:kern w:val="2"/>
      <w:sz w:val="18"/>
      <w:szCs w:val="18"/>
    </w:rPr>
  </w:style>
  <w:style w:type="paragraph" w:customStyle="1" w:styleId="18">
    <w:name w:val="D正文"/>
    <w:basedOn w:val="12"/>
    <w:next w:val="1"/>
    <w:qFormat/>
    <w:uiPriority w:val="0"/>
    <w:pPr>
      <w:widowControl/>
      <w:spacing w:before="100" w:beforeAutospacing="1" w:after="100" w:afterAutospacing="1"/>
      <w:ind w:left="0" w:leftChars="0"/>
      <w:jc w:val="left"/>
    </w:pPr>
  </w:style>
  <w:style w:type="paragraph" w:customStyle="1" w:styleId="19">
    <w:name w:val="索引 51"/>
    <w:basedOn w:val="1"/>
    <w:next w:val="1"/>
    <w:qFormat/>
    <w:uiPriority w:val="0"/>
    <w:pPr>
      <w:spacing w:before="100" w:beforeAutospacing="1" w:after="100" w:afterAutospacing="1"/>
      <w:ind w:left="1680"/>
    </w:pPr>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2990</Words>
  <Characters>3072</Characters>
  <Lines>6</Lines>
  <Paragraphs>1</Paragraphs>
  <TotalTime>1</TotalTime>
  <ScaleCrop>false</ScaleCrop>
  <LinksUpToDate>false</LinksUpToDate>
  <CharactersWithSpaces>3075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2022-06-21T11:00:00Z</dcterms:created>
  <dc:creator>asus</dc:creator>
  <cp:lastModifiedBy>王灿VIP超级用户</cp:lastModifiedBy>
  <cp:lastPrinted>2022-06-22T00:53:00Z</cp:lastPrinted>
  <dcterms:modified xsi:type="dcterms:W3CDTF">2023-06-25T02:31:41Z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BAF04E782407498E88B202EE407E2021_13</vt:lpwstr>
  </property>
</Properties>
</file>