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1B39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小标宋_GBK" w:cs="Times New Roman"/>
          <w:b w:val="0"/>
          <w:bCs w:val="0"/>
          <w:sz w:val="44"/>
          <w:szCs w:val="44"/>
          <w:lang w:eastAsia="zh-CN"/>
        </w:rPr>
      </w:pPr>
      <w:r>
        <w:rPr>
          <w:rFonts w:hint="eastAsia" w:ascii="Times New Roman" w:hAnsi="Times New Roman" w:eastAsia="方正仿宋_GBK" w:cs="Times New Roman"/>
          <w:sz w:val="32"/>
          <w:szCs w:val="20"/>
        </w:rPr>
        <mc:AlternateContent>
          <mc:Choice Requires="wpg">
            <w:drawing>
              <wp:anchor distT="0" distB="0" distL="114300" distR="114300" simplePos="0" relativeHeight="251660288" behindDoc="0" locked="0" layoutInCell="1" allowOverlap="1">
                <wp:simplePos x="0" y="0"/>
                <wp:positionH relativeFrom="column">
                  <wp:posOffset>-106680</wp:posOffset>
                </wp:positionH>
                <wp:positionV relativeFrom="paragraph">
                  <wp:posOffset>2912110</wp:posOffset>
                </wp:positionV>
                <wp:extent cx="5993130" cy="304800"/>
                <wp:effectExtent l="0" t="13335" r="7620" b="24765"/>
                <wp:wrapNone/>
                <wp:docPr id="25" name="组合 25"/>
                <wp:cNvGraphicFramePr/>
                <a:graphic xmlns:a="http://schemas.openxmlformats.org/drawingml/2006/main">
                  <a:graphicData uri="http://schemas.microsoft.com/office/word/2010/wordprocessingGroup">
                    <wpg:wgp>
                      <wpg:cNvGrpSpPr/>
                      <wpg:grpSpPr>
                        <a:xfrm>
                          <a:off x="0" y="0"/>
                          <a:ext cx="5993130" cy="304800"/>
                          <a:chOff x="1363" y="6684"/>
                          <a:chExt cx="9438" cy="480"/>
                        </a:xfrm>
                      </wpg:grpSpPr>
                      <wps:wsp>
                        <wps:cNvPr id="22" name="直接连接符 22"/>
                        <wps:cNvCnPr/>
                        <wps:spPr>
                          <a:xfrm>
                            <a:off x="1363" y="6919"/>
                            <a:ext cx="4277" cy="0"/>
                          </a:xfrm>
                          <a:prstGeom prst="line">
                            <a:avLst/>
                          </a:prstGeom>
                          <a:ln w="25400" cap="flat" cmpd="sng">
                            <a:solidFill>
                              <a:srgbClr val="FF0000"/>
                            </a:solidFill>
                            <a:prstDash val="solid"/>
                            <a:headEnd type="none" w="med" len="med"/>
                            <a:tailEnd type="none" w="med" len="med"/>
                          </a:ln>
                        </wps:spPr>
                        <wps:bodyPr upright="1"/>
                      </wps:wsp>
                      <wps:wsp>
                        <wps:cNvPr id="23" name="五角星 23"/>
                        <wps:cNvSpPr/>
                        <wps:spPr>
                          <a:xfrm>
                            <a:off x="5763" y="6684"/>
                            <a:ext cx="600" cy="480"/>
                          </a:xfrm>
                          <a:prstGeom prst="star5">
                            <a:avLst/>
                          </a:prstGeom>
                          <a:solidFill>
                            <a:srgbClr val="FF0000"/>
                          </a:solidFill>
                          <a:ln w="9525" cap="flat" cmpd="sng">
                            <a:solidFill>
                              <a:srgbClr val="FFFFFF"/>
                            </a:solidFill>
                            <a:prstDash val="solid"/>
                            <a:miter/>
                            <a:headEnd type="none" w="med" len="med"/>
                            <a:tailEnd type="none" w="med" len="med"/>
                          </a:ln>
                        </wps:spPr>
                        <wps:bodyPr upright="1"/>
                      </wps:wsp>
                      <wps:wsp>
                        <wps:cNvPr id="24" name="直接连接符 24"/>
                        <wps:cNvCnPr/>
                        <wps:spPr>
                          <a:xfrm>
                            <a:off x="6511" y="6895"/>
                            <a:ext cx="4290" cy="0"/>
                          </a:xfrm>
                          <a:prstGeom prst="line">
                            <a:avLst/>
                          </a:prstGeom>
                          <a:ln w="254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8.4pt;margin-top:229.3pt;height:24pt;width:471.9pt;z-index:251660288;mso-width-relative:page;mso-height-relative:page;" coordorigin="1363,6684" coordsize="9438,480" o:gfxdata="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K+3u1fbAAAACwEAAA8AAAAAAAAAAQAgAAAAIgAAAGRycy9kb3ducmV2LnhtbFBLAQIUABQAAAAI&#10;AIdO4kA8nz2NBwMAAGwJAAAOAAAAAAAAAAEAIAAAACoBAABkcnMvZTJvRG9jLnhtbFBLBQYAAAAA&#10;BgAGAFkBAACjBgAAAAA=&#10;">
                <o:lock v:ext="edit" aspectratio="f"/>
                <v:line id="_x0000_s1026" o:spid="_x0000_s1026" o:spt="20" style="position:absolute;left:1363;top:6919;height:0;width:4277;" filled="f" stroked="t" coordsize="21600,21600" o:gfxdata="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sp2ovQAA&#10;ANs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line>
                <v:shape id="_x0000_s1026" o:spid="_x0000_s1026" style="position:absolute;left:5763;top:6684;height:480;width:600;" fillcolor="#FF0000" filled="t" stroked="t" coordsize="600,480" o:gfxdata="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jkTC8AAAA&#10;2wAAAA8AAAAAAAAAAQAgAAAAIgAAAGRycy9kb3ducmV2LnhtbFBLAQIUABQAAAAIAIdO4kAzLwWe&#10;OwAAADkAAAAQAAAAAAAAAAEAIAAAAAsBAABkcnMvc2hhcGV4bWwueG1sUEsFBgAAAAAGAAYAWwEA&#10;ALUDAAAAAA==&#10;" path="m0,183l229,183,300,0,370,183,599,183,414,296,485,479,300,366,114,479,185,296xe">
                  <v:path o:connectlocs="300,0;0,183;114,479;485,479;599,183" o:connectangles="247,164,82,82,0"/>
                  <v:fill on="t" focussize="0,0"/>
                  <v:stroke color="#FFFFFF" joinstyle="miter"/>
                  <v:imagedata o:title=""/>
                  <o:lock v:ext="edit" aspectratio="f"/>
                </v:shape>
                <v:line id="_x0000_s1026" o:spid="_x0000_s1026" o:spt="20" style="position:absolute;left:6511;top:6895;height:0;width:4290;" filled="f" stroked="t" coordsize="21600,21600" o:gfxdata="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F6BHvQAA&#10;ANs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line>
              </v:group>
            </w:pict>
          </mc:Fallback>
        </mc:AlternateContent>
      </w:r>
      <w:r>
        <w:rPr>
          <w:rFonts w:hint="eastAsia" w:ascii="Times New Roman" w:hAnsi="Times New Roman" w:eastAsia="方正仿宋_GBK" w:cs="Times New Roman"/>
          <w:sz w:val="32"/>
          <w:szCs w:val="20"/>
        </w:rPr>
        <w:pict>
          <v:shape id="_x0000_s2079" o:spid="_x0000_s2079" o:spt="136" type="#_x0000_t136" style="position:absolute;left:0pt;margin-left:92.15pt;margin-top:101.2pt;height:51.9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中共云阳县云安镇委员会" style="font-family:方正小标宋_GBK;font-size:36pt;font-weight:bold;v-text-align:center;"/>
          </v:shape>
        </w:pict>
      </w:r>
      <w:bookmarkStart w:id="0" w:name="zw"/>
      <w:bookmarkEnd w:id="0"/>
    </w:p>
    <w:p w14:paraId="01F32B1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p>
    <w:p w14:paraId="1ED636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p>
    <w:p w14:paraId="0E7865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p>
    <w:p w14:paraId="5C9A025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p>
    <w:p w14:paraId="3965C3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p>
    <w:p w14:paraId="7E5487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p>
    <w:p w14:paraId="0827E46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仿宋_GBK" w:cs="Times New Roman"/>
          <w:sz w:val="32"/>
          <w:szCs w:val="34"/>
          <w:lang w:eastAsia="zh-CN"/>
        </w:rPr>
        <w:t>云安委</w:t>
      </w:r>
      <w:r>
        <w:rPr>
          <w:rFonts w:hint="default" w:ascii="Times New Roman" w:hAnsi="Times New Roman" w:eastAsia="方正仿宋_GBK" w:cs="Times New Roman"/>
          <w:sz w:val="32"/>
          <w:szCs w:val="34"/>
        </w:rPr>
        <w:t>文〔20</w:t>
      </w:r>
      <w:r>
        <w:rPr>
          <w:rFonts w:hint="default" w:ascii="Times New Roman" w:hAnsi="Times New Roman" w:eastAsia="方正仿宋_GBK" w:cs="Times New Roman"/>
          <w:sz w:val="32"/>
          <w:szCs w:val="34"/>
          <w:lang w:val="en-US" w:eastAsia="zh-CN"/>
        </w:rPr>
        <w:t>25</w:t>
      </w:r>
      <w:r>
        <w:rPr>
          <w:rFonts w:hint="default" w:ascii="Times New Roman" w:hAnsi="Times New Roman" w:eastAsia="方正仿宋_GBK" w:cs="Times New Roman"/>
          <w:sz w:val="32"/>
          <w:szCs w:val="34"/>
        </w:rPr>
        <w:t>〕</w:t>
      </w:r>
      <w:r>
        <w:rPr>
          <w:rFonts w:hint="default" w:ascii="Times New Roman" w:hAnsi="Times New Roman" w:eastAsia="方正仿宋_GBK" w:cs="Times New Roman"/>
          <w:sz w:val="32"/>
          <w:szCs w:val="34"/>
          <w:lang w:val="en-US" w:eastAsia="zh-CN"/>
        </w:rPr>
        <w:t>38</w:t>
      </w:r>
      <w:r>
        <w:rPr>
          <w:rFonts w:hint="default" w:ascii="Times New Roman" w:hAnsi="Times New Roman" w:eastAsia="方正仿宋_GBK" w:cs="Times New Roman"/>
          <w:sz w:val="32"/>
          <w:szCs w:val="34"/>
        </w:rPr>
        <w:t>号</w:t>
      </w:r>
      <w:r>
        <w:rPr>
          <w:rFonts w:hint="default" w:ascii="Times New Roman" w:hAnsi="Times New Roman" w:eastAsia="方正仿宋_GBK" w:cs="Times New Roman"/>
          <w:sz w:val="32"/>
          <w:szCs w:val="34"/>
          <w:lang w:val="en-US" w:eastAsia="zh-CN"/>
        </w:rPr>
        <w:t xml:space="preserve">                     </w:t>
      </w:r>
      <w:r>
        <w:rPr>
          <w:rFonts w:hint="default" w:ascii="Times New Roman" w:hAnsi="Times New Roman" w:eastAsia="方正仿宋_GBK" w:cs="Times New Roman"/>
          <w:sz w:val="32"/>
          <w:szCs w:val="34"/>
        </w:rPr>
        <w:t>签发人：</w:t>
      </w:r>
      <w:r>
        <w:rPr>
          <w:rFonts w:hint="default" w:ascii="Times New Roman" w:hAnsi="Times New Roman" w:eastAsia="方正楷体_GBK" w:cs="Times New Roman"/>
          <w:sz w:val="32"/>
          <w:szCs w:val="32"/>
          <w:lang w:eastAsia="zh-CN"/>
        </w:rPr>
        <w:t>郭柯岑</w:t>
      </w:r>
    </w:p>
    <w:p w14:paraId="2643F83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p>
    <w:p w14:paraId="4688D2D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p>
    <w:p w14:paraId="7D6B2DE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中共云阳县云安镇委员会</w:t>
      </w:r>
    </w:p>
    <w:p w14:paraId="28932EA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云阳县云安镇人民政府</w:t>
      </w:r>
    </w:p>
    <w:p w14:paraId="70C85E8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关于202</w:t>
      </w:r>
      <w:r>
        <w:rPr>
          <w:rFonts w:hint="default" w:ascii="Times New Roman" w:hAnsi="Times New Roman" w:eastAsia="方正小标宋_GBK" w:cs="Times New Roman"/>
          <w:sz w:val="44"/>
          <w:szCs w:val="44"/>
          <w:lang w:val="en-US" w:eastAsia="zh"/>
        </w:rPr>
        <w:t>5</w:t>
      </w:r>
      <w:r>
        <w:rPr>
          <w:rFonts w:hint="default" w:ascii="Times New Roman" w:hAnsi="Times New Roman" w:eastAsia="方正小标宋_GBK" w:cs="Times New Roman"/>
          <w:sz w:val="44"/>
          <w:szCs w:val="44"/>
        </w:rPr>
        <w:t>年法治政府建设情况的报告</w:t>
      </w:r>
    </w:p>
    <w:p w14:paraId="21667929">
      <w:pPr>
        <w:rPr>
          <w:rFonts w:hint="default" w:ascii="Times New Roman" w:hAnsi="Times New Roman" w:eastAsia="方正小标宋_GBK" w:cs="Times New Roman"/>
          <w:sz w:val="36"/>
          <w:szCs w:val="36"/>
        </w:rPr>
      </w:pPr>
    </w:p>
    <w:p w14:paraId="29B9777A">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方正小标宋_GBK" w:cs="Times New Roman"/>
          <w:sz w:val="36"/>
          <w:szCs w:val="36"/>
        </w:rPr>
      </w:pPr>
      <w:r>
        <w:rPr>
          <w:rFonts w:hint="default" w:ascii="Times New Roman" w:hAnsi="Times New Roman" w:eastAsia="方正仿宋_GBK" w:cs="Times New Roman"/>
          <w:sz w:val="32"/>
          <w:szCs w:val="32"/>
        </w:rPr>
        <w:t>县委、县政府：</w:t>
      </w:r>
    </w:p>
    <w:p w14:paraId="222E79E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在县委、县政府的正确领导下，在县委依法治县办的精心指导下，云安镇坚持以习近平新时代中国特色社会主义思想为指导，全面贯彻党的二十大和二十届二中、三中全会精神，深入学习贯彻习近平法治思想和习近平总书记视察重庆重要讲话重要指示精神，认真落实市委六届、县委十五届历次全会部署，突出稳进增效、改革创新、除险固安、强企富民工作导向，现将2025年法治政府建设工作报告如下：</w:t>
      </w:r>
    </w:p>
    <w:p w14:paraId="40C6DFA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一、2025年推进法治政府建设的主要举措和成效</w:t>
      </w:r>
    </w:p>
    <w:p w14:paraId="1B236D62">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锚定方向凝心聚力，纵深推进学悟笃行习近平法治思想</w:t>
      </w:r>
    </w:p>
    <w:p w14:paraId="68A0C1C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napToGrid w:val="0"/>
          <w:color w:val="auto"/>
          <w:spacing w:val="-11"/>
          <w:sz w:val="32"/>
          <w:szCs w:val="32"/>
          <w:u w:val="none"/>
          <w:lang w:val="en-US" w:eastAsia="zh-CN"/>
        </w:rPr>
      </w:pPr>
      <w:r>
        <w:rPr>
          <w:rFonts w:hint="default" w:ascii="Times New Roman" w:hAnsi="Times New Roman" w:eastAsia="方正仿宋_GBK" w:cs="Times New Roman"/>
          <w:sz w:val="32"/>
          <w:szCs w:val="32"/>
          <w:lang w:val="en-US" w:eastAsia="zh-CN"/>
        </w:rPr>
        <w:t>云安镇始终坚持把习近平法治思想作为</w:t>
      </w:r>
      <w:r>
        <w:rPr>
          <w:rFonts w:hint="eastAsia" w:ascii="Times New Roman" w:hAnsi="Times New Roman" w:eastAsia="方正仿宋_GBK" w:cs="Times New Roman"/>
          <w:sz w:val="32"/>
          <w:szCs w:val="32"/>
          <w:lang w:val="en-US" w:eastAsia="zh-CN"/>
        </w:rPr>
        <w:t>党委理论学习中心组</w:t>
      </w:r>
      <w:r>
        <w:rPr>
          <w:rFonts w:hint="default" w:ascii="Times New Roman" w:hAnsi="Times New Roman" w:eastAsia="方正仿宋_GBK" w:cs="Times New Roman"/>
          <w:sz w:val="32"/>
          <w:szCs w:val="32"/>
          <w:lang w:val="en-US" w:eastAsia="zh-CN"/>
        </w:rPr>
        <w:t>学习的重要内容，并纳入领导干部教育培训重点课程。2025年云安镇召开党委会、</w:t>
      </w:r>
      <w:r>
        <w:rPr>
          <w:rFonts w:hint="eastAsia" w:ascii="Times New Roman" w:hAnsi="Times New Roman" w:eastAsia="方正仿宋_GBK" w:cs="Times New Roman"/>
          <w:sz w:val="32"/>
          <w:szCs w:val="32"/>
          <w:lang w:val="en-US" w:eastAsia="zh-CN"/>
        </w:rPr>
        <w:t>党委理论学习中心组</w:t>
      </w:r>
      <w:r>
        <w:rPr>
          <w:rFonts w:hint="default" w:ascii="Times New Roman" w:hAnsi="Times New Roman" w:eastAsia="方正仿宋_GBK" w:cs="Times New Roman"/>
          <w:sz w:val="32"/>
          <w:szCs w:val="32"/>
          <w:lang w:val="en-US" w:eastAsia="zh-CN"/>
        </w:rPr>
        <w:t>、职工学习会学习习近平法治思想12次；</w:t>
      </w:r>
      <w:r>
        <w:rPr>
          <w:rFonts w:hint="default" w:ascii="Times New Roman" w:hAnsi="Times New Roman" w:eastAsia="方正仿宋_GBK" w:cs="Times New Roman"/>
          <w:snapToGrid w:val="0"/>
          <w:color w:val="auto"/>
          <w:spacing w:val="-11"/>
          <w:sz w:val="32"/>
          <w:szCs w:val="32"/>
          <w:u w:val="none"/>
          <w:lang w:val="en-US" w:eastAsia="zh-CN"/>
        </w:rPr>
        <w:t>组建15支“小板凳”宣讲队，开展习近平法治思想宣传15次；组织全镇65名国家工作人员学习法治相关网络课程与线上考试，参考率与合格率均为100%；精心组织“八五”普法宣传活动，线下采取多种方式开展普法宣传14场，覆盖群众1000余人；线上充分利用“云安盐语”微信公众号，推动习近平法治思想大众化传播。</w:t>
      </w:r>
    </w:p>
    <w:p w14:paraId="331BDE8D">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严循程序强化评估，深入推进科学民主依法决策</w:t>
      </w:r>
    </w:p>
    <w:p w14:paraId="616EB5DC">
      <w:pPr>
        <w:keepNext w:val="0"/>
        <w:keepLines w:val="0"/>
        <w:pageBreakBefore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建立重大行政决策、政府合同等合法性审查机制，由镇平安法治办、镇法律顾问共同对重大行政决策、政府合同等出具合法性审查意见，并严格遵循审批程序无合法性审查意见不予审批；</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严格落实重大行政决策执行和跟踪反馈机制，由业务科室牵头，各驻村（社区）领导协同，依法推进决策后评估工作，及时反馈落实情况与意见建议，并深入开展政策阐释。</w:t>
      </w:r>
    </w:p>
    <w:p w14:paraId="7FA8CF03">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精审提质规范备案，不断强化规范性文件监督管理</w:t>
      </w:r>
    </w:p>
    <w:p w14:paraId="073806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60" w:afterAutospacing="0" w:line="578" w:lineRule="exact"/>
        <w:ind w:left="0" w:right="0"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云安镇持续改进行政规范性文件合法性审查工作，明确审查范围、完善审查机制，重点关注涉及群众权益、行政许可、执法处罚等方面，做到应审尽审。对规范性文件</w:t>
      </w:r>
      <w:r>
        <w:rPr>
          <w:rFonts w:hint="eastAsia" w:ascii="Times New Roman" w:hAnsi="Times New Roman" w:eastAsia="方正仿宋_GBK" w:cs="Times New Roman"/>
          <w:b w:val="0"/>
          <w:bCs w:val="0"/>
          <w:sz w:val="32"/>
          <w:szCs w:val="32"/>
          <w:lang w:val="en-US" w:eastAsia="zh-CN"/>
        </w:rPr>
        <w:t>建立健全</w:t>
      </w:r>
      <w:r>
        <w:rPr>
          <w:rFonts w:hint="default" w:ascii="Times New Roman" w:hAnsi="Times New Roman" w:eastAsia="方正仿宋_GBK" w:cs="Times New Roman"/>
          <w:b w:val="0"/>
          <w:bCs w:val="0"/>
          <w:sz w:val="32"/>
          <w:szCs w:val="32"/>
          <w:lang w:val="en-US" w:eastAsia="zh-CN"/>
        </w:rPr>
        <w:t>备案管理闭环机制与动态清理管理机制，</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严格落实规范性文件向县人大常委会、县政府双重备案制度，对备案文件开展“回头看”，核查备案文件材料完整度与内容合法性；</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建立规范性文件“年度自查清理”机制，开展集中清理工作，全年完成规范性文件集中清理4次，并通过“一表通”系统及时更新报送规范性文件管理台账4次。做到“底数清、情况明、处置快”，杜绝“无效文件”继续适用造成工作偏差。</w:t>
      </w:r>
    </w:p>
    <w:p w14:paraId="415FC2BB">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统筹联动提质增效，持续深化“大综合一体化”行政执法改革</w:t>
      </w:r>
    </w:p>
    <w:p w14:paraId="5F80FE38">
      <w:pPr>
        <w:keepNext w:val="0"/>
        <w:keepLines w:val="0"/>
        <w:pageBreakBefore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自“大综合一体化”行政执法改革实施以来，镇全面规范执法人员资格管理，对执法人员开展执法培训4次，并就最新乡镇（街道）赋权执法事项清单组织针对性学习与考试；制定涉企行政检查年度计划，持续拓宽“综合查一次”组团式执法，依托“执法＋监督”数字应用，创新推进“执法监管一件事”场景，在行政许可、行政确认、行政检查、行政处罚等法治领域出动执法人员60余人次，完成跨部门联合检查5次，联合执法6次，发现并整改问题12处，有效减少检查频次35%以上。</w:t>
      </w:r>
    </w:p>
    <w:p w14:paraId="7D851146">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规范执法浸润温度，深入推进行政执法规范化建设</w:t>
      </w:r>
    </w:p>
    <w:p w14:paraId="4904D150">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云安镇聚焦行政执法规范化建设，一方面严格执行行政处罚、行政强制等裁量权基准和适用规则，设立行政执法协调监督岗，指派专人对执法全过程、执法标准及执法公平性开展常态化监督，全年累计完成现场执法监督80余起；另一方面深化柔性执法实践，全面落实“首违不罚”“轻微免罚”制度，2025年通过告知提醒、警示提示、批评约谈等非强制性方式，依法实施柔性执法36件，实现执法力度与温度的有机统一。</w:t>
      </w:r>
    </w:p>
    <w:p w14:paraId="26F407CA">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（六）多元调解法治护航，推进基层治理法治化</w:t>
      </w:r>
    </w:p>
    <w:p w14:paraId="069E066C">
      <w:pPr>
        <w:keepNext w:val="0"/>
        <w:keepLines w:val="0"/>
        <w:pageBreakBefore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云安镇坚持和发展新时代“枫桥经验”，全力推动乡村院落“法治+”建设，以</w:t>
      </w:r>
      <w:r>
        <w:rPr>
          <w:rFonts w:hint="default" w:ascii="Times New Roman" w:hAnsi="Times New Roman" w:eastAsia="方正仿宋_GBK" w:cs="Times New Roman"/>
          <w:b w:val="0"/>
          <w:bCs w:val="0"/>
          <w:sz w:val="32"/>
          <w:szCs w:val="32"/>
          <w:lang w:val="en-US" w:eastAsia="zh"/>
        </w:rPr>
        <w:t>61</w:t>
      </w:r>
      <w:r>
        <w:rPr>
          <w:rFonts w:hint="default" w:ascii="Times New Roman" w:hAnsi="Times New Roman" w:eastAsia="方正仿宋_GBK" w:cs="Times New Roman"/>
          <w:b w:val="0"/>
          <w:bCs w:val="0"/>
          <w:sz w:val="32"/>
          <w:szCs w:val="32"/>
          <w:lang w:eastAsia="zh-CN"/>
        </w:rPr>
        <w:t>名</w:t>
      </w:r>
      <w:r>
        <w:rPr>
          <w:rFonts w:hint="default" w:ascii="Times New Roman" w:hAnsi="Times New Roman" w:eastAsia="方正仿宋_GBK" w:cs="Times New Roman"/>
          <w:b w:val="0"/>
          <w:bCs w:val="0"/>
          <w:sz w:val="32"/>
          <w:szCs w:val="32"/>
          <w:lang w:val="en-US" w:eastAsia="zh-CN"/>
        </w:rPr>
        <w:t>乡村法律明白人、</w:t>
      </w:r>
      <w:r>
        <w:rPr>
          <w:rFonts w:hint="default" w:ascii="Times New Roman" w:hAnsi="Times New Roman" w:eastAsia="方正仿宋_GBK" w:cs="Times New Roman"/>
          <w:b w:val="0"/>
          <w:bCs w:val="0"/>
          <w:sz w:val="32"/>
          <w:szCs w:val="32"/>
          <w:lang w:eastAsia="zh-CN"/>
        </w:rPr>
        <w:t>58名网格员、4名综治中心工作人员、3名司法工作人员为核心力量，开展多元调解</w:t>
      </w:r>
      <w:r>
        <w:rPr>
          <w:rFonts w:hint="default" w:ascii="Times New Roman" w:hAnsi="Times New Roman" w:eastAsia="方正仿宋_GBK" w:cs="Times New Roman"/>
          <w:b w:val="0"/>
          <w:bCs w:val="0"/>
          <w:sz w:val="32"/>
          <w:szCs w:val="32"/>
          <w:lang w:val="en-US" w:eastAsia="zh-CN"/>
        </w:rPr>
        <w:t>提升矛盾纠纷基层化解率，2025年共排查调处矛盾纠纷342起，调解成功率达到100%，法律援助咨询信息418条较2024年上升15%，困难群众合法权益得到有效保障。</w:t>
      </w:r>
    </w:p>
    <w:p w14:paraId="04F20470">
      <w:pPr>
        <w:keepNext w:val="0"/>
        <w:keepLines w:val="0"/>
        <w:pageBreakBefore w:val="0"/>
        <w:numPr>
          <w:ilvl w:val="0"/>
          <w:numId w:val="0"/>
        </w:numPr>
        <w:kinsoku/>
        <w:wordWrap/>
        <w:overflowPunct/>
        <w:topLinePunct w:val="0"/>
        <w:autoSpaceDE/>
        <w:autoSpaceDN/>
        <w:bidi w:val="0"/>
        <w:adjustRightInd/>
        <w:snapToGrid/>
        <w:spacing w:line="578" w:lineRule="exact"/>
        <w:ind w:firstLine="596"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snapToGrid w:val="0"/>
          <w:color w:val="auto"/>
          <w:spacing w:val="-11"/>
          <w:sz w:val="32"/>
          <w:szCs w:val="32"/>
          <w:u w:val="none"/>
          <w:lang w:val="en-US" w:eastAsia="zh-CN"/>
        </w:rPr>
        <w:t>（七）隐患消除精准发力，完善社会治安整体防控体系</w:t>
      </w:r>
    </w:p>
    <w:p w14:paraId="4842B29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96" w:firstLineChars="200"/>
        <w:jc w:val="both"/>
        <w:textAlignment w:val="auto"/>
        <w:rPr>
          <w:rFonts w:hint="default" w:ascii="Times New Roman" w:hAnsi="Times New Roman" w:eastAsia="方正仿宋_GBK" w:cs="Times New Roman"/>
          <w:snapToGrid w:val="0"/>
          <w:color w:val="auto"/>
          <w:spacing w:val="-11"/>
          <w:sz w:val="32"/>
          <w:szCs w:val="32"/>
          <w:u w:val="none"/>
          <w:lang w:val="en-US" w:eastAsia="zh-CN"/>
        </w:rPr>
      </w:pPr>
      <w:r>
        <w:rPr>
          <w:rFonts w:hint="default" w:ascii="Times New Roman" w:hAnsi="Times New Roman" w:eastAsia="方正仿宋_GBK" w:cs="Times New Roman"/>
          <w:snapToGrid w:val="0"/>
          <w:color w:val="auto"/>
          <w:spacing w:val="-11"/>
          <w:sz w:val="32"/>
          <w:szCs w:val="32"/>
          <w:u w:val="none"/>
          <w:lang w:val="en-US" w:eastAsia="zh-CN"/>
        </w:rPr>
        <w:t>云安镇构建“源头预防、靠前介入”工作体系，每月对重点人员、信访稳定等进行风险评估、动态研判，精准调整管控措施。对刑满释放、社区矫正等297名特殊人群落实“一人一档”，通过入户走访、电话回访、邻里座谈等方式，确保服务管理到位、情况掌握清晰。全年重精患者送医5人。针对异性监护女童、未成年人、社会治安风险人员等建立分类管理、精准服务体系。建立异性监护女童结对帮扶台账34人、治安风险人员台账15人，累计上门走访60余次。联合栖霞派出所、司法所、学校开展未成年人保护、“莎姐守未”、“全面反诈”、反邪教反毒品专题宣传各2次，织密弱势群体关爱保护网。</w:t>
      </w:r>
    </w:p>
    <w:p w14:paraId="6D70C93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96" w:firstLineChars="200"/>
        <w:jc w:val="both"/>
        <w:textAlignment w:val="auto"/>
        <w:rPr>
          <w:rFonts w:hint="default" w:ascii="Times New Roman" w:hAnsi="Times New Roman" w:eastAsia="方正黑体_GBK" w:cs="Times New Roman"/>
          <w:snapToGrid w:val="0"/>
          <w:color w:val="auto"/>
          <w:spacing w:val="-11"/>
          <w:sz w:val="32"/>
          <w:szCs w:val="32"/>
          <w:u w:val="none"/>
          <w:lang w:val="en-US" w:eastAsia="zh-CN"/>
        </w:rPr>
      </w:pPr>
      <w:r>
        <w:rPr>
          <w:rFonts w:hint="default" w:ascii="Times New Roman" w:hAnsi="Times New Roman" w:eastAsia="方正黑体_GBK" w:cs="Times New Roman"/>
          <w:snapToGrid w:val="0"/>
          <w:color w:val="auto"/>
          <w:spacing w:val="-11"/>
          <w:sz w:val="32"/>
          <w:szCs w:val="32"/>
          <w:u w:val="none"/>
          <w:lang w:val="en-US" w:eastAsia="zh-CN"/>
        </w:rPr>
        <w:t>二、</w:t>
      </w:r>
      <w:r>
        <w:rPr>
          <w:rFonts w:hint="default" w:ascii="Times New Roman" w:hAnsi="Times New Roman" w:eastAsia="方正黑体_GBK" w:cs="Times New Roman"/>
          <w:kern w:val="2"/>
          <w:sz w:val="32"/>
          <w:szCs w:val="32"/>
          <w:lang w:val="en-US" w:eastAsia="zh-CN" w:bidi="ar-SA"/>
        </w:rPr>
        <w:t>党政主要负责人履行推进法治建设第一责任人责任，加强法治政府建设的有关情况</w:t>
      </w:r>
    </w:p>
    <w:p w14:paraId="6563C158">
      <w:pPr>
        <w:keepNext w:val="0"/>
        <w:keepLines w:val="0"/>
        <w:pageBreakBefore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（一）全面压实主体责任，强化法治建设组织领导</w:t>
      </w:r>
    </w:p>
    <w:p w14:paraId="361F4CD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96" w:firstLineChars="200"/>
        <w:jc w:val="both"/>
        <w:textAlignment w:val="auto"/>
        <w:rPr>
          <w:rFonts w:hint="default" w:ascii="Times New Roman" w:hAnsi="Times New Roman" w:eastAsia="方正仿宋_GBK" w:cs="Times New Roman"/>
          <w:snapToGrid w:val="0"/>
          <w:color w:val="auto"/>
          <w:spacing w:val="-11"/>
          <w:sz w:val="32"/>
          <w:szCs w:val="32"/>
          <w:u w:val="none"/>
          <w:lang w:val="en-US" w:eastAsia="zh-CN"/>
        </w:rPr>
      </w:pPr>
      <w:r>
        <w:rPr>
          <w:rFonts w:hint="default" w:ascii="Times New Roman" w:hAnsi="Times New Roman" w:eastAsia="方正仿宋_GBK" w:cs="Times New Roman"/>
          <w:snapToGrid w:val="0"/>
          <w:color w:val="auto"/>
          <w:spacing w:val="-11"/>
          <w:sz w:val="32"/>
          <w:szCs w:val="32"/>
          <w:u w:val="none"/>
          <w:lang w:val="en-US" w:eastAsia="zh-CN"/>
        </w:rPr>
        <w:t>党政主要领导切实履行法治政府建设第一责任人职责，主动担当推进法治政府建设主体责任，亲力亲为抓实抓细各项工作落实，把法治建设全面纳入年度工作计划，与党建、经济社会发展等工作同谋划、同部署、同推进、同考核、同奖惩，全年听取法治建设专题工作汇报4次，研究部署推进法治建设重点任务4次。统筹部署法治政府建设工作，落实年终述职述法。</w:t>
      </w:r>
    </w:p>
    <w:p w14:paraId="47B40824">
      <w:pPr>
        <w:keepNext w:val="0"/>
        <w:keepLines w:val="0"/>
        <w:pageBreakBefore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（二）规范决策流程，严格依法依规科学决策</w:t>
      </w:r>
    </w:p>
    <w:p w14:paraId="2A2D7721">
      <w:pPr>
        <w:keepNext w:val="0"/>
        <w:keepLines w:val="0"/>
        <w:pageBreakBefore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规范重大行政决策合法性审查，聘请法律顾问并保障法律顾问制度的有效运行，听取重大行政决策法律意见15条，参与规范性文件、重大合同合法性审查4件，为处置涉法涉诉、信访案件提供法律服务18次。</w:t>
      </w:r>
    </w:p>
    <w:p w14:paraId="7F65E575">
      <w:pPr>
        <w:keepNext w:val="0"/>
        <w:keepLines w:val="0"/>
        <w:pageBreakBefore w:val="0"/>
        <w:numPr>
          <w:ilvl w:val="0"/>
          <w:numId w:val="2"/>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推进依法治理，落实依规履行职能</w:t>
      </w:r>
    </w:p>
    <w:p w14:paraId="1B3D2D3E">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cs="Times New Roma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抓实法治学习培训，制定并落实</w:t>
      </w:r>
      <w:r>
        <w:rPr>
          <w:rFonts w:hint="eastAsia" w:ascii="Times New Roman" w:hAnsi="Times New Roman" w:eastAsia="方正仿宋_GBK" w:cs="Times New Roman"/>
          <w:b w:val="0"/>
          <w:bCs w:val="0"/>
          <w:sz w:val="32"/>
          <w:szCs w:val="32"/>
          <w:lang w:val="en-US" w:eastAsia="zh-CN"/>
        </w:rPr>
        <w:t>党委理论学习中心组</w:t>
      </w:r>
      <w:bookmarkStart w:id="1" w:name="_GoBack"/>
      <w:bookmarkEnd w:id="1"/>
      <w:r>
        <w:rPr>
          <w:rFonts w:hint="default" w:ascii="Times New Roman" w:hAnsi="Times New Roman" w:eastAsia="方正仿宋_GBK" w:cs="Times New Roman"/>
          <w:b w:val="0"/>
          <w:bCs w:val="0"/>
          <w:sz w:val="32"/>
          <w:szCs w:val="32"/>
          <w:lang w:val="en-US" w:eastAsia="zh-CN"/>
        </w:rPr>
        <w:t>集体学法计划，专题举办法治讲座2次，针对7名综合执法人员开展法治教育培训4次，持续提升执法队伍专业素养和执法能力水平，切实以法治方式化解各类违法行为。</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强化综合执法监管，一方面明确专人对执法过程、执法结果实施现场监督，另一方面全面落实执法全过程记录制度，确保执法活动全程公正、公开、高效、有序开展。</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b w:val="0"/>
          <w:bCs w:val="0"/>
          <w:sz w:val="32"/>
          <w:szCs w:val="32"/>
          <w:lang w:val="en-US" w:eastAsia="zh-CN"/>
        </w:rPr>
        <w:t>从严开展日常执法，常态化推进日常监管和执法巡查，聚焦食品药品、生态环境、安全生产、交通运输等群众切身利益重点领域，依法查处违法行为513起。</w:t>
      </w:r>
    </w:p>
    <w:p w14:paraId="5218C0B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rPr>
        <w:t>深化政务信息公开，全面提升政务工作透明度</w:t>
      </w:r>
    </w:p>
    <w:p w14:paraId="6845B553">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坚持以公开为常态、不公开为例外，强化政务信息公开全流程管理，严格执行重大行政决策公开制度，主动向社会晾晒重点改革任务、重大工程项目等关键政务信息。依托县政府门户网站，全年累计主动公开政府信息152条，较2024年提升30%。其中，预算决算15条、领导信息10条、机构职能1条、联系方式1条、下属单位信息5条；聚焦安全生产、环境保护、民生保障、经济发展等群众关切领域，发布重点信息及工作动态120条，切实保障群众知情权、参与权与监督权。</w:t>
      </w:r>
    </w:p>
    <w:p w14:paraId="2C82726A">
      <w:pPr>
        <w:keepNext w:val="0"/>
        <w:keepLines w:val="0"/>
        <w:pageBreakBefore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三、2025年推进法治政府建设存在的不足和原因</w:t>
      </w:r>
    </w:p>
    <w:p w14:paraId="21EEF776">
      <w:pPr>
        <w:keepNext w:val="0"/>
        <w:keepLines w:val="0"/>
        <w:pageBreakBefore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是法治宣传效果有待提升，涉法信访源头化解成效不彰。普法宣传仍停留在“发传单、挂横幅”的传统模式，宣传内容与群众生产生活、常见矛盾纠纷结合不紧密，针对性实效性不足。结合我镇实际，对征地拆迁、邻里纠纷、劳资、林地耕地权属争议未能提前介入开展法治引导，导致部分群众遇事仍习惯“信访不信法”，增加了矛盾化解的难度。</w:t>
      </w:r>
    </w:p>
    <w:p w14:paraId="15BD9C41">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是法治队伍建设滞后，专业人才配给不足。部分工作人员还处于知法、懂法阶段，运用法治思维解决问题能力存在欠缺，存在重政策、轻法律的倾向，依法行政的水平有待进一步提高。法治教育培训针对性、实效性、指向性不足，培训内容多以理论灌输为主，案例教学不足，且个别案例不具有普遍性对实际工作指导性不高，造成部分工作人员学习积极性不佳。</w:t>
      </w:r>
    </w:p>
    <w:p w14:paraId="3D0F54D9">
      <w:pPr>
        <w:keepNext w:val="0"/>
        <w:keepLines w:val="0"/>
        <w:pageBreakBefore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四、2026年推进法治政府建设的工作思路和目标举措</w:t>
      </w:r>
    </w:p>
    <w:p w14:paraId="39D88801">
      <w:pPr>
        <w:keepNext w:val="0"/>
        <w:keepLines w:val="0"/>
        <w:pageBreakBefore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一是坚持党对法治建设工作的领导。不断深入学习贯彻习近平法治思想，建立健全学习习近平法治思想常态化机制，</w:t>
      </w:r>
      <w:r>
        <w:rPr>
          <w:rFonts w:hint="default" w:ascii="Times New Roman" w:hAnsi="Times New Roman" w:eastAsia="方正仿宋_GBK" w:cs="Times New Roman"/>
          <w:i w:val="0"/>
          <w:caps w:val="0"/>
          <w:color w:val="424242"/>
          <w:spacing w:val="0"/>
          <w:sz w:val="32"/>
          <w:szCs w:val="32"/>
          <w:shd w:val="clear" w:fill="FFFFFF"/>
        </w:rPr>
        <w:t>强化学习实效、注重法治实践</w:t>
      </w:r>
      <w:r>
        <w:rPr>
          <w:rFonts w:hint="default" w:ascii="Times New Roman" w:hAnsi="Times New Roman" w:eastAsia="方正仿宋_GBK" w:cs="Times New Roman"/>
          <w:i w:val="0"/>
          <w:caps w:val="0"/>
          <w:color w:val="424242"/>
          <w:spacing w:val="0"/>
          <w:sz w:val="32"/>
          <w:szCs w:val="32"/>
          <w:shd w:val="clear" w:fill="FFFFFF"/>
          <w:lang w:eastAsia="zh-CN"/>
        </w:rPr>
        <w:t>，</w:t>
      </w:r>
      <w:r>
        <w:rPr>
          <w:rFonts w:hint="default" w:ascii="Times New Roman" w:hAnsi="Times New Roman" w:eastAsia="方正仿宋_GBK" w:cs="Times New Roman"/>
          <w:b w:val="0"/>
          <w:bCs w:val="0"/>
          <w:sz w:val="32"/>
          <w:szCs w:val="32"/>
          <w:lang w:val="en-US" w:eastAsia="zh-CN"/>
        </w:rPr>
        <w:t>进一步增强全体干部职工依法行政的意识。严格规范公正文明执法，推进行政执法信息化建设，健全行政执法监督制度，加强重点领域执法监管力度，不断提高执法水平和执法队伍整体素质。</w:t>
      </w:r>
    </w:p>
    <w:p w14:paraId="7ACD336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是进一步提升普法宣传与法治培训质效。一方面，聚焦我镇各村（社区）群众反映强烈的突出事项开展精准普法，邀请法律顾问以院坝会、板凳会等接地气的形式，结合典型案例进行现场释法说理，切实增强普法宣传的针对性和实效性；另一方面，督促我镇平安法治办汇总各业务科室核心业务，全面梳理研判工作流程中的法治风险点，通过靶向培训强化工作人员依法行政意识和依法办事能力。</w:t>
      </w:r>
    </w:p>
    <w:p w14:paraId="767E191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p>
    <w:p w14:paraId="6777284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480" w:firstLineChars="14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中共云阳县云安镇委员会</w:t>
      </w:r>
    </w:p>
    <w:p w14:paraId="13C9C48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云阳县云安镇人民政府</w:t>
      </w:r>
    </w:p>
    <w:p w14:paraId="66E1F46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2025年12月31日</w:t>
      </w:r>
    </w:p>
    <w:p w14:paraId="7FB2B63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71838B4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12827B3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2C5415F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07D54FD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12BFB1D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5BBE736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0EA4AA7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41AD45D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109073D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09F11E8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1AA4FFF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23D59E6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0F12D01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7A16CEE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0E39FFB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3C847B3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6BC248D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3F36751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3F27545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1DF3F4E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3DF5CC7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_GBK" w:cs="Times New Roman"/>
          <w:b w:val="0"/>
          <w:bCs w:val="0"/>
          <w:sz w:val="32"/>
          <w:szCs w:val="32"/>
          <w:lang w:val="en-US" w:eastAsia="zh-CN"/>
        </w:rPr>
      </w:pPr>
    </w:p>
    <w:p w14:paraId="652F1760">
      <w:pPr>
        <w:pStyle w:val="11"/>
        <w:ind w:left="0" w:leftChars="0" w:firstLine="0" w:firstLineChars="0"/>
        <w:rPr>
          <w:rFonts w:hint="eastAsia" w:ascii="Times New Roman" w:hAnsi="Times New Roman"/>
          <w:sz w:val="32"/>
          <w:lang w:eastAsia="zh-CN"/>
        </w:rPr>
      </w:pPr>
    </w:p>
    <w:p w14:paraId="52146ED8">
      <w:pPr>
        <w:pBdr>
          <w:top w:val="single" w:color="auto" w:sz="4" w:space="1"/>
          <w:bottom w:val="single" w:color="auto" w:sz="4" w:space="1"/>
          <w:between w:val="single" w:color="auto" w:sz="4" w:space="1"/>
        </w:pBdr>
        <w:suppressAutoHyphens/>
        <w:bidi w:val="0"/>
        <w:spacing w:line="400" w:lineRule="exact"/>
        <w:jc w:val="left"/>
        <w:rPr>
          <w:rFonts w:hint="default"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color w:val="auto"/>
          <w:sz w:val="28"/>
          <w:szCs w:val="24"/>
          <w:lang w:eastAsia="zh-CN"/>
        </w:rPr>
        <w:t>云安</w:t>
      </w:r>
      <w:r>
        <w:rPr>
          <w:rFonts w:hint="eastAsia" w:ascii="方正楷体_GBK" w:hAnsi="方正楷体_GBK" w:eastAsia="方正楷体_GBK" w:cs="方正楷体_GBK"/>
          <w:color w:val="auto"/>
          <w:sz w:val="28"/>
          <w:szCs w:val="24"/>
        </w:rPr>
        <w:t>镇</w:t>
      </w:r>
      <w:r>
        <w:rPr>
          <w:rFonts w:hint="eastAsia" w:ascii="方正楷体_GBK" w:hAnsi="方正楷体_GBK" w:eastAsia="方正楷体_GBK" w:cs="方正楷体_GBK"/>
          <w:color w:val="auto"/>
          <w:sz w:val="28"/>
          <w:szCs w:val="24"/>
          <w:lang w:eastAsia="zh-CN"/>
        </w:rPr>
        <w:t>基层治理指挥中心</w:t>
      </w:r>
      <w:r>
        <w:rPr>
          <w:rFonts w:hint="eastAsia" w:ascii="方正楷体_GBK" w:hAnsi="方正楷体_GBK" w:eastAsia="方正楷体_GBK" w:cs="方正楷体_GBK"/>
          <w:color w:val="auto"/>
          <w:sz w:val="28"/>
          <w:szCs w:val="24"/>
          <w:lang w:val="en-US" w:eastAsia="zh-CN"/>
        </w:rPr>
        <w:t xml:space="preserve">                     </w:t>
      </w:r>
      <w:r>
        <w:rPr>
          <w:rFonts w:hint="default" w:ascii="Times New Roman" w:hAnsi="Times New Roman" w:eastAsia="方正楷体_GBK" w:cs="Times New Roman"/>
          <w:color w:val="auto"/>
          <w:sz w:val="28"/>
          <w:szCs w:val="24"/>
        </w:rPr>
        <w:t>202</w:t>
      </w:r>
      <w:r>
        <w:rPr>
          <w:rFonts w:hint="default" w:ascii="Times New Roman" w:hAnsi="Times New Roman" w:eastAsia="方正楷体_GBK" w:cs="Times New Roman"/>
          <w:color w:val="auto"/>
          <w:sz w:val="28"/>
          <w:szCs w:val="24"/>
          <w:lang w:val="en-US" w:eastAsia="zh-CN"/>
        </w:rPr>
        <w:t>5</w:t>
      </w:r>
      <w:r>
        <w:rPr>
          <w:rFonts w:hint="default" w:ascii="Times New Roman" w:hAnsi="Times New Roman" w:eastAsia="方正楷体_GBK" w:cs="Times New Roman"/>
          <w:color w:val="auto"/>
          <w:sz w:val="28"/>
          <w:szCs w:val="24"/>
        </w:rPr>
        <w:t>年</w:t>
      </w:r>
      <w:r>
        <w:rPr>
          <w:rFonts w:hint="eastAsia" w:ascii="Times New Roman" w:hAnsi="Times New Roman" w:eastAsia="方正楷体_GBK" w:cs="Times New Roman"/>
          <w:color w:val="auto"/>
          <w:sz w:val="28"/>
          <w:szCs w:val="24"/>
          <w:lang w:val="en-US" w:eastAsia="zh-CN"/>
        </w:rPr>
        <w:t>12</w:t>
      </w:r>
      <w:r>
        <w:rPr>
          <w:rFonts w:hint="default" w:ascii="Times New Roman" w:hAnsi="Times New Roman" w:eastAsia="方正楷体_GBK" w:cs="Times New Roman"/>
          <w:color w:val="auto"/>
          <w:sz w:val="28"/>
          <w:szCs w:val="24"/>
        </w:rPr>
        <w:t>月</w:t>
      </w:r>
      <w:r>
        <w:rPr>
          <w:rFonts w:hint="eastAsia" w:ascii="Times New Roman" w:hAnsi="Times New Roman" w:eastAsia="方正楷体_GBK" w:cs="Times New Roman"/>
          <w:color w:val="auto"/>
          <w:sz w:val="28"/>
          <w:szCs w:val="24"/>
          <w:lang w:val="en-US" w:eastAsia="zh-CN"/>
        </w:rPr>
        <w:t>31</w:t>
      </w:r>
      <w:r>
        <w:rPr>
          <w:rFonts w:hint="default" w:ascii="Times New Roman" w:hAnsi="Times New Roman" w:eastAsia="方正楷体_GBK" w:cs="Times New Roman"/>
          <w:color w:val="auto"/>
          <w:sz w:val="28"/>
          <w:szCs w:val="24"/>
        </w:rPr>
        <w:t>日印</w:t>
      </w:r>
      <w:r>
        <w:rPr>
          <w:rFonts w:hint="default" w:ascii="Times New Roman" w:hAnsi="Times New Roman" w:eastAsia="方正楷体_GBK" w:cs="Times New Roman"/>
          <w:color w:val="auto"/>
          <w:sz w:val="28"/>
          <w:szCs w:val="24"/>
          <w:lang w:eastAsia="zh-CN"/>
        </w:rPr>
        <w:t>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0DE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4CFF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D4CFF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D57C"/>
    <w:multiLevelType w:val="singleLevel"/>
    <w:tmpl w:val="CFFFD57C"/>
    <w:lvl w:ilvl="0" w:tentative="0">
      <w:start w:val="3"/>
      <w:numFmt w:val="chineseCounting"/>
      <w:suff w:val="nothing"/>
      <w:lvlText w:val="（%1）"/>
      <w:lvlJc w:val="left"/>
      <w:rPr>
        <w:rFonts w:hint="eastAsia"/>
      </w:rPr>
    </w:lvl>
  </w:abstractNum>
  <w:abstractNum w:abstractNumId="1">
    <w:nsid w:val="35FCE4A1"/>
    <w:multiLevelType w:val="singleLevel"/>
    <w:tmpl w:val="35FCE4A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48C5"/>
    <w:rsid w:val="02C02DD6"/>
    <w:rsid w:val="04ED025E"/>
    <w:rsid w:val="071C229E"/>
    <w:rsid w:val="08ED7B34"/>
    <w:rsid w:val="09290C86"/>
    <w:rsid w:val="09BA721F"/>
    <w:rsid w:val="0A1B02BA"/>
    <w:rsid w:val="0FCA5F5C"/>
    <w:rsid w:val="11CF45DE"/>
    <w:rsid w:val="12307BB2"/>
    <w:rsid w:val="134358DA"/>
    <w:rsid w:val="13C23DD3"/>
    <w:rsid w:val="14435C1D"/>
    <w:rsid w:val="14825921"/>
    <w:rsid w:val="163F6E10"/>
    <w:rsid w:val="17FA2716"/>
    <w:rsid w:val="181E0897"/>
    <w:rsid w:val="18FA07A4"/>
    <w:rsid w:val="1A5928FA"/>
    <w:rsid w:val="21160202"/>
    <w:rsid w:val="249E2CA0"/>
    <w:rsid w:val="293C4856"/>
    <w:rsid w:val="29B41A1A"/>
    <w:rsid w:val="2A8A6FFD"/>
    <w:rsid w:val="2AA61387"/>
    <w:rsid w:val="2C474908"/>
    <w:rsid w:val="2C505692"/>
    <w:rsid w:val="2EB57CF4"/>
    <w:rsid w:val="2FF6817D"/>
    <w:rsid w:val="30420DB8"/>
    <w:rsid w:val="359D23FF"/>
    <w:rsid w:val="375C1F20"/>
    <w:rsid w:val="3A694CC7"/>
    <w:rsid w:val="3AD01E70"/>
    <w:rsid w:val="3B522CF7"/>
    <w:rsid w:val="3B6F7EA4"/>
    <w:rsid w:val="3E8F1BA5"/>
    <w:rsid w:val="3EFB41F2"/>
    <w:rsid w:val="3F0A5138"/>
    <w:rsid w:val="42B37AD7"/>
    <w:rsid w:val="4355799F"/>
    <w:rsid w:val="43BF0FAC"/>
    <w:rsid w:val="45B16C44"/>
    <w:rsid w:val="475D7441"/>
    <w:rsid w:val="4A1B7708"/>
    <w:rsid w:val="4A5E74A0"/>
    <w:rsid w:val="4AE04F65"/>
    <w:rsid w:val="4C1A1186"/>
    <w:rsid w:val="4FCC69CF"/>
    <w:rsid w:val="4FE10E31"/>
    <w:rsid w:val="504171E0"/>
    <w:rsid w:val="55CB58AA"/>
    <w:rsid w:val="5AEB44B6"/>
    <w:rsid w:val="5B564793"/>
    <w:rsid w:val="5C3C5B84"/>
    <w:rsid w:val="5D8A077A"/>
    <w:rsid w:val="5EA81A35"/>
    <w:rsid w:val="5F0D6969"/>
    <w:rsid w:val="5FDA5092"/>
    <w:rsid w:val="67EFF640"/>
    <w:rsid w:val="6AC96E1A"/>
    <w:rsid w:val="6AD227CD"/>
    <w:rsid w:val="6C1056C1"/>
    <w:rsid w:val="6C2E5A36"/>
    <w:rsid w:val="6C9327AE"/>
    <w:rsid w:val="6DD93CCE"/>
    <w:rsid w:val="72B97A78"/>
    <w:rsid w:val="73CFDBA0"/>
    <w:rsid w:val="76D25309"/>
    <w:rsid w:val="77BDC6EE"/>
    <w:rsid w:val="790F14B2"/>
    <w:rsid w:val="7BAF5B7A"/>
    <w:rsid w:val="7E0C070F"/>
    <w:rsid w:val="7F7F3BCD"/>
    <w:rsid w:val="7F8C250A"/>
    <w:rsid w:val="7FE1BF91"/>
    <w:rsid w:val="7FFFCF91"/>
    <w:rsid w:val="87FE9F2D"/>
    <w:rsid w:val="8F7BCC8F"/>
    <w:rsid w:val="9D4B5CFF"/>
    <w:rsid w:val="BA7B23C6"/>
    <w:rsid w:val="BD7D9641"/>
    <w:rsid w:val="DFE5C1D5"/>
    <w:rsid w:val="DFFFC66A"/>
    <w:rsid w:val="E5EFDEDA"/>
    <w:rsid w:val="ECFF2CF3"/>
    <w:rsid w:val="F9E6A9E3"/>
    <w:rsid w:val="FE734873"/>
    <w:rsid w:val="FF7F830E"/>
    <w:rsid w:val="FFBB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3">
    <w:name w:val="Date"/>
    <w:next w:val="1"/>
    <w:unhideWhenUsed/>
    <w:qFormat/>
    <w:uiPriority w:val="99"/>
    <w:pPr>
      <w:widowControl w:val="0"/>
      <w:ind w:left="100" w:leftChars="2500"/>
      <w:jc w:val="both"/>
    </w:pPr>
    <w:rPr>
      <w:rFonts w:ascii="Times New Roman" w:hAnsi="Times New Roman" w:eastAsia="方正仿宋_GBK" w:cs="Times New Roman"/>
      <w:kern w:val="2"/>
      <w:sz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qFormat/>
    <w:uiPriority w:val="0"/>
  </w:style>
  <w:style w:type="paragraph" w:customStyle="1" w:styleId="11">
    <w:name w:val="首行缩进"/>
    <w:qFormat/>
    <w:uiPriority w:val="0"/>
    <w:pPr>
      <w:widowControl w:val="0"/>
      <w:suppressAutoHyphens/>
      <w:bidi w:val="0"/>
      <w:spacing w:line="360" w:lineRule="auto"/>
      <w:ind w:firstLine="480" w:firstLineChars="200"/>
      <w:jc w:val="both"/>
    </w:pPr>
    <w:rPr>
      <w:rFonts w:ascii="宋体" w:hAnsi="宋体" w:eastAsia="宋体" w:cs="宋体"/>
      <w:color w:val="auto"/>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3424</Words>
  <Characters>3518</Characters>
  <Lines>0</Lines>
  <Paragraphs>0</Paragraphs>
  <TotalTime>2</TotalTime>
  <ScaleCrop>false</ScaleCrop>
  <LinksUpToDate>false</LinksUpToDate>
  <CharactersWithSpaces>3637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2025-12-30T16:52:00Z</dcterms:created>
  <dc:creator>Administrator</dc:creator>
  <cp:lastModifiedBy>鱼丸粗面</cp:lastModifiedBy>
  <cp:lastPrinted>2025-12-31T11:01:00Z</cp:lastPrinted>
  <dcterms:modified xsi:type="dcterms:W3CDTF">2026-02-10T01:02:46Z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35B6BE9AE5574542B3F06B7C4AE9C7A9</vt:lpwstr>
  </property>
  <property fmtid="{D5CDD505-2E9C-101B-9397-08002B2CF9AE}" pid="4" name="KSOTemplateDocerSaveRecord">
    <vt:lpwstr>eyJoZGlkIjoiODc1ODY5ODY1OWNiMDA5MjJhOTU4YjVlZTY0N2MwMTkiLCJ1c2VySWQiOiIyNzUyNTk2MTIifQ==</vt:lpwstr>
  </property>
</Properties>
</file>