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ascii="方正仿宋_GBK" w:hAnsi="方正仿宋_GBK" w:cs="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ascii="方正仿宋_GBK" w:hAnsi="方正仿宋_GBK" w:cs="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ascii="方正仿宋_GBK" w:hAnsi="方正仿宋_GBK" w:cs="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ascii="方正仿宋_GBK" w:hAnsi="方正仿宋_GBK" w:cs="方正仿宋_GBK"/>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ascii="方正仿宋_GBK" w:hAnsi="方正仿宋_GBK" w:cs="方正仿宋_GBK"/>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ascii="方正仿宋_GBK" w:hAnsi="方正仿宋_GBK" w:cs="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eastAsia="方正楷体_GBK"/>
          <w:color w:val="000000" w:themeColor="text1"/>
          <w14:textFill>
            <w14:solidFill>
              <w14:schemeClr w14:val="tx1"/>
            </w14:solidFill>
          </w14:textFill>
        </w:rPr>
      </w:pPr>
      <w:r>
        <w:rPr>
          <w:rFonts w:hint="eastAsia" w:ascii="方正仿宋_GBK" w:hAnsi="方正仿宋_GBK" w:cs="方正仿宋_GBK"/>
          <w:color w:val="000000" w:themeColor="text1"/>
          <w:lang w:eastAsia="zh-CN"/>
          <w14:textFill>
            <w14:solidFill>
              <w14:schemeClr w14:val="tx1"/>
            </w14:solidFill>
          </w14:textFill>
        </w:rPr>
        <w:t>云安</w:t>
      </w:r>
      <w:r>
        <w:rPr>
          <w:rFonts w:hint="eastAsia" w:ascii="方正仿宋_GBK" w:hAnsi="方正仿宋_GBK" w:cs="方正仿宋_GBK"/>
          <w:color w:val="000000" w:themeColor="text1"/>
          <w14:textFill>
            <w14:solidFill>
              <w14:schemeClr w14:val="tx1"/>
            </w14:solidFill>
          </w14:textFill>
        </w:rPr>
        <w:t>府发〔</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4</w:t>
      </w:r>
      <w:r>
        <w:rPr>
          <w:rFonts w:hint="eastAsia" w:ascii="方正仿宋_GBK" w:hAnsi="方正仿宋_GBK" w:cs="方正仿宋_GBK"/>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8</w:t>
      </w:r>
      <w:r>
        <w:rPr>
          <w:rFonts w:hint="eastAsia" w:ascii="方正仿宋_GBK" w:hAnsi="方正仿宋_GBK" w:cs="方正仿宋_GBK"/>
          <w:color w:val="000000" w:themeColor="text1"/>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color w:val="000000" w:themeColor="text1"/>
          <w14:textFill>
            <w14:solidFill>
              <w14:schemeClr w14:val="tx1"/>
            </w14:solidFill>
          </w14:textFill>
        </w:rPr>
      </w:pPr>
    </w:p>
    <w:p>
      <w:pPr>
        <w:spacing w:line="720" w:lineRule="exact"/>
        <w:ind w:firstLine="2200" w:firstLineChars="500"/>
        <w:jc w:val="both"/>
        <w:rPr>
          <w:rFonts w:eastAsia="方正小标宋_GBK"/>
          <w:bCs/>
          <w:color w:val="000000" w:themeColor="text1"/>
          <w:sz w:val="44"/>
          <w:szCs w:val="44"/>
          <w14:textFill>
            <w14:solidFill>
              <w14:schemeClr w14:val="tx1"/>
            </w14:solidFill>
          </w14:textFill>
        </w:rPr>
      </w:pPr>
      <w:r>
        <w:rPr>
          <w:rFonts w:hint="eastAsia" w:eastAsia="方正小标宋_GBK"/>
          <w:bCs/>
          <w:color w:val="000000" w:themeColor="text1"/>
          <w:sz w:val="44"/>
          <w:szCs w:val="44"/>
          <w:lang w:eastAsia="zh-CN"/>
          <w14:textFill>
            <w14:solidFill>
              <w14:schemeClr w14:val="tx1"/>
            </w14:solidFill>
          </w14:textFill>
        </w:rPr>
        <w:t>云阳县云安</w:t>
      </w:r>
      <w:r>
        <w:rPr>
          <w:rFonts w:hint="eastAsia" w:eastAsia="方正小标宋_GBK"/>
          <w:bCs/>
          <w:color w:val="000000" w:themeColor="text1"/>
          <w:sz w:val="44"/>
          <w:szCs w:val="44"/>
          <w14:textFill>
            <w14:solidFill>
              <w14:schemeClr w14:val="tx1"/>
            </w14:solidFill>
          </w14:textFill>
        </w:rPr>
        <w:t>镇人民政府</w:t>
      </w:r>
    </w:p>
    <w:p>
      <w:pPr>
        <w:suppressAutoHyphens/>
        <w:spacing w:line="720" w:lineRule="exact"/>
        <w:jc w:val="center"/>
        <w:rPr>
          <w:rFonts w:ascii="方正小标宋_GBK" w:hAnsi="Calibri" w:eastAsia="方正小标宋_GBK"/>
          <w:color w:val="000000" w:themeColor="text1"/>
          <w:sz w:val="44"/>
          <w:szCs w:val="44"/>
          <w14:textFill>
            <w14:solidFill>
              <w14:schemeClr w14:val="tx1"/>
            </w14:solidFill>
          </w14:textFill>
        </w:rPr>
      </w:pPr>
      <w:r>
        <w:rPr>
          <w:rFonts w:hint="eastAsia" w:eastAsia="方正小标宋_GBK" w:cs="方正小标宋_GBK"/>
          <w:color w:val="000000" w:themeColor="text1"/>
          <w:kern w:val="0"/>
          <w:sz w:val="40"/>
          <w:szCs w:val="40"/>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开展消防安全集中除患攻坚大整治行动</w:t>
      </w:r>
      <w:r>
        <w:rPr>
          <w:rFonts w:hint="eastAsia" w:ascii="方正小标宋_GBK" w:hAnsi="Calibri" w:eastAsia="方正小标宋_GBK"/>
          <w:color w:val="000000" w:themeColor="text1"/>
          <w:sz w:val="44"/>
          <w:szCs w:val="44"/>
          <w14:textFill>
            <w14:solidFill>
              <w14:schemeClr w14:val="tx1"/>
            </w14:solidFill>
          </w14:textFill>
        </w:rPr>
        <w:t>的通</w:t>
      </w:r>
      <w:r>
        <w:rPr>
          <w:rFonts w:hint="eastAsia" w:ascii="方正小标宋_GBK" w:hAnsi="Calibri" w:eastAsia="方正小标宋_GBK"/>
          <w:color w:val="000000" w:themeColor="text1"/>
          <w:sz w:val="44"/>
          <w:szCs w:val="44"/>
          <w:lang w:val="en-US" w:eastAsia="zh-CN"/>
          <w14:textFill>
            <w14:solidFill>
              <w14:schemeClr w14:val="tx1"/>
            </w14:solidFill>
          </w14:textFill>
        </w:rPr>
        <w:t xml:space="preserve">  </w:t>
      </w:r>
      <w:r>
        <w:rPr>
          <w:rFonts w:hint="eastAsia" w:ascii="方正小标宋_GBK" w:hAnsi="Calibri" w:eastAsia="方正小标宋_GBK"/>
          <w:color w:val="000000" w:themeColor="text1"/>
          <w:sz w:val="44"/>
          <w:szCs w:val="44"/>
          <w14:textFill>
            <w14:solidFill>
              <w14:schemeClr w14:val="tx1"/>
            </w14:solidFill>
          </w14:textFill>
        </w:rPr>
        <w:t>知</w:t>
      </w:r>
    </w:p>
    <w:p>
      <w:pPr>
        <w:snapToGrid w:val="0"/>
        <w:spacing w:line="720" w:lineRule="exact"/>
        <w:jc w:val="left"/>
        <w:rPr>
          <w:rFonts w:ascii="方正仿宋_GBK" w:hAnsi="方正仿宋_GBK" w:cs="方正仿宋_GBK"/>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各村（社区），镇属各单位：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2024年1月24日，江西省新余市一临街店铺发生特别重大火灾事故，造成39人死亡、9人受伤。1月19日，河南省南阳市方城县独树镇英才学校宿舍楼发生重大火灾事故，造成13名儿童死亡、1名儿童受伤。一周之内，连续发生重大和特别重大火灾事故，暴露出的问题教训极为深刻。为认真贯彻落实习近平总书记重要指示精神和中央领导同志批示要求，深刻吸取事故教训，深化落实国务院安委办消防安全集中除患攻坚大整治行动要求，彻底整治重点场所突出风险隐患，坚决防范和遏制群死群伤火灾事故，根据《</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云</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阳县安全生产委员会云阳县消防安全委员会关于开展消防安全集中除患攻坚大整治行动的通知》云阳安委发〔2024〕4号文件精神和领导工作部署，结合本镇</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实际</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，决定自即日起至3月底，在全镇范围内开展消防安全集中除患攻坚大整治行动。现将有关事项通知如下：</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方正黑体_GBK" w:hAnsi="方正黑体_GBK" w:eastAsia="方正黑体_GBK" w:cs="方正黑体_GBK"/>
          <w:color w:val="000000" w:themeColor="text1"/>
          <w:spacing w:val="0"/>
          <w:kern w:val="0"/>
          <w:sz w:val="32"/>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一、目标任务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以习近平新时代中国特色社会主义思想为指导，坚持“两个至上”、立足“两个根本”，充分认清当前极其严峻的火灾形势，紧盯重点领域、聚焦关键环节，多措并举、综合施策，切实提升基层发现问题和解决问题的强烈意愿和能力水平，全面提高全县消防安全重大风险隐患排查整改质量。通过集中开展大排查、大整治、大曝光、大演练、大约谈、大督导，全面排查“九小场所”、多业态混合生产经营场所、人员密集场所突出风险隐患，严格落实整治重点要求，全力防范化解重大安全风险，切实将压力传递到基层单元，传导到社会末梢，推动压实最末端火灾防范责任，坚决杜绝较大以上和有影响的火灾事故发生，有效防范亡人火灾事故。</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二、组织领导</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为切实加强对此项工作的领导，全面提升全民消防安全素质，我镇特成立工作领导小组：</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组  长：</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张生</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刚</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镇</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副组长：</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魏大勇</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人大主席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firstLine="1920" w:firstLineChars="600"/>
        <w:jc w:val="both"/>
        <w:textAlignment w:val="auto"/>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何  欣    党委副书记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firstLine="1600" w:firstLineChars="500"/>
        <w:jc w:val="both"/>
        <w:textAlignment w:val="auto"/>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冯  荣    纪委书记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firstLine="1600" w:firstLineChars="500"/>
        <w:jc w:val="both"/>
        <w:textAlignment w:val="auto"/>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向聪贵    副镇长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firstLine="1600" w:firstLineChars="500"/>
        <w:jc w:val="both"/>
        <w:textAlignment w:val="auto"/>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 xml:space="preserve">        何世久    政法委员、副镇长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firstLine="1600" w:firstLineChars="500"/>
        <w:jc w:val="both"/>
        <w:textAlignment w:val="auto"/>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李秋娥    宣战委员</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1600" w:firstLineChars="500"/>
        <w:jc w:val="both"/>
        <w:textAlignment w:val="auto"/>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 xml:space="preserve">        任  刚    武装部长、副镇长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吴世宝    组织委员</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赵全彬    栖霞派出所所长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成员：平安建设办、民政和社会事务办、经济发展办、规划建设管理环保办、农业服务中心，</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执法办、</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应急办、各村（社区）支部书记、镇属单位负责人。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领导小组下设办公室在镇</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应急办</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，由</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分管安全副镇长何世久</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同志兼任办公室主任</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负责“行动”的统筹指挥、组织协调、督查指导等工作</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代啟龙同志</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任</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办公室</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副主任，</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负责开展消防安全集中除患攻坚大整治行动日常工作</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各村（社区）、有关单位也要成立相应工作组织，统筹推动本辖区、本单位扎实开展专项行动，确保工作取得实效。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、整治范围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（一）“九小场所”。包括</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云安</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小学、村社区卫生室、</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云安</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集镇小商店、小餐饮、小旅店、村社区小作坊等场所。</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（二）多业态混合生产经营场所。包括集餐饮、住宿、商业、仓储等多业态多功能于一体的经营场所，分租、转租形成生产、储存多种功能的劳动密集型企业等场所。</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（三）人员密集场所。包括集镇联建房住宅楼、宾馆饭店、集镇超市、</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云安</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卫生院、</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云安镇社会福利院</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等场所。</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、整治重点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集中整治以下重点问题：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（一）违法违规施工作业和生产经营。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1﹒营业或使用期间进行动火动焊作业。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2﹒违规使用明火或者电焊、气焊作业，未按照动火动焊审批要求，由相关管理单位进行事前审批办理动火审批手续，动火、电焊、气焊作业人员未持证上岗。</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3﹒未经审批施工作业、无证施工作业、违规拆除作业、违规层层转包施工作业、未落实作业安全措施冒险作业。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4﹒动火作业未安排专门人员进行现场安全管理，作业现场未采取相应的消防安全措施（建筑或场所无室内消防用水时动火动焊，未配备至少4具4公斤ABC类干粉灭火器）。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5﹒施工现场动火动焊作业、带火花作业与具有火灾、爆炸风险作业交叉进行。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6﹒设置在人员密集场所、地下建筑的冷库违规采用易燃可燃保温材料，冷库建设、改造、拆除施工期间未严密落实火灾防范措施。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7﹒人员密集场所违规使用聚氨酯泡沫、塑料绿植等易燃可燃材料装修装饰，采用聚氨酯夹芯彩钢板材料。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8﹒电气线路未穿管保护、私拉乱接、随意敷设。</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9﹒消防控制室无人值守，安排未取得消防设施操作员职业资格证书的人员值班。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（二）安全疏散条件不足。</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1﹒占用、堵塞、封闭疏散通道、安全出口和消防车通道。</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2﹒安全出口和疏散楼梯数量不足、宽度不够，在疏散通道上采用物理隔离安装铁栅栏等影响疏散的行为。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3﹒应急广播、应急照明、疏散指示标志损坏。</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4﹒电动自行车在入户大堂、楼梯间、疏散通道等停放充电。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5﹒未结合实际制定灭火和应急疏散预案，员工、宿管员未掌握初期火灾扑救和组织疏散逃生技能。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6﹒多业态混合生产经营场所未确定责任人对共用的疏散通道、安全出口进行统一管理。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（三）违规设置防盗网和广告牌。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1﹒人员密集场所在门窗上设置影响逃生和灭火救援的防盗网、铁栅栏、广告牌等障碍物。</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2﹒人员密集场所户外广告牌审批时未依法依规核对是否影响建筑物公共安全。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（四）消防设施未保持完好有效。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1﹒未按照国家现行技术标准设置室内消火栓、灭火器等消防设施设备。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2﹒室内灭火器材、消火栓无水或压力不足，屋顶消防水箱无水，消防管网闸阀关闭。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3﹒建筑消防设施损坏停用。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、工作措施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（一）集中开展大排查行动。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1﹒全面宣传发动。</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印制《消防安全集中除患攻坚大整治行动通告》，各村（社区）组织网格员、楼栋长在临街商铺、楼道入口广泛张贴。</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利用短信、微信等全覆盖发送以《通告》内容为主的消防公益提示信息。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全面自查自改。通过电话、微信群、上门走访、召开院坝会等方式，负责督促除消防安全重点单位和公安派出所消防安全监督检查单位以外的其他“三类场所”消防安全责任人带队开展自查自改，并签字确认自查记录存档备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3﹒全面排查检查。</w:t>
      </w:r>
      <w:r>
        <w:rPr>
          <w:rFonts w:hint="eastAsia" w:ascii="Times New Roman" w:hAnsi="Times New Roman" w:eastAsia="方正仿宋_GBK" w:cs="方正仿宋_GBK"/>
          <w:b/>
          <w:color w:val="000000" w:themeColor="text1"/>
          <w:spacing w:val="0"/>
          <w:kern w:val="0"/>
          <w:sz w:val="32"/>
          <w:szCs w:val="32"/>
          <w:shd w:val="clear" w:color="auto" w:fill="FFFFFF"/>
          <w14:textFill>
            <w14:solidFill>
              <w14:schemeClr w14:val="tx1"/>
            </w14:solidFill>
          </w14:textFill>
        </w:rPr>
        <w:t>一是</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各村（社区）的消防工作站</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镇综合执法大队、应急办要对除消防安全重点单位、派出所消防安全监督检查单位以外的“三类场所”进行全覆盖检查，检查情况同步录入“重庆市消防安全协同管理系统”，</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各一岗双责领导要带队在各自分管领域开展检查。</w:t>
      </w:r>
      <w:r>
        <w:rPr>
          <w:rFonts w:hint="eastAsia" w:ascii="Times New Roman" w:hAnsi="Times New Roman" w:eastAsia="方正仿宋_GBK" w:cs="方正仿宋_GBK"/>
          <w:b/>
          <w:color w:val="000000" w:themeColor="text1"/>
          <w:spacing w:val="0"/>
          <w:kern w:val="0"/>
          <w:sz w:val="32"/>
          <w:szCs w:val="32"/>
          <w:shd w:val="clear" w:color="auto" w:fill="FFFFFF"/>
          <w14:textFill>
            <w14:solidFill>
              <w14:schemeClr w14:val="tx1"/>
            </w14:solidFill>
          </w14:textFill>
        </w:rPr>
        <w:t>二是</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各村（社区）</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组织发动网格员对“孤老病残”人群住所和楼梯间等公共区域开展排查，确保隐患排查全覆盖，不留死角盲区。此外，各行业科室对本行业不放心、不托底的其他单位（场所）开展全面排查。排查过程中，要逐一现场填写《火灾隐患集中排查指引表》（见附件3），根据排查检查情况，建立健全“三类场所”隐患整治台账，并存档备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（二）集中开展大整治行动。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highlight w:val="yellow"/>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分级分类整治。</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各一岗双责行业科室、村（社区）要落实层级消防安全责任，根据排查情况，同步建立排查问题清单，逐条对账销号，按照“属地监管、行业监管”优先原则，综合施策，精准治理。各一岗双责领导要带队深入一线，督促隐患整改。对于单位场所自身能够整改的，按照“谁排查、谁负责、谁签字、谁负责”的原则，依法督促单位场所立即采取措施整改，整改期限原则上在发现之日起，10日内整改完毕。对因整改技术复杂、难度较大的，要落实专人逐一督促指导社会单位制定整改方案、明确整改责任、落实整改时限、细化整改措施，30日内整改完毕。对排查出隐患</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严重，久拖不改，需要多跨协同推进隐患治理的，</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及时报告主要领导审核后上报县消防安全委员会办公室，按程序提请县政府挂牌督办，在3月底前整改。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加大执法力度。</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紧盯违规动火动焊施工作业，占堵消防车通道、疏散通道和安全出口，尤其是对人员密集场所在安全出口、疏散门、外窗等部位违规设置影响逃生和灭火救援的障碍物（如：防盗网、铁栅栏、广告牌）等突出问题，始终保持消防监督执法的高压态势，对单位场所隐患逾期不改或拒不整改的，依法从严、从重查处。各村（社区）消防工作站和镇综合行政执法大队、应急办要用好消防委托执法和赋权执法手段，在委托和赋权范围内，依法查处消防安全违法行为；组织网格员对存在隐患的单位进行督促劝导和教育警示，及时向上移交突出隐患问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3﹒实施联合惩戒。对存在消防安全严重失信行为的，经主要领导审批后上报县发展改革委、县市场监管局及时录入信用管理平台，实施信用联合惩戒。对涉嫌犯罪、严重危害公共安全的，上报县级相关部门，依法追究刑事责任，加大事前涉嫌消防安全犯罪案件的移送查办力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（三）集中开展曝光行动。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集中曝光问题。县融媒体中心开设“消防安全集中除患攻坚大整治行动”专栏，对乡镇（街道）、行业主管部门专项行动开展情况进行跟踪报道，曝光突出问题和严重违法行为。春节前，县消防安全委员会办公室在全行业选取一批典型问题开展集中曝光行动，春节后，每周开展1次集中曝光行动。各村（社区）要运用社区小喇叭、农村大喇叭等方式，每开展本辖区、本行业突出火灾隐患和消防安全违法行为曝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强化宣传教育。各村（社区）消防工作站、网格员、镇综合行政执法大队、应急办要组织入户发放消防安全告知书和消防安全宣传手册等消防安全知识资料。引导居民落实“三清三关”（清走道、清阳台、清厨房，关电源、关气源、关门窗）要求。</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3、发动全民参与。各一岗双责行业科室要广泛开展宣传发动，充分发挥群众力量，动员全民参与消防安全集中除患攻坚大整治，主动发现、消除身边火灾隐患。</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（四）集中开展演练行动。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1、重点人群演练。各一岗双责行业科室要按照“谁排查、谁负责，谁管理、谁负责”的原则，聚焦“三类场所”，组织重点人群开展1轮全员消防安全演练，着力提升人员初起火灾扑救和疏散逃生能力。</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应急拉动演练。各村（社区）要组织村（社区）微型消防站每月开展1次应急拉动演练。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（五）集中开展约谈行动。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1、全面提示风险。各一岗双责领导要认真分析研判本辖区、本行业突出的消防安全风险，利用微信群、上门走访、院坝会等方式，及时向广大群众发布提示，指出火灾风险隐患，提出防范应对措施。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2、重点警示约谈。</w:t>
      </w:r>
      <w:r>
        <w:rPr>
          <w:rFonts w:hint="eastAsia" w:ascii="Times New Roman" w:hAnsi="Times New Roman" w:eastAsia="方正仿宋_GBK" w:cs="方正仿宋_GBK"/>
          <w:b/>
          <w:color w:val="000000" w:themeColor="text1"/>
          <w:spacing w:val="0"/>
          <w:kern w:val="0"/>
          <w:sz w:val="32"/>
          <w:szCs w:val="32"/>
          <w:shd w:val="clear" w:color="auto" w:fill="FFFFFF"/>
          <w14:textFill>
            <w14:solidFill>
              <w14:schemeClr w14:val="tx1"/>
            </w14:solidFill>
          </w14:textFill>
        </w:rPr>
        <w:t>一是</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专项整治工作期间，凡因责任不落实、工作不到位，导致本辖区、本行业发生亡人或较大影响火灾的，一岗双责领导要组织约谈该单位主要负责人。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（六）常态化开展督导检查行动。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各一岗双责领导要带队对本辖区、本行业专项整治工作推进情况和单位（场所）突出隐患问题整改情况进行常态督导检查，推动本行业领域工作落实落地。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、工作步骤</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（一）动员部署（2024年2月6日前）。全镇在</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2月6日前，制定工作方案，召开专题动员部署会议，</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细化落实工作责任，向社会广泛发布消防安全大整治公告。主要领导</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牵头部署</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分管领导</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带队检查调研、分析形势，</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形成除患攻坚强大声势。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二）除患攻坚（2024年3月15日前）。集中开展大排查、大整治、大曝光、大演练、大约谈、大督导行动，全面排查“九小场所”、多业态混合生产经营场所、人员密集场所突出风险隐患，严格落实整治重点要求，确保大整治工作取得实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（三）</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巩固提升（2026年12月底前）。</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要</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将除患攻坚大整治行动纳入消防安全治本攻坚三年行动持续推进，常态化加强消防安全检查督导，接续整治遗留问题、重大隐患和瓶颈难题，提升消防安全本质水平，推动全镇火灾形势持续稳定向好。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、工作要求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一）强化组织领导。各村（社区）、一岗双责行业科室要坚决贯彻落实习近平总书记重要指示精神，进一步提高政治站位，站在统筹发展和安全的高度，把除患攻坚大整治行动作为当前维护社会稳定大局的重大政治任务来抓，进一步加强组织领导、指挥调度，压紧压实层级消防安全责任，采取强有力的措施，督促各级认真排查消防安全风险隐患，狠抓大整治工作质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（二）强化统筹推进。</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各村（社区）、一岗双责行业科室</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要将除患攻坚大整治行动与消防安全治本攻坚三年行动、春节消防安全工作、全国两会安保工作等重点任务有效结合、同步推进，强化系统治理、综合治理、源头治理、依法治理，找准隐患问题集中的重点领域、敏感场所、薄弱环节，采取精准有力措施重拳攻坚，全力维护本辖区、本行业领域消防安全形势平稳。</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（三）强化督查问效。除患攻坚大整治行动期间，对凡因行动迟缓、工作敷衍，导致发生亡人火灾事故的，将按程序启动责任倒查机制，依法依规严肃追究相关人员</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的</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1600" w:leftChars="200" w:hanging="960" w:hangingChars="3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附件：</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1﹒关于开展全</w:t>
      </w:r>
      <w:r>
        <w:rPr>
          <w:rFonts w:hint="eastAsia" w:ascii="Times New Roman" w:hAnsi="Times New Roman" w:eastAsia="方正仿宋_GBK" w:cs="方正仿宋_GBK"/>
          <w:color w:val="000000" w:themeColor="text1"/>
          <w:spacing w:val="0"/>
          <w:kern w:val="0"/>
          <w:sz w:val="32"/>
          <w:szCs w:val="32"/>
          <w:shd w:val="clear" w:color="auto" w:fill="FFFFFF"/>
          <w:lang w:eastAsia="zh-CN"/>
          <w14:textFill>
            <w14:solidFill>
              <w14:schemeClr w14:val="tx1"/>
            </w14:solidFill>
          </w14:textFill>
        </w:rPr>
        <w:t>县</w:t>
      </w: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消防安全集中除患攻坚大整治行动的通告</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1600" w:firstLineChars="5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2﹒</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 xml:space="preserve">三类重点场所消防安全整治指南 </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1600" w:firstLineChars="500"/>
        <w:jc w:val="both"/>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shd w:val="clear" w:color="auto" w:fill="FFFFFF"/>
          <w14:textFill>
            <w14:solidFill>
              <w14:schemeClr w14:val="tx1"/>
            </w14:solidFill>
          </w14:textFill>
        </w:rPr>
        <w:t>3﹒</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火灾隐患集中排查指引表</w:t>
      </w:r>
    </w:p>
    <w:p>
      <w:pPr>
        <w:pStyle w:val="17"/>
        <w:keepNext w:val="0"/>
        <w:keepLines w:val="0"/>
        <w:pageBreakBefore w:val="0"/>
        <w:widowControl w:val="0"/>
        <w:kinsoku/>
        <w:wordWrap/>
        <w:overflowPunct/>
        <w:topLinePunct w:val="0"/>
        <w:bidi w:val="0"/>
        <w:snapToGrid/>
        <w:spacing w:line="578" w:lineRule="exact"/>
        <w:ind w:firstLine="1200" w:firstLineChars="500"/>
        <w:textAlignment w:val="auto"/>
        <w:rPr>
          <w:color w:val="000000" w:themeColor="text1"/>
          <w14:textFill>
            <w14:solidFill>
              <w14:schemeClr w14:val="tx1"/>
            </w14:solidFill>
          </w14:textFill>
        </w:rPr>
      </w:pPr>
    </w:p>
    <w:p>
      <w:pPr>
        <w:spacing w:line="578" w:lineRule="exact"/>
        <w:ind w:firstLine="4960" w:firstLineChars="1550"/>
        <w:jc w:val="left"/>
        <w:rPr>
          <w:rFonts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云阳县</w:t>
      </w:r>
      <w:r>
        <w:rPr>
          <w:rFonts w:hint="eastAsia" w:ascii="方正仿宋_GBK" w:hAnsi="仿宋"/>
          <w:color w:val="000000" w:themeColor="text1"/>
          <w:szCs w:val="32"/>
          <w:lang w:eastAsia="zh-CN"/>
          <w14:textFill>
            <w14:solidFill>
              <w14:schemeClr w14:val="tx1"/>
            </w14:solidFill>
          </w14:textFill>
        </w:rPr>
        <w:t>云安</w:t>
      </w:r>
      <w:r>
        <w:rPr>
          <w:rFonts w:hint="eastAsia" w:ascii="方正仿宋_GBK" w:hAnsi="仿宋"/>
          <w:color w:val="000000" w:themeColor="text1"/>
          <w:szCs w:val="32"/>
          <w14:textFill>
            <w14:solidFill>
              <w14:schemeClr w14:val="tx1"/>
            </w14:solidFill>
          </w14:textFill>
        </w:rPr>
        <w:t>镇人民政府</w:t>
      </w:r>
    </w:p>
    <w:p>
      <w:pPr>
        <w:spacing w:line="578" w:lineRule="exact"/>
        <w:ind w:right="960" w:firstLine="640" w:firstLineChars="200"/>
        <w:jc w:val="right"/>
        <w:rPr>
          <w:rFonts w:ascii="方正仿宋_GBK" w:hAnsi="仿宋"/>
          <w:color w:val="000000" w:themeColor="text1"/>
          <w:szCs w:val="32"/>
          <w14:textFill>
            <w14:solidFill>
              <w14:schemeClr w14:val="tx1"/>
            </w14:solidFill>
          </w14:textFill>
        </w:rPr>
      </w:pPr>
      <w:r>
        <w:rPr>
          <w:rFonts w:hint="eastAsia"/>
          <w:color w:val="000000" w:themeColor="text1"/>
          <w14:textFill>
            <w14:solidFill>
              <w14:schemeClr w14:val="tx1"/>
            </w14:solidFill>
          </w14:textFill>
        </w:rPr>
        <w:t>2024年2月5</w:t>
      </w:r>
      <w:r>
        <w:rPr>
          <w:rFonts w:hint="eastAsia" w:ascii="方正仿宋_GBK" w:hAnsi="仿宋"/>
          <w:color w:val="000000" w:themeColor="text1"/>
          <w:szCs w:val="32"/>
          <w14:textFill>
            <w14:solidFill>
              <w14:schemeClr w14:val="tx1"/>
            </w14:solidFill>
          </w14:textFill>
        </w:rPr>
        <w:t>日</w:t>
      </w:r>
    </w:p>
    <w:p>
      <w:pPr>
        <w:tabs>
          <w:tab w:val="center" w:pos="4153"/>
          <w:tab w:val="right" w:pos="8306"/>
        </w:tabs>
        <w:spacing w:line="578" w:lineRule="exact"/>
        <w:ind w:firstLine="640" w:firstLineChars="200"/>
        <w:rPr>
          <w:color w:val="000000" w:themeColor="text1"/>
          <w:kern w:val="0"/>
          <w:szCs w:val="32"/>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eastAsia="方正黑体_GBK"/>
          <w:color w:val="000000" w:themeColor="text1"/>
          <w:kern w:val="0"/>
          <w:sz w:val="32"/>
          <w:szCs w:val="32"/>
          <w:shd w:val="clear" w:color="auto" w:fill="FFFFFF"/>
          <w14:textFill>
            <w14:solidFill>
              <w14:schemeClr w14:val="tx1"/>
            </w14:solidFill>
          </w14:textFill>
        </w:rPr>
        <w:t>1</w:t>
      </w:r>
    </w:p>
    <w:p>
      <w:pPr>
        <w:spacing w:line="720" w:lineRule="exact"/>
        <w:jc w:val="center"/>
        <w:rPr>
          <w:rFonts w:hint="eastAsia" w:ascii="方正小标宋_GBK" w:eastAsia="方正小标宋_GBK"/>
          <w:color w:val="000000" w:themeColor="text1"/>
          <w:spacing w:val="-20"/>
          <w:sz w:val="44"/>
          <w:szCs w:val="44"/>
          <w14:textFill>
            <w14:solidFill>
              <w14:schemeClr w14:val="tx1"/>
            </w14:solidFill>
          </w14:textFill>
        </w:rPr>
      </w:pPr>
      <w:r>
        <w:rPr>
          <w:rFonts w:hint="eastAsia" w:ascii="方正小标宋_GBK" w:eastAsia="方正小标宋_GBK"/>
          <w:color w:val="000000" w:themeColor="text1"/>
          <w:spacing w:val="-20"/>
          <w:sz w:val="44"/>
          <w:szCs w:val="44"/>
          <w14:textFill>
            <w14:solidFill>
              <w14:schemeClr w14:val="tx1"/>
            </w14:solidFill>
          </w14:textFill>
        </w:rPr>
        <w:t>云阳县消防安全委员会</w:t>
      </w:r>
    </w:p>
    <w:p>
      <w:pPr>
        <w:spacing w:line="720" w:lineRule="exact"/>
        <w:jc w:val="center"/>
        <w:rPr>
          <w:rFonts w:hint="eastAsia"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关于开展</w:t>
      </w:r>
      <w:r>
        <w:rPr>
          <w:rFonts w:hint="eastAsia" w:ascii="方正小标宋_GBK" w:eastAsia="方正小标宋_GBK"/>
          <w:color w:val="000000" w:themeColor="text1"/>
          <w:spacing w:val="-20"/>
          <w:sz w:val="44"/>
          <w:szCs w:val="44"/>
          <w14:textFill>
            <w14:solidFill>
              <w14:schemeClr w14:val="tx1"/>
            </w14:solidFill>
          </w14:textFill>
        </w:rPr>
        <w:t>全县</w:t>
      </w:r>
      <w:r>
        <w:rPr>
          <w:rFonts w:hint="eastAsia" w:ascii="方正小标宋_GBK" w:eastAsia="方正小标宋_GBK"/>
          <w:color w:val="000000" w:themeColor="text1"/>
          <w:sz w:val="44"/>
          <w:szCs w:val="44"/>
          <w14:textFill>
            <w14:solidFill>
              <w14:schemeClr w14:val="tx1"/>
            </w14:solidFill>
          </w14:textFill>
        </w:rPr>
        <w:t>消防安全集中除患攻坚大整治</w:t>
      </w:r>
    </w:p>
    <w:p>
      <w:pPr>
        <w:spacing w:line="72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行动的通告</w:t>
      </w:r>
    </w:p>
    <w:p>
      <w:pPr>
        <w:adjustRightInd w:val="0"/>
        <w:snapToGrid w:val="0"/>
        <w:spacing w:line="594" w:lineRule="exact"/>
        <w:jc w:val="center"/>
        <w:rPr>
          <w:color w:val="000000" w:themeColor="text1"/>
          <w:kern w:val="0"/>
          <w:sz w:val="44"/>
          <w:szCs w:val="44"/>
          <w14:textFill>
            <w14:solidFill>
              <w14:schemeClr w14:val="tx1"/>
            </w14:solidFill>
          </w14:textFill>
        </w:rPr>
      </w:pP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color w:val="000000" w:themeColor="text1"/>
          <w:szCs w:val="32"/>
          <w14:textFill>
            <w14:solidFill>
              <w14:schemeClr w14:val="tx1"/>
            </w14:solidFill>
          </w14:textFill>
        </w:rPr>
        <w:t>为深刻汲取近期火灾事故教训，</w:t>
      </w:r>
      <w:r>
        <w:rPr>
          <w:rFonts w:hint="eastAsia" w:ascii="方正仿宋_GBK" w:hAnsi="方正仿宋_GBK" w:eastAsia="方正仿宋_GBK" w:cs="方正仿宋_GBK"/>
          <w:bCs/>
          <w:color w:val="000000" w:themeColor="text1"/>
          <w:szCs w:val="32"/>
          <w14:textFill>
            <w14:solidFill>
              <w14:schemeClr w14:val="tx1"/>
            </w14:solidFill>
          </w14:textFill>
        </w:rPr>
        <w:t>坚决整治重点场所突出风险隐患，有效防</w:t>
      </w:r>
      <w:r>
        <w:rPr>
          <w:rFonts w:ascii="Times New Roman" w:eastAsia="方正仿宋_GBK"/>
          <w:bCs/>
          <w:color w:val="000000" w:themeColor="text1"/>
          <w:szCs w:val="32"/>
          <w14:textFill>
            <w14:solidFill>
              <w14:schemeClr w14:val="tx1"/>
            </w14:solidFill>
          </w14:textFill>
        </w:rPr>
        <w:t>范和遏制群死群伤火灾事故发生，</w:t>
      </w:r>
      <w:r>
        <w:rPr>
          <w:rFonts w:hint="eastAsia" w:ascii="Times New Roman" w:eastAsia="方正仿宋_GBK"/>
          <w:bCs/>
          <w:color w:val="000000" w:themeColor="text1"/>
          <w:szCs w:val="32"/>
          <w14:textFill>
            <w14:solidFill>
              <w14:schemeClr w14:val="tx1"/>
            </w14:solidFill>
          </w14:textFill>
        </w:rPr>
        <w:t>经县政府同意，</w:t>
      </w:r>
      <w:r>
        <w:rPr>
          <w:rFonts w:hint="eastAsia" w:ascii="Times New Roman" w:eastAsia="方正仿宋_GBK"/>
          <w:color w:val="000000" w:themeColor="text1"/>
          <w:szCs w:val="32"/>
          <w14:textFill>
            <w14:solidFill>
              <w14:schemeClr w14:val="tx1"/>
            </w14:solidFill>
          </w14:textFill>
        </w:rPr>
        <w:t>即日起至3月底，对全县“九小场所”、多业态混合生产经营场所、人员密集场所开展集中除患攻坚大整治行动。现将有关事项通告如下：</w:t>
      </w:r>
    </w:p>
    <w:p>
      <w:pPr>
        <w:pStyle w:val="18"/>
        <w:spacing w:before="0" w:beforeAutospacing="0" w:after="0" w:afterAutospacing="0" w:line="578" w:lineRule="exact"/>
        <w:ind w:firstLine="640"/>
        <w:jc w:val="both"/>
        <w:rPr>
          <w:rFonts w:hint="default" w:ascii="方正黑体_GBK" w:hAnsi="方正黑体_GBK" w:eastAsia="方正黑体_GBK" w:cs="方正黑体_GBK"/>
          <w:color w:val="000000" w:themeColor="text1"/>
          <w:sz w:val="32"/>
          <w:szCs w:val="32"/>
          <w14:textFill>
            <w14:solidFill>
              <w14:schemeClr w14:val="tx1"/>
            </w14:solidFill>
          </w14:textFill>
        </w:rPr>
      </w:pPr>
      <w:r>
        <w:rPr>
          <w:rFonts w:ascii="方正黑体_GBK" w:hAnsi="方正黑体_GBK" w:eastAsia="方正黑体_GBK" w:cs="方正黑体_GBK"/>
          <w:color w:val="000000" w:themeColor="text1"/>
          <w:sz w:val="32"/>
          <w:szCs w:val="32"/>
          <w14:textFill>
            <w14:solidFill>
              <w14:schemeClr w14:val="tx1"/>
            </w14:solidFill>
          </w14:textFill>
        </w:rPr>
        <w:t>一、整治范围</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（一）“九小场所”。</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包括小型学校幼儿园、小型医疗机构、小商店、小餐饮、小旅店、小歌舞娱乐、小网吧、小美容洗浴、小生产加工企业等场所。</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t>（二）多业态混合生产经营场所。</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包括集餐饮、住宿、娱乐、商业、仓储、文化、体育、培训等多业态多功能于一体的经营场所，分租、转租形成生产、储存多种功能的劳动密集型企业等场所。</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t>（三）人员密集场所。</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包括宾馆饭店、公共娱乐场所、大型商业综合体、医院、养老院（含医养结合）、寄宿制学校、旅游场所、托育机构</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、儿童福利院</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等场所。</w:t>
      </w:r>
    </w:p>
    <w:p>
      <w:pPr>
        <w:pStyle w:val="18"/>
        <w:spacing w:before="0" w:beforeAutospacing="0" w:after="0" w:afterAutospacing="0" w:line="578" w:lineRule="exact"/>
        <w:ind w:firstLine="640"/>
        <w:jc w:val="both"/>
        <w:rPr>
          <w:rFonts w:hint="default" w:ascii="方正黑体_GBK" w:hAnsi="方正黑体_GBK" w:eastAsia="方正黑体_GBK" w:cs="方正黑体_GBK"/>
          <w:color w:val="000000" w:themeColor="text1"/>
          <w:sz w:val="32"/>
          <w:szCs w:val="32"/>
          <w14:textFill>
            <w14:solidFill>
              <w14:schemeClr w14:val="tx1"/>
            </w14:solidFill>
          </w14:textFill>
        </w:rPr>
      </w:pPr>
      <w:r>
        <w:rPr>
          <w:rFonts w:ascii="方正黑体_GBK" w:hAnsi="方正黑体_GBK" w:eastAsia="方正黑体_GBK" w:cs="方正黑体_GBK"/>
          <w:color w:val="000000" w:themeColor="text1"/>
          <w:sz w:val="32"/>
          <w:szCs w:val="32"/>
          <w14:textFill>
            <w14:solidFill>
              <w14:schemeClr w14:val="tx1"/>
            </w14:solidFill>
          </w14:textFill>
        </w:rPr>
        <w:t>二、整治重点</w:t>
      </w:r>
    </w:p>
    <w:p>
      <w:pPr>
        <w:pStyle w:val="8"/>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（一）违法违规施工作业和生产经营。</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1﹒营业或使用期间进行动火动焊作业。</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2﹒</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违规使用明火或者电焊、气焊作业，</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未按照动火动焊审批要求，由相关管理单位进行事前审批办理动火审批手续，动火、电焊、气焊作业人员未持证上岗。</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3﹒</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未经审批施工作业、无证施工作业、违规拆除作业、违规层层转包施工作业、未落实作业安全措施冒险作业。</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4﹒动火作业未安排专门人员进行现场安全管理，作业现场未采取相应的消防安全措施（建筑或场所无室内消防用水时动火动焊，未配备至少4具4公斤ABC类干粉灭火器）。</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5﹒施工现场动火动焊作业、带火花作业与具有火灾、爆炸风险作业交叉进行。</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6﹒设置在人员密集场所、地下建筑的冷库违规采用易燃可燃保温材料，冷库建设、改造、拆除施工期间未严密落实火灾防范措施。</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7﹒人员密集场所违规使用</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聚氨酯泡沫、塑料绿植等</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易燃可燃材料装修装饰，采用聚氨酯夹芯彩钢板材料。</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8﹒电气线路未穿管保护、私拉乱接、随意敷设。</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9﹒消防控制室无人值守，安排未取得消防设施操作</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员职业资格证书的人员</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值班。</w:t>
      </w:r>
    </w:p>
    <w:p>
      <w:pPr>
        <w:pStyle w:val="8"/>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（二）安全疏散条件不足。</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1﹒占用、堵塞、封闭疏散通道、安全出口和消防车通道。</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2﹒安全出口和疏散楼梯数量不足、宽度不够，在疏散通道上采用物理隔离安装铁栅栏</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等</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影响疏散</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的行为</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3﹒应急广播、应急照明、疏散指示标志损坏。</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4</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电动自行车在入户大堂、楼梯间、疏散通道等停放充电。</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5</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﹒未结合实际制定灭火和应急疏散预案，员工、宿管员</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未</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掌握初</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期</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火灾扑救和组织疏散逃生技能。</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6</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﹒多业态混合生产经营场所未确定责任人对共用的疏散通道、安全出口进行统一管理。</w:t>
      </w:r>
    </w:p>
    <w:p>
      <w:pPr>
        <w:pStyle w:val="8"/>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（三）违规设置防盗网和广告牌。</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1﹒人员密集场所在门窗上设置影响逃生和灭火救援的防盗网、铁栅栏、广告牌等障碍物。</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2﹒人员密集场所户外广告牌审批时未依法依规核对是否影响建筑物公共安全。</w:t>
      </w:r>
    </w:p>
    <w:p>
      <w:pPr>
        <w:pStyle w:val="8"/>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（四）消防设施未保持完好有效。</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1﹒未按照国家现行技术标准设置室内消火栓系统、自动喷水灭火系统、灭火器等</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消防</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设施设备。</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2﹒室内消火栓系统、自动喷水灭火系统无水或</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压力不足</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，屋顶消防水箱无水，消防管网闸阀关闭。</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3﹒建筑消防设施损坏停用。</w:t>
      </w:r>
    </w:p>
    <w:p>
      <w:pPr>
        <w:pStyle w:val="18"/>
        <w:spacing w:before="0" w:beforeAutospacing="0" w:after="0" w:afterAutospacing="0" w:line="578" w:lineRule="exact"/>
        <w:ind w:firstLine="640"/>
        <w:jc w:val="both"/>
        <w:rPr>
          <w:rFonts w:hint="default" w:ascii="方正黑体_GBK" w:hAnsi="方正黑体_GBK" w:eastAsia="方正黑体_GBK" w:cs="方正黑体_GBK"/>
          <w:color w:val="000000" w:themeColor="text1"/>
          <w:sz w:val="32"/>
          <w:szCs w:val="32"/>
          <w14:textFill>
            <w14:solidFill>
              <w14:schemeClr w14:val="tx1"/>
            </w14:solidFill>
          </w14:textFill>
        </w:rPr>
      </w:pPr>
      <w:r>
        <w:rPr>
          <w:rFonts w:ascii="方正黑体_GBK" w:hAnsi="方正黑体_GBK" w:eastAsia="方正黑体_GBK" w:cs="方正黑体_GBK"/>
          <w:color w:val="000000" w:themeColor="text1"/>
          <w:sz w:val="32"/>
          <w:szCs w:val="32"/>
          <w14:textFill>
            <w14:solidFill>
              <w14:schemeClr w14:val="tx1"/>
            </w14:solidFill>
          </w14:textFill>
        </w:rPr>
        <w:t>三、整治措施</w:t>
      </w:r>
    </w:p>
    <w:p>
      <w:pPr>
        <w:spacing w:line="578" w:lineRule="exact"/>
        <w:ind w:firstLine="640" w:firstLineChars="200"/>
        <w:rPr>
          <w:rFonts w:ascii="Times New Roman" w:eastAsia="方正仿宋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（一）集中开展大排查。</w:t>
      </w:r>
      <w:r>
        <w:rPr>
          <w:rFonts w:hint="eastAsia" w:ascii="Times New Roman" w:eastAsia="方正仿宋_GBK"/>
          <w:color w:val="000000" w:themeColor="text1"/>
          <w:szCs w:val="32"/>
          <w14:textFill>
            <w14:solidFill>
              <w14:schemeClr w14:val="tx1"/>
            </w14:solidFill>
          </w14:textFill>
        </w:rPr>
        <w:t>各社会单位针对整治重点，自查自改突出风险隐患，单位消防安全责任人、管理人要带队开展自查，签字确认自查记录并存档备查。各行业主管部门牵头</w:t>
      </w:r>
      <w:r>
        <w:rPr>
          <w:rFonts w:ascii="Times New Roman" w:eastAsia="方正仿宋_GBK"/>
          <w:color w:val="000000" w:themeColor="text1"/>
          <w:szCs w:val="32"/>
          <w14:textFill>
            <w14:solidFill>
              <w14:schemeClr w14:val="tx1"/>
            </w14:solidFill>
          </w14:textFill>
        </w:rPr>
        <w:t>组织开展行业领域消防安全大排查</w:t>
      </w:r>
      <w:r>
        <w:rPr>
          <w:rFonts w:hint="eastAsia" w:ascii="Times New Roman" w:eastAsia="方正仿宋_GBK"/>
          <w:color w:val="000000" w:themeColor="text1"/>
          <w:szCs w:val="32"/>
          <w14:textFill>
            <w14:solidFill>
              <w14:schemeClr w14:val="tx1"/>
            </w14:solidFill>
          </w14:textFill>
        </w:rPr>
        <w:t>。公安派出所针对列入检查单位开展排查</w:t>
      </w:r>
      <w:r>
        <w:rPr>
          <w:rFonts w:ascii="Times New Roman" w:eastAsia="方正仿宋_GBK"/>
          <w:color w:val="000000" w:themeColor="text1"/>
          <w:szCs w:val="32"/>
          <w14:textFill>
            <w14:solidFill>
              <w14:schemeClr w14:val="tx1"/>
            </w14:solidFill>
          </w14:textFill>
        </w:rPr>
        <w:t>。</w:t>
      </w:r>
      <w:r>
        <w:rPr>
          <w:rFonts w:hint="eastAsia" w:ascii="Times New Roman" w:eastAsia="方正仿宋_GBK"/>
          <w:color w:val="000000" w:themeColor="text1"/>
          <w:szCs w:val="32"/>
          <w14:textFill>
            <w14:solidFill>
              <w14:schemeClr w14:val="tx1"/>
            </w14:solidFill>
          </w14:textFill>
        </w:rPr>
        <w:t>消防部门针对消防安全重点单位开展排查。</w:t>
      </w:r>
      <w:r>
        <w:rPr>
          <w:rFonts w:ascii="Times New Roman" w:eastAsia="方正仿宋_GBK"/>
          <w:color w:val="000000" w:themeColor="text1"/>
          <w:szCs w:val="32"/>
          <w14:textFill>
            <w14:solidFill>
              <w14:schemeClr w14:val="tx1"/>
            </w14:solidFill>
          </w14:textFill>
        </w:rPr>
        <w:t>各乡镇（街道）运用协同管理系统全面开展消防安全排查。</w:t>
      </w:r>
    </w:p>
    <w:p>
      <w:pPr>
        <w:spacing w:line="578" w:lineRule="exact"/>
        <w:ind w:firstLine="640" w:firstLineChars="200"/>
        <w:rPr>
          <w:rFonts w:ascii="方正仿宋_GBK" w:hAnsi="方正仿宋_GBK" w:eastAsia="方正仿宋_GBK" w:cs="方正仿宋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（二）集中开展大整治。</w:t>
      </w:r>
      <w:r>
        <w:rPr>
          <w:rFonts w:hint="eastAsia" w:ascii="方正仿宋_GBK" w:hAnsi="方正仿宋_GBK" w:eastAsia="方正仿宋_GBK" w:cs="方正仿宋_GBK"/>
          <w:color w:val="000000" w:themeColor="text1"/>
          <w:szCs w:val="32"/>
          <w14:textFill>
            <w14:solidFill>
              <w14:schemeClr w14:val="tx1"/>
            </w14:solidFill>
          </w14:textFill>
        </w:rPr>
        <w:t>对排查发现的突出风险隐患，要分类施策、逐一销账。对单位场所自身能整改的，要依法督促整改；对难以整改的，制定整改清单和责任清单，列入攻坚整治对象。对逾期不改或拒不整改的，要依法从严从重从快查处，并纳入信用管理实施惩戒。对涉嫌犯罪的，依法追究刑事责任。</w:t>
      </w:r>
    </w:p>
    <w:p>
      <w:pPr>
        <w:spacing w:line="578" w:lineRule="exact"/>
        <w:ind w:firstLine="640" w:firstLineChars="200"/>
        <w:rPr>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（三）集中开展大曝光。</w:t>
      </w:r>
      <w:r>
        <w:rPr>
          <w:rFonts w:hint="eastAsia" w:ascii="方正仿宋_GBK" w:hAnsi="方正仿宋_GBK" w:eastAsia="方正仿宋_GBK" w:cs="方正仿宋_GBK"/>
          <w:color w:val="000000" w:themeColor="text1"/>
          <w:szCs w:val="32"/>
          <w14:textFill>
            <w14:solidFill>
              <w14:schemeClr w14:val="tx1"/>
            </w14:solidFill>
          </w14:textFill>
        </w:rPr>
        <w:t>集中曝光典型隐患、突出问题和严重违法行为，向社会公布单位名称和具体问题。对于隐患问题特别突出、违法行为特别严重的，协调中央媒体、市级和县级主流媒体曝光，推动隐患整改。畅通举报投诉渠道，鼓励群众举报火灾隐患和消防违法行为。</w:t>
      </w:r>
    </w:p>
    <w:p>
      <w:pPr>
        <w:pStyle w:val="6"/>
        <w:spacing w:line="578" w:lineRule="exact"/>
        <w:ind w:firstLine="640" w:firstLineChars="200"/>
        <w:rPr>
          <w:rFonts w:ascii="方正楷体_GBK" w:hAnsi="方正楷体_GBK" w:eastAsia="方正楷体_GBK" w:cs="方正楷体_GBK"/>
          <w:color w:val="000000" w:themeColor="text1"/>
          <w:kern w:val="2"/>
          <w:szCs w:val="32"/>
          <w14:textFill>
            <w14:solidFill>
              <w14:schemeClr w14:val="tx1"/>
            </w14:solidFill>
          </w14:textFill>
        </w:rPr>
      </w:pPr>
      <w:r>
        <w:rPr>
          <w:rFonts w:hint="eastAsia" w:ascii="方正楷体_GBK" w:hAnsi="方正楷体_GBK" w:eastAsia="方正楷体_GBK" w:cs="方正楷体_GBK"/>
          <w:color w:val="000000" w:themeColor="text1"/>
          <w:kern w:val="2"/>
          <w:szCs w:val="32"/>
          <w14:textFill>
            <w14:solidFill>
              <w14:schemeClr w14:val="tx1"/>
            </w14:solidFill>
          </w14:textFill>
        </w:rPr>
        <w:t>（四）集中开展大演练。</w:t>
      </w:r>
      <w:r>
        <w:rPr>
          <w:rFonts w:hint="eastAsia" w:ascii="方正仿宋_GBK" w:hAnsi="方正仿宋_GBK" w:eastAsia="方正仿宋_GBK" w:cs="方正仿宋_GBK"/>
          <w:color w:val="000000" w:themeColor="text1"/>
          <w:szCs w:val="32"/>
          <w14:textFill>
            <w14:solidFill>
              <w14:schemeClr w14:val="tx1"/>
            </w14:solidFill>
          </w14:textFill>
        </w:rPr>
        <w:t>聚焦前述三类重点场所，紧盯单位负责人和管理人、员工、宿舍管理员、医护人员和护工、物业人员、保安员、基层执法人员和网格员等“七类重点人群”，以及政府专职消防队、</w:t>
      </w:r>
      <w:r>
        <w:rPr>
          <w:rFonts w:hint="eastAsia" w:ascii="Times New Roman" w:eastAsia="方正仿宋_GBK"/>
          <w:color w:val="000000" w:themeColor="text1"/>
          <w:szCs w:val="32"/>
          <w:shd w:val="clear" w:color="auto" w:fill="FFFFFF"/>
          <w14:textFill>
            <w14:solidFill>
              <w14:schemeClr w14:val="tx1"/>
            </w14:solidFill>
          </w14:textFill>
        </w:rPr>
        <w:t>消防安全重点单位微型消防站、村（社区）微型消防站</w:t>
      </w:r>
      <w:r>
        <w:rPr>
          <w:rFonts w:hint="eastAsia" w:ascii="方正仿宋_GBK" w:hAnsi="方正仿宋_GBK" w:eastAsia="方正仿宋_GBK" w:cs="方正仿宋_GBK"/>
          <w:color w:val="000000" w:themeColor="text1"/>
          <w:szCs w:val="32"/>
          <w14:textFill>
            <w14:solidFill>
              <w14:schemeClr w14:val="tx1"/>
            </w14:solidFill>
          </w14:textFill>
        </w:rPr>
        <w:t>“三支处置队伍”，开展一轮全员消防安全演练。</w:t>
      </w:r>
    </w:p>
    <w:p>
      <w:pPr>
        <w:pStyle w:val="8"/>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（五）集中开展大约谈。</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乡镇（街道）、行业主管部门及时向社会单位发布工作提示，提示火灾风险隐患，提出防范应对措施。乡镇（街道）、公安派出所、消防部门、行业主管部门对照排查、整治情况，组织隐患问题突出的社会</w:t>
      </w:r>
      <w:r>
        <w:rPr>
          <w:rFonts w:hint="eastAsia" w:ascii="Times New Roman" w:eastAsia="方正仿宋_GBK"/>
          <w:color w:val="000000" w:themeColor="text1"/>
          <w:sz w:val="32"/>
          <w:szCs w:val="32"/>
          <w:shd w:val="clear" w:color="auto" w:fill="FFFFFF"/>
          <w14:textFill>
            <w14:solidFill>
              <w14:schemeClr w14:val="tx1"/>
            </w14:solidFill>
          </w14:textFill>
        </w:rPr>
        <w:t>单位责任人、管理人</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召开消防安全警示约谈会。</w:t>
      </w:r>
    </w:p>
    <w:p>
      <w:pPr>
        <w:spacing w:line="578"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（六）集中开展大督导行动。</w:t>
      </w:r>
      <w:r>
        <w:rPr>
          <w:rFonts w:hint="eastAsia" w:ascii="Times New Roman" w:eastAsia="方正仿宋_GBK"/>
          <w:color w:val="000000" w:themeColor="text1"/>
          <w:szCs w:val="32"/>
          <w:shd w:val="clear" w:color="auto" w:fill="FFFFFF"/>
          <w14:textFill>
            <w14:solidFill>
              <w14:schemeClr w14:val="tx1"/>
            </w14:solidFill>
          </w14:textFill>
        </w:rPr>
        <w:t>县领导加强对分管领域和包片联系乡镇的督导检查，查看行业、乡镇整治成效。县消防安全委员会常态开展明察暗访，随机抽查重点行业、重点乡镇、重点社会单位，查看属地、行业、单位各级消防安全责任履行情况。各乡镇（街道）、行业主管部门对本辖区、本行业专项整治工作情况和单位（场所）突出隐患问题整改情况常态督导检查。</w:t>
      </w:r>
    </w:p>
    <w:p>
      <w:pPr>
        <w:pStyle w:val="6"/>
        <w:spacing w:line="578" w:lineRule="exact"/>
        <w:ind w:firstLine="640" w:firstLineChars="200"/>
        <w:rPr>
          <w:rFonts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特此通告。</w:t>
      </w:r>
    </w:p>
    <w:p>
      <w:pPr>
        <w:spacing w:line="578" w:lineRule="exact"/>
        <w:rPr>
          <w:rFonts w:ascii="方正小标宋简体" w:eastAsia="方正小标宋简体"/>
          <w:color w:val="000000" w:themeColor="text1"/>
          <w:szCs w:val="32"/>
          <w14:textFill>
            <w14:solidFill>
              <w14:schemeClr w14:val="tx1"/>
            </w14:solidFill>
          </w14:textFill>
        </w:rPr>
      </w:pPr>
    </w:p>
    <w:p>
      <w:pPr>
        <w:spacing w:line="578" w:lineRule="exact"/>
        <w:rPr>
          <w:rFonts w:ascii="方正小标宋简体" w:eastAsia="方正小标宋简体"/>
          <w:color w:val="000000" w:themeColor="text1"/>
          <w:szCs w:val="32"/>
          <w14:textFill>
            <w14:solidFill>
              <w14:schemeClr w14:val="tx1"/>
            </w14:solidFill>
          </w14:textFill>
        </w:rPr>
      </w:pPr>
    </w:p>
    <w:p>
      <w:pPr>
        <w:adjustRightInd w:val="0"/>
        <w:snapToGrid w:val="0"/>
        <w:spacing w:line="578" w:lineRule="exact"/>
        <w:ind w:firstLine="4640" w:firstLineChars="1450"/>
        <w:rPr>
          <w:rFonts w:ascii="方正仿宋_GBK" w:eastAsia="方正仿宋_GBK"/>
          <w:color w:val="000000" w:themeColor="text1"/>
          <w:szCs w:val="32"/>
          <w14:textFill>
            <w14:solidFill>
              <w14:schemeClr w14:val="tx1"/>
            </w14:solidFill>
          </w14:textFill>
        </w:rPr>
      </w:pPr>
      <w:r>
        <w:rPr>
          <w:rFonts w:hint="eastAsia" w:ascii="方正仿宋_GBK" w:eastAsia="方正仿宋_GBK"/>
          <w:color w:val="000000" w:themeColor="text1"/>
          <w:szCs w:val="32"/>
          <w14:textFill>
            <w14:solidFill>
              <w14:schemeClr w14:val="tx1"/>
            </w14:solidFill>
          </w14:textFill>
        </w:rPr>
        <w:t>云阳县消防安全委员会</w:t>
      </w:r>
    </w:p>
    <w:p>
      <w:pPr>
        <w:spacing w:line="578" w:lineRule="exact"/>
        <w:jc w:val="center"/>
        <w:rPr>
          <w:rFonts w:ascii="方正仿宋_GBK" w:eastAsia="方正仿宋_GBK"/>
          <w:color w:val="000000" w:themeColor="text1"/>
          <w:szCs w:val="32"/>
          <w14:textFill>
            <w14:solidFill>
              <w14:schemeClr w14:val="tx1"/>
            </w14:solidFill>
          </w14:textFill>
        </w:rPr>
      </w:pPr>
      <w:r>
        <w:rPr>
          <w:rFonts w:hint="eastAsia" w:ascii="Times New Roman" w:eastAsia="方正仿宋_GBK"/>
          <w:color w:val="000000" w:themeColor="text1"/>
          <w:szCs w:val="32"/>
          <w14:textFill>
            <w14:solidFill>
              <w14:schemeClr w14:val="tx1"/>
            </w14:solidFill>
          </w14:textFill>
        </w:rPr>
        <w:t xml:space="preserve">                        </w:t>
      </w:r>
      <w:r>
        <w:rPr>
          <w:rFonts w:hint="eastAsia" w:ascii="Times New Roman" w:eastAsia="方正楷体_GBK"/>
          <w:color w:val="000000" w:themeColor="text1"/>
          <w:kern w:val="0"/>
          <w:szCs w:val="32"/>
          <w:shd w:val="clear" w:color="auto" w:fill="FFFFFF"/>
          <w14:textFill>
            <w14:solidFill>
              <w14:schemeClr w14:val="tx1"/>
            </w14:solidFill>
          </w14:textFill>
        </w:rPr>
        <w:t>2024</w:t>
      </w:r>
      <w:r>
        <w:rPr>
          <w:rFonts w:hint="eastAsia" w:ascii="Times New Roman" w:eastAsia="方正仿宋_GBK"/>
          <w:color w:val="000000" w:themeColor="text1"/>
          <w:szCs w:val="32"/>
          <w14:textFill>
            <w14:solidFill>
              <w14:schemeClr w14:val="tx1"/>
            </w14:solidFill>
          </w14:textFill>
        </w:rPr>
        <w:t>年2月4日</w:t>
      </w:r>
    </w:p>
    <w:p>
      <w:pPr>
        <w:pStyle w:val="5"/>
        <w:ind w:firstLine="0"/>
        <w:rPr>
          <w:rFonts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hint="eastAsia" w:ascii="方正黑体_GBK" w:hAnsi="方正黑体_GBK" w:eastAsia="方正黑体_GBK" w:cs="方正黑体_GBK"/>
          <w:color w:val="000000" w:themeColor="text1"/>
          <w:sz w:val="32"/>
          <w:szCs w:val="32"/>
          <w14:textFill>
            <w14:solidFill>
              <w14:schemeClr w14:val="tx1"/>
            </w14:solidFill>
          </w14:textFill>
        </w:rPr>
      </w:pPr>
    </w:p>
    <w:p>
      <w:pPr>
        <w:pStyle w:val="5"/>
        <w:ind w:firstLine="0"/>
        <w:rPr>
          <w:rFonts w:ascii="方正黑体_GBK" w:eastAsia="方正黑体_GBK"/>
          <w:color w:val="000000" w:themeColor="text1"/>
          <w:kern w:val="0"/>
          <w:sz w:val="32"/>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eastAsia="方正黑体_GBK"/>
          <w:color w:val="000000" w:themeColor="text1"/>
          <w:kern w:val="0"/>
          <w:sz w:val="32"/>
          <w:szCs w:val="32"/>
          <w:shd w:val="clear" w:color="auto" w:fill="FFFFFF"/>
          <w14:textFill>
            <w14:solidFill>
              <w14:schemeClr w14:val="tx1"/>
            </w14:solidFill>
          </w14:textFill>
        </w:rPr>
        <w:t>2</w:t>
      </w:r>
    </w:p>
    <w:p>
      <w:pPr>
        <w:spacing w:line="600" w:lineRule="exact"/>
        <w:jc w:val="center"/>
        <w:rPr>
          <w:rFonts w:ascii="Times New Roman" w:eastAsia="方正小标宋_GBK"/>
          <w:bCs/>
          <w:color w:val="000000" w:themeColor="text1"/>
          <w:sz w:val="44"/>
          <w:szCs w:val="44"/>
          <w14:textFill>
            <w14:solidFill>
              <w14:schemeClr w14:val="tx1"/>
            </w14:solidFill>
          </w14:textFill>
        </w:rPr>
      </w:pPr>
    </w:p>
    <w:p>
      <w:pPr>
        <w:spacing w:line="600" w:lineRule="exact"/>
        <w:jc w:val="center"/>
        <w:rPr>
          <w:rFonts w:ascii="Times New Roman" w:eastAsia="黑体"/>
          <w:bCs/>
          <w:color w:val="000000" w:themeColor="text1"/>
          <w:sz w:val="44"/>
          <w:szCs w:val="44"/>
          <w14:textFill>
            <w14:solidFill>
              <w14:schemeClr w14:val="tx1"/>
            </w14:solidFill>
          </w14:textFill>
        </w:rPr>
      </w:pPr>
      <w:r>
        <w:rPr>
          <w:rFonts w:hint="eastAsia" w:ascii="Times New Roman" w:eastAsia="方正小标宋_GBK"/>
          <w:bCs/>
          <w:color w:val="000000" w:themeColor="text1"/>
          <w:sz w:val="44"/>
          <w:szCs w:val="44"/>
          <w14:textFill>
            <w14:solidFill>
              <w14:schemeClr w14:val="tx1"/>
            </w14:solidFill>
          </w14:textFill>
        </w:rPr>
        <w:t xml:space="preserve">三类重点场所消防安全整治指南 </w:t>
      </w:r>
    </w:p>
    <w:p>
      <w:pPr>
        <w:pStyle w:val="6"/>
        <w:rPr>
          <w:bCs/>
          <w:color w:val="000000" w:themeColor="text1"/>
          <w14:textFill>
            <w14:solidFill>
              <w14:schemeClr w14:val="tx1"/>
            </w14:solidFill>
          </w14:textFill>
        </w:rPr>
      </w:pP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为指导各地做好</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九小场所</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、多业态混合生产经营场所、人员密集场所的</w:t>
      </w:r>
      <w:r>
        <w:rPr>
          <w:rFonts w:hint="eastAsia" w:ascii="Times New Roman" w:eastAsia="方正仿宋_GBK"/>
          <w:bCs/>
          <w:color w:val="000000" w:themeColor="text1"/>
          <w:szCs w:val="32"/>
          <w14:textFill>
            <w14:solidFill>
              <w14:schemeClr w14:val="tx1"/>
            </w14:solidFill>
          </w14:textFill>
        </w:rPr>
        <w:t>消防安全</w:t>
      </w:r>
      <w:r>
        <w:rPr>
          <w:rFonts w:ascii="Times New Roman" w:eastAsia="方正仿宋_GBK"/>
          <w:bCs/>
          <w:color w:val="000000" w:themeColor="text1"/>
          <w:szCs w:val="32"/>
          <w14:textFill>
            <w14:solidFill>
              <w14:schemeClr w14:val="tx1"/>
            </w14:solidFill>
          </w14:textFill>
        </w:rPr>
        <w:t>整治工作，制定以下指南：</w:t>
      </w:r>
    </w:p>
    <w:p>
      <w:pPr>
        <w:spacing w:line="578" w:lineRule="exact"/>
        <w:ind w:firstLine="640" w:firstLineChars="200"/>
        <w:rPr>
          <w:rFonts w:ascii="Times New Roman" w:eastAsia="方正黑体_GBK"/>
          <w:bCs/>
          <w:color w:val="000000" w:themeColor="text1"/>
          <w:szCs w:val="32"/>
          <w14:textFill>
            <w14:solidFill>
              <w14:schemeClr w14:val="tx1"/>
            </w14:solidFill>
          </w14:textFill>
        </w:rPr>
      </w:pPr>
      <w:r>
        <w:rPr>
          <w:rFonts w:ascii="Times New Roman" w:eastAsia="方正黑体_GBK"/>
          <w:bCs/>
          <w:color w:val="000000" w:themeColor="text1"/>
          <w:szCs w:val="32"/>
          <w14:textFill>
            <w14:solidFill>
              <w14:schemeClr w14:val="tx1"/>
            </w14:solidFill>
          </w14:textFill>
        </w:rPr>
        <w:t>一、消防安全基本要求</w:t>
      </w:r>
    </w:p>
    <w:p>
      <w:pPr>
        <w:spacing w:line="578" w:lineRule="exact"/>
        <w:ind w:firstLine="640" w:firstLineChars="200"/>
        <w:rPr>
          <w:rFonts w:ascii="Times New Roman" w:eastAsia="方正楷体_GBK"/>
          <w:bCs/>
          <w:color w:val="000000" w:themeColor="text1"/>
          <w:szCs w:val="32"/>
          <w14:textFill>
            <w14:solidFill>
              <w14:schemeClr w14:val="tx1"/>
            </w14:solidFill>
          </w14:textFill>
        </w:rPr>
      </w:pPr>
      <w:r>
        <w:rPr>
          <w:rFonts w:ascii="Times New Roman" w:eastAsia="方正楷体_GBK"/>
          <w:bCs/>
          <w:color w:val="000000" w:themeColor="text1"/>
          <w:szCs w:val="32"/>
          <w14:textFill>
            <w14:solidFill>
              <w14:schemeClr w14:val="tx1"/>
            </w14:solidFill>
          </w14:textFill>
        </w:rPr>
        <w:t>（一）消防安全责任制落实</w:t>
      </w:r>
      <w:r>
        <w:rPr>
          <w:rFonts w:hint="eastAsia" w:ascii="Times New Roman" w:eastAsia="方正楷体_GBK"/>
          <w:bCs/>
          <w:color w:val="000000" w:themeColor="text1"/>
          <w:szCs w:val="32"/>
          <w14:textFill>
            <w14:solidFill>
              <w14:schemeClr w14:val="tx1"/>
            </w14:solidFill>
          </w14:textFill>
        </w:rPr>
        <w:t>。</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应当明确消防安全责任。</w:t>
      </w:r>
      <w:r>
        <w:rPr>
          <w:rFonts w:ascii="Times New Roman" w:hAnsi="方正仿宋_GBK" w:eastAsia="方正仿宋_GBK"/>
          <w:bCs/>
          <w:color w:val="000000" w:themeColor="text1"/>
          <w:szCs w:val="32"/>
          <w14:textFill>
            <w14:solidFill>
              <w14:schemeClr w14:val="tx1"/>
            </w14:solidFill>
          </w14:textFill>
        </w:rPr>
        <w:t>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2</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应当履行消防安全职责。</w:t>
      </w:r>
      <w:r>
        <w:rPr>
          <w:rFonts w:ascii="Times New Roman" w:hAnsi="方正仿宋_GBK" w:eastAsia="方正仿宋_GBK"/>
          <w:bCs/>
          <w:color w:val="000000" w:themeColor="text1"/>
          <w:szCs w:val="32"/>
          <w14:textFill>
            <w14:solidFill>
              <w14:schemeClr w14:val="tx1"/>
            </w14:solidFill>
          </w14:textFill>
        </w:rPr>
        <w:t>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w:t>
      </w:r>
      <w:r>
        <w:rPr>
          <w:rFonts w:ascii="Times New Roman" w:eastAsia="方正仿宋_GBK"/>
          <w:bCs/>
          <w:color w:val="000000" w:themeColor="text1"/>
          <w:szCs w:val="32"/>
          <w14:textFill>
            <w14:solidFill>
              <w14:schemeClr w14:val="tx1"/>
            </w14:solidFill>
          </w14:textFill>
        </w:rPr>
        <w:t>2</w:t>
      </w:r>
      <w:r>
        <w:rPr>
          <w:rFonts w:ascii="Times New Roman" w:hAnsi="方正仿宋_GBK" w:eastAsia="方正仿宋_GBK"/>
          <w:bCs/>
          <w:color w:val="000000" w:themeColor="text1"/>
          <w:szCs w:val="32"/>
          <w14:textFill>
            <w14:solidFill>
              <w14:schemeClr w14:val="tx1"/>
            </w14:solidFill>
          </w14:textFill>
        </w:rPr>
        <w:t>小时进行</w:t>
      </w:r>
      <w:r>
        <w:rPr>
          <w:rFonts w:hint="eastAsia" w:ascii="Times New Roman" w:hAnsi="方正仿宋_GBK" w:eastAsia="方正仿宋_GBK"/>
          <w:bCs/>
          <w:color w:val="000000" w:themeColor="text1"/>
          <w:szCs w:val="32"/>
          <w14:textFill>
            <w14:solidFill>
              <w14:schemeClr w14:val="tx1"/>
            </w14:solidFill>
          </w14:textFill>
        </w:rPr>
        <w:t>一次</w:t>
      </w:r>
      <w:r>
        <w:rPr>
          <w:rFonts w:ascii="Times New Roman" w:hAnsi="方正仿宋_GBK" w:eastAsia="方正仿宋_GBK"/>
          <w:bCs/>
          <w:color w:val="000000" w:themeColor="text1"/>
          <w:szCs w:val="32"/>
          <w14:textFill>
            <w14:solidFill>
              <w14:schemeClr w14:val="tx1"/>
            </w14:solidFill>
          </w14:textFill>
        </w:rPr>
        <w:t>防火巡查。防火巡查、检查时，应填写巡查、检查记录，巡查和检查人员及其主管人员应在记录上签名。</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3</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应当组织教育培训演练。</w:t>
      </w:r>
      <w:r>
        <w:rPr>
          <w:rFonts w:ascii="Times New Roman" w:hAnsi="方正仿宋_GBK" w:eastAsia="方正仿宋_GBK"/>
          <w:bCs/>
          <w:color w:val="000000" w:themeColor="text1"/>
          <w:szCs w:val="32"/>
          <w14:textFill>
            <w14:solidFill>
              <w14:schemeClr w14:val="tx1"/>
            </w14:solidFill>
          </w14:textFill>
        </w:rPr>
        <w:t>应当组织开展多种形式经常性消防宣传教育。应对新入职人员开展岗前消防安全培训。托儿所、幼儿园、寄宿制学校、校外培训机构</w:t>
      </w:r>
      <w:r>
        <w:rPr>
          <w:rFonts w:ascii="Times New Roman" w:hAnsi="方正仿宋_GBK" w:eastAsia="方正仿宋_GBK"/>
          <w:bCs/>
          <w:color w:val="000000" w:themeColor="text1"/>
          <w:kern w:val="0"/>
          <w:szCs w:val="32"/>
          <w14:textFill>
            <w14:solidFill>
              <w14:schemeClr w14:val="tx1"/>
            </w14:solidFill>
          </w14:textFill>
        </w:rPr>
        <w:t>应当对学生和儿童进行消防安全常识教育。</w:t>
      </w:r>
      <w:r>
        <w:rPr>
          <w:rFonts w:ascii="Times New Roman" w:hAnsi="方正仿宋_GBK" w:eastAsia="方正仿宋_GBK"/>
          <w:bCs/>
          <w:color w:val="000000" w:themeColor="text1"/>
          <w:szCs w:val="32"/>
          <w14:textFill>
            <w14:solidFill>
              <w14:schemeClr w14:val="tx1"/>
            </w14:solidFill>
          </w14:textFill>
        </w:rPr>
        <w:t>人员密集场所应至少每半年开展一次全员消防安全培训。各类场所应当至少每年组织一次有针对性的消防演练，宾馆、商场、集贸市场、公共娱乐场所应至少每半年组织一次消防演练。</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4</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应当开展消防宣传提示。</w:t>
      </w:r>
      <w:r>
        <w:rPr>
          <w:rFonts w:ascii="Times New Roman" w:hAnsi="方正仿宋_GBK" w:eastAsia="方正仿宋_GBK"/>
          <w:bCs/>
          <w:color w:val="000000" w:themeColor="text1"/>
          <w:szCs w:val="32"/>
          <w14:textFill>
            <w14:solidFill>
              <w14:schemeClr w14:val="tx1"/>
            </w14:solidFill>
          </w14:textFill>
        </w:rPr>
        <w:t>人员密集场所应当在醒目位置设置视频、警示牌或者采用广播等形式对公众提示下列消防安全事项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spacing w:line="578" w:lineRule="exact"/>
        <w:ind w:firstLine="640" w:firstLineChars="200"/>
        <w:rPr>
          <w:rFonts w:ascii="Times New Roman" w:eastAsia="方正楷体_GBK"/>
          <w:bCs/>
          <w:color w:val="000000" w:themeColor="text1"/>
          <w:szCs w:val="32"/>
          <w14:textFill>
            <w14:solidFill>
              <w14:schemeClr w14:val="tx1"/>
            </w14:solidFill>
          </w14:textFill>
        </w:rPr>
      </w:pPr>
      <w:r>
        <w:rPr>
          <w:rFonts w:ascii="Times New Roman" w:eastAsia="方正楷体_GBK"/>
          <w:bCs/>
          <w:color w:val="000000" w:themeColor="text1"/>
          <w:szCs w:val="32"/>
          <w14:textFill>
            <w14:solidFill>
              <w14:schemeClr w14:val="tx1"/>
            </w14:solidFill>
          </w14:textFill>
        </w:rPr>
        <w:t>（二）消防安全基本条件</w:t>
      </w:r>
      <w:r>
        <w:rPr>
          <w:rFonts w:hint="eastAsia" w:ascii="Times New Roman" w:eastAsia="方正楷体_GBK"/>
          <w:bCs/>
          <w:color w:val="000000" w:themeColor="text1"/>
          <w:szCs w:val="32"/>
          <w14:textFill>
            <w14:solidFill>
              <w14:schemeClr w14:val="tx1"/>
            </w14:solidFill>
          </w14:textFill>
        </w:rPr>
        <w:t>。</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5</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应当符合耐火等级。</w:t>
      </w:r>
      <w:r>
        <w:rPr>
          <w:rFonts w:ascii="Times New Roman" w:hAnsi="方正仿宋_GBK" w:eastAsia="方正仿宋_GBK"/>
          <w:bCs/>
          <w:color w:val="000000" w:themeColor="text1"/>
          <w:szCs w:val="32"/>
          <w14:textFill>
            <w14:solidFill>
              <w14:schemeClr w14:val="tx1"/>
            </w14:solidFill>
          </w14:textFill>
        </w:rPr>
        <w:t>易燃易爆危险品销售场所建筑物耐火等级不应低于二级，其他场所建筑物的耐火等级不宜低于二级，确有困难时，可采用三、四级耐火等级的建筑，但应符合国家消防技术标准相关规定。</w:t>
      </w:r>
    </w:p>
    <w:p>
      <w:pPr>
        <w:widowControl/>
        <w:spacing w:line="578" w:lineRule="exact"/>
        <w:ind w:firstLine="640" w:firstLineChars="200"/>
        <w:jc w:val="left"/>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6</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应当严格场所设置。</w:t>
      </w:r>
      <w:r>
        <w:rPr>
          <w:rFonts w:ascii="Times New Roman" w:hAnsi="方正仿宋_GBK" w:eastAsia="方正仿宋_GBK"/>
          <w:bCs/>
          <w:color w:val="000000" w:themeColor="text1"/>
          <w:szCs w:val="32"/>
          <w14:textFill>
            <w14:solidFill>
              <w14:schemeClr w14:val="tx1"/>
            </w14:solidFill>
          </w14:textFill>
        </w:rPr>
        <w:t>设置在地下的公共娱乐场所不应设在地下二层及二层以下，当布置在地下一层时，地下一层地面与室外出入口地坪的高差不应大于</w:t>
      </w:r>
      <w:r>
        <w:rPr>
          <w:rFonts w:ascii="Times New Roman" w:eastAsia="方正仿宋_GBK"/>
          <w:bCs/>
          <w:color w:val="000000" w:themeColor="text1"/>
          <w:szCs w:val="32"/>
          <w14:textFill>
            <w14:solidFill>
              <w14:schemeClr w14:val="tx1"/>
            </w14:solidFill>
          </w14:textFill>
        </w:rPr>
        <w:t>10</w:t>
      </w:r>
      <w:r>
        <w:rPr>
          <w:rFonts w:ascii="Times New Roman" w:hAnsi="方正仿宋_GBK" w:eastAsia="方正仿宋_GBK"/>
          <w:bCs/>
          <w:color w:val="000000" w:themeColor="text1"/>
          <w:szCs w:val="32"/>
          <w14:textFill>
            <w14:solidFill>
              <w14:schemeClr w14:val="tx1"/>
            </w14:solidFill>
          </w14:textFill>
        </w:rPr>
        <w:t>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7</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应当实施防火分隔。</w:t>
      </w:r>
      <w:r>
        <w:rPr>
          <w:rFonts w:ascii="Times New Roman" w:hAnsi="方正仿宋_GBK" w:eastAsia="方正仿宋_GBK"/>
          <w:bCs/>
          <w:color w:val="000000" w:themeColor="text1"/>
          <w:szCs w:val="32"/>
          <w14:textFill>
            <w14:solidFill>
              <w14:schemeClr w14:val="tx1"/>
            </w14:solidFill>
          </w14:textFill>
        </w:rPr>
        <w:t>附设在非住宅民用建筑内的医院，养老院，托儿所、幼儿园、寄宿制学校、校外培训机构当中的儿童活动场所，应采用耐火极限不低于</w:t>
      </w:r>
      <w:r>
        <w:rPr>
          <w:rFonts w:ascii="Times New Roman" w:eastAsia="方正仿宋_GBK"/>
          <w:bCs/>
          <w:color w:val="000000" w:themeColor="text1"/>
          <w:szCs w:val="32"/>
          <w14:textFill>
            <w14:solidFill>
              <w14:schemeClr w14:val="tx1"/>
            </w14:solidFill>
          </w14:textFill>
        </w:rPr>
        <w:t>2</w:t>
      </w:r>
      <w:r>
        <w:rPr>
          <w:rFonts w:ascii="Times New Roman" w:hAnsi="方正仿宋_GBK" w:eastAsia="方正仿宋_GBK"/>
          <w:bCs/>
          <w:color w:val="000000" w:themeColor="text1"/>
          <w:szCs w:val="32"/>
          <w14:textFill>
            <w14:solidFill>
              <w14:schemeClr w14:val="tx1"/>
            </w14:solidFill>
          </w14:textFill>
        </w:rPr>
        <w:t>小时的防火隔墙和</w:t>
      </w:r>
      <w:r>
        <w:rPr>
          <w:rFonts w:ascii="Times New Roman" w:eastAsia="方正仿宋_GBK"/>
          <w:bCs/>
          <w:color w:val="000000" w:themeColor="text1"/>
          <w:szCs w:val="32"/>
          <w14:textFill>
            <w14:solidFill>
              <w14:schemeClr w14:val="tx1"/>
            </w14:solidFill>
          </w14:textFill>
        </w:rPr>
        <w:t>1</w:t>
      </w:r>
      <w:r>
        <w:rPr>
          <w:rFonts w:ascii="Times New Roman" w:hAnsi="方正仿宋_GBK" w:eastAsia="方正仿宋_GBK"/>
          <w:bCs/>
          <w:color w:val="000000" w:themeColor="text1"/>
          <w:szCs w:val="32"/>
          <w14:textFill>
            <w14:solidFill>
              <w14:schemeClr w14:val="tx1"/>
            </w14:solidFill>
          </w14:textFill>
        </w:rPr>
        <w:t>小时楼板与其他场所隔开，墙上必须设置的门窗应采用乙级防火门窗。经营性场所与住宅位于同一建筑时，应采用耐火极限不低于</w:t>
      </w:r>
      <w:r>
        <w:rPr>
          <w:rFonts w:ascii="Times New Roman" w:eastAsia="方正仿宋_GBK"/>
          <w:bCs/>
          <w:color w:val="000000" w:themeColor="text1"/>
          <w:szCs w:val="32"/>
          <w14:textFill>
            <w14:solidFill>
              <w14:schemeClr w14:val="tx1"/>
            </w14:solidFill>
          </w14:textFill>
        </w:rPr>
        <w:t>2</w:t>
      </w:r>
      <w:r>
        <w:rPr>
          <w:rFonts w:ascii="Times New Roman" w:hAnsi="方正仿宋_GBK" w:eastAsia="方正仿宋_GBK"/>
          <w:bCs/>
          <w:color w:val="000000" w:themeColor="text1"/>
          <w:szCs w:val="32"/>
          <w14:textFill>
            <w14:solidFill>
              <w14:schemeClr w14:val="tx1"/>
            </w14:solidFill>
          </w14:textFill>
        </w:rPr>
        <w:t>小时且无门窗洞口的不燃烧体墙和耐火极限不低于</w:t>
      </w:r>
      <w:r>
        <w:rPr>
          <w:rFonts w:ascii="Times New Roman" w:eastAsia="方正仿宋_GBK"/>
          <w:bCs/>
          <w:color w:val="000000" w:themeColor="text1"/>
          <w:szCs w:val="32"/>
          <w14:textFill>
            <w14:solidFill>
              <w14:schemeClr w14:val="tx1"/>
            </w14:solidFill>
          </w14:textFill>
        </w:rPr>
        <w:t>1.5</w:t>
      </w:r>
      <w:r>
        <w:rPr>
          <w:rFonts w:ascii="Times New Roman" w:hAnsi="方正仿宋_GBK" w:eastAsia="方正仿宋_GBK"/>
          <w:bCs/>
          <w:color w:val="000000" w:themeColor="text1"/>
          <w:szCs w:val="32"/>
          <w14:textFill>
            <w14:solidFill>
              <w14:schemeClr w14:val="tx1"/>
            </w14:solidFill>
          </w14:textFill>
        </w:rPr>
        <w:t>小时的楼板与居住部分完全分隔，且不应与居住部分共用安全出口和疏散楼梯。</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8</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应当设置消防设施。</w:t>
      </w:r>
      <w:r>
        <w:rPr>
          <w:rFonts w:ascii="Times New Roman" w:hAnsi="方正仿宋_GBK" w:eastAsia="方正仿宋_GBK"/>
          <w:bCs/>
          <w:color w:val="000000" w:themeColor="text1"/>
          <w:szCs w:val="32"/>
          <w14:textFill>
            <w14:solidFill>
              <w14:schemeClr w14:val="tx1"/>
            </w14:solidFill>
          </w14:textFill>
        </w:rPr>
        <w:t>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w:t>
      </w:r>
      <w:r>
        <w:rPr>
          <w:rFonts w:ascii="Times New Roman" w:eastAsia="方正仿宋_GBK"/>
          <w:bCs/>
          <w:color w:val="000000" w:themeColor="text1"/>
          <w:szCs w:val="32"/>
          <w14:textFill>
            <w14:solidFill>
              <w14:schemeClr w14:val="tx1"/>
            </w14:solidFill>
          </w14:textFill>
        </w:rPr>
        <w:t>1000</w:t>
      </w:r>
      <w:r>
        <w:rPr>
          <w:rFonts w:ascii="Times New Roman" w:hAnsi="方正仿宋_GBK" w:eastAsia="方正仿宋_GBK"/>
          <w:bCs/>
          <w:color w:val="000000" w:themeColor="text1"/>
          <w:szCs w:val="32"/>
          <w14:textFill>
            <w14:solidFill>
              <w14:schemeClr w14:val="tx1"/>
            </w14:solidFill>
          </w14:textFill>
        </w:rPr>
        <w:t>平方米的餐饮场所烹饪操作间的排油烟罩及烹饪部位应设置自动灭火装置，并应在燃气或燃油管道上设置与自动灭火装置联动的自动切断装置。</w:t>
      </w:r>
    </w:p>
    <w:p>
      <w:pPr>
        <w:spacing w:line="578" w:lineRule="exact"/>
        <w:ind w:firstLine="640" w:firstLineChars="200"/>
        <w:rPr>
          <w:rFonts w:ascii="Times New Roman" w:eastAsia="方正楷体_GBK"/>
          <w:bCs/>
          <w:color w:val="000000" w:themeColor="text1"/>
          <w:szCs w:val="32"/>
          <w14:textFill>
            <w14:solidFill>
              <w14:schemeClr w14:val="tx1"/>
            </w14:solidFill>
          </w14:textFill>
        </w:rPr>
      </w:pPr>
      <w:r>
        <w:rPr>
          <w:rFonts w:ascii="Times New Roman" w:eastAsia="方正楷体_GBK"/>
          <w:bCs/>
          <w:color w:val="000000" w:themeColor="text1"/>
          <w:szCs w:val="32"/>
          <w14:textFill>
            <w14:solidFill>
              <w14:schemeClr w14:val="tx1"/>
            </w14:solidFill>
          </w14:textFill>
        </w:rPr>
        <w:t>（三）用火用电安全管理</w:t>
      </w:r>
      <w:r>
        <w:rPr>
          <w:rFonts w:hint="eastAsia" w:ascii="Times New Roman" w:eastAsia="方正楷体_GBK"/>
          <w:bCs/>
          <w:color w:val="000000" w:themeColor="text1"/>
          <w:szCs w:val="32"/>
          <w14:textFill>
            <w14:solidFill>
              <w14:schemeClr w14:val="tx1"/>
            </w14:solidFill>
          </w14:textFill>
        </w:rPr>
        <w:t>。</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9</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应当规范明火使用。</w:t>
      </w:r>
      <w:r>
        <w:rPr>
          <w:rFonts w:ascii="Times New Roman" w:hAnsi="方正仿宋_GBK" w:eastAsia="方正仿宋_GBK"/>
          <w:bCs/>
          <w:color w:val="000000" w:themeColor="text1"/>
          <w:szCs w:val="32"/>
          <w14:textFill>
            <w14:solidFill>
              <w14:schemeClr w14:val="tx1"/>
            </w14:solidFill>
          </w14:textFill>
        </w:rPr>
        <w:t>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10</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应当加强用电管理。</w:t>
      </w:r>
      <w:r>
        <w:rPr>
          <w:rFonts w:ascii="Times New Roman" w:hAnsi="方正仿宋_GBK" w:eastAsia="方正仿宋_GBK"/>
          <w:bCs/>
          <w:color w:val="000000" w:themeColor="text1"/>
          <w:szCs w:val="32"/>
          <w14:textFill>
            <w14:solidFill>
              <w14:schemeClr w14:val="tx1"/>
            </w14:solidFill>
          </w14:textFill>
        </w:rPr>
        <w:t>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spacing w:line="578" w:lineRule="exact"/>
        <w:ind w:firstLine="640" w:firstLineChars="200"/>
        <w:rPr>
          <w:rFonts w:ascii="Times New Roman" w:eastAsia="方正楷体_GBK"/>
          <w:bCs/>
          <w:color w:val="000000" w:themeColor="text1"/>
          <w:szCs w:val="32"/>
          <w14:textFill>
            <w14:solidFill>
              <w14:schemeClr w14:val="tx1"/>
            </w14:solidFill>
          </w14:textFill>
        </w:rPr>
      </w:pPr>
      <w:r>
        <w:rPr>
          <w:rFonts w:ascii="Times New Roman" w:eastAsia="方正楷体_GBK"/>
          <w:bCs/>
          <w:color w:val="000000" w:themeColor="text1"/>
          <w:szCs w:val="32"/>
          <w14:textFill>
            <w14:solidFill>
              <w14:schemeClr w14:val="tx1"/>
            </w14:solidFill>
          </w14:textFill>
        </w:rPr>
        <w:t>（四）易燃易爆可燃物安全管理</w:t>
      </w:r>
      <w:r>
        <w:rPr>
          <w:rFonts w:hint="eastAsia" w:ascii="Times New Roman" w:eastAsia="方正楷体_GBK"/>
          <w:bCs/>
          <w:color w:val="000000" w:themeColor="text1"/>
          <w:szCs w:val="32"/>
          <w14:textFill>
            <w14:solidFill>
              <w14:schemeClr w14:val="tx1"/>
            </w14:solidFill>
          </w14:textFill>
        </w:rPr>
        <w:t>。</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11</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应当控制装修材料。</w:t>
      </w:r>
      <w:r>
        <w:rPr>
          <w:rFonts w:ascii="Times New Roman" w:hAnsi="方正仿宋_GBK" w:eastAsia="方正仿宋_GBK"/>
          <w:bCs/>
          <w:color w:val="000000" w:themeColor="text1"/>
          <w:szCs w:val="32"/>
          <w14:textFill>
            <w14:solidFill>
              <w14:schemeClr w14:val="tx1"/>
            </w14:solidFill>
          </w14:textFill>
        </w:rPr>
        <w:t>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w:t>
      </w:r>
      <w:r>
        <w:rPr>
          <w:rFonts w:hint="eastAsia" w:ascii="Times New Roman" w:hAnsi="方正仿宋_GBK" w:eastAsia="方正仿宋_GBK"/>
          <w:bCs/>
          <w:color w:val="000000" w:themeColor="text1"/>
          <w:szCs w:val="32"/>
          <w14:textFill>
            <w14:solidFill>
              <w14:schemeClr w14:val="tx1"/>
            </w14:solidFill>
          </w14:textFill>
        </w:rPr>
        <w:t>人员密集场所采用的内保温材料燃烧性能应为A级；人员密集场所所在建筑的外墙外保温材料燃烧性能应为A级。</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12</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应当规范燃料使用。</w:t>
      </w:r>
      <w:r>
        <w:rPr>
          <w:rFonts w:ascii="Times New Roman" w:hAnsi="方正仿宋_GBK" w:eastAsia="方正仿宋_GBK"/>
          <w:bCs/>
          <w:color w:val="000000" w:themeColor="text1"/>
          <w:szCs w:val="32"/>
          <w14:textFill>
            <w14:solidFill>
              <w14:schemeClr w14:val="tx1"/>
            </w14:solidFill>
          </w14:textFill>
        </w:rPr>
        <w:t>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spacing w:line="578" w:lineRule="exact"/>
        <w:ind w:firstLine="640" w:firstLineChars="200"/>
        <w:rPr>
          <w:rFonts w:ascii="Times New Roman" w:eastAsia="方正楷体_GBK"/>
          <w:bCs/>
          <w:color w:val="000000" w:themeColor="text1"/>
          <w:szCs w:val="32"/>
          <w14:textFill>
            <w14:solidFill>
              <w14:schemeClr w14:val="tx1"/>
            </w14:solidFill>
          </w14:textFill>
        </w:rPr>
      </w:pPr>
      <w:r>
        <w:rPr>
          <w:rFonts w:ascii="Times New Roman" w:eastAsia="方正楷体_GBK"/>
          <w:bCs/>
          <w:color w:val="000000" w:themeColor="text1"/>
          <w:szCs w:val="32"/>
          <w14:textFill>
            <w14:solidFill>
              <w14:schemeClr w14:val="tx1"/>
            </w14:solidFill>
          </w14:textFill>
        </w:rPr>
        <w:t>（五）安全疏散设施管理</w:t>
      </w:r>
      <w:r>
        <w:rPr>
          <w:rFonts w:hint="eastAsia" w:ascii="Times New Roman" w:eastAsia="方正楷体_GBK"/>
          <w:bCs/>
          <w:color w:val="000000" w:themeColor="text1"/>
          <w:szCs w:val="32"/>
          <w14:textFill>
            <w14:solidFill>
              <w14:schemeClr w14:val="tx1"/>
            </w14:solidFill>
          </w14:textFill>
        </w:rPr>
        <w:t>。</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13</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应当规范设置疏散设施。</w:t>
      </w:r>
      <w:r>
        <w:rPr>
          <w:rFonts w:ascii="Times New Roman" w:hAnsi="方正仿宋_GBK" w:eastAsia="方正仿宋_GBK"/>
          <w:bCs/>
          <w:color w:val="000000" w:themeColor="text1"/>
          <w:szCs w:val="32"/>
          <w14:textFill>
            <w14:solidFill>
              <w14:schemeClr w14:val="tx1"/>
            </w14:solidFill>
          </w14:textFill>
        </w:rPr>
        <w:t>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14</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应当确保出口通道畅通。</w:t>
      </w:r>
      <w:r>
        <w:rPr>
          <w:rFonts w:ascii="Times New Roman" w:hAnsi="方正仿宋_GBK" w:eastAsia="方正仿宋_GBK"/>
          <w:bCs/>
          <w:color w:val="000000" w:themeColor="text1"/>
          <w:szCs w:val="32"/>
          <w14:textFill>
            <w14:solidFill>
              <w14:schemeClr w14:val="tx1"/>
            </w14:solidFill>
          </w14:textFill>
        </w:rPr>
        <w:t>应保持疏散通道、安全出口畅通，</w:t>
      </w:r>
      <w:r>
        <w:rPr>
          <w:rFonts w:ascii="Times New Roman" w:hAnsi="方正仿宋_GBK" w:eastAsia="方正仿宋_GBK"/>
          <w:bCs/>
          <w:color w:val="000000" w:themeColor="text1"/>
          <w:kern w:val="0"/>
          <w:szCs w:val="32"/>
          <w14:textFill>
            <w14:solidFill>
              <w14:schemeClr w14:val="tx1"/>
            </w14:solidFill>
          </w14:textFill>
        </w:rPr>
        <w:t>严禁占用、堵塞、封闭疏散通道、安全出口。设置门禁系统的场所，应保证火灾时不需要使用钥匙等任何工具即能从内部易于打开，并应在显著位置设置提示标识。</w:t>
      </w:r>
      <w:r>
        <w:rPr>
          <w:rFonts w:ascii="Times New Roman" w:hAnsi="方正仿宋_GBK" w:eastAsia="方正仿宋_GBK"/>
          <w:bCs/>
          <w:color w:val="000000" w:themeColor="text1"/>
          <w:szCs w:val="32"/>
          <w14:textFill>
            <w14:solidFill>
              <w14:schemeClr w14:val="tx1"/>
            </w14:solidFill>
          </w14:textFill>
        </w:rPr>
        <w:t>禁止在安全出口、疏散通道上安装固定栅栏等影响疏散的障碍物，禁止在公共区域的外窗上安装金属护栏或防盗网、广告牌等影响疏散、灭火救援的障碍物。人员密集场所使用、营业期间不应锁闭安全出口的门。</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15</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应当加强疏散提示引导。</w:t>
      </w:r>
      <w:r>
        <w:rPr>
          <w:rFonts w:ascii="Times New Roman" w:hAnsi="方正仿宋_GBK" w:eastAsia="方正仿宋_GBK"/>
          <w:bCs/>
          <w:color w:val="000000" w:themeColor="text1"/>
          <w:szCs w:val="32"/>
          <w14:textFill>
            <w14:solidFill>
              <w14:schemeClr w14:val="tx1"/>
            </w14:solidFill>
          </w14:textFill>
        </w:rPr>
        <w:t>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spacing w:line="578" w:lineRule="exact"/>
        <w:ind w:firstLine="640" w:firstLineChars="200"/>
        <w:rPr>
          <w:rFonts w:ascii="Times New Roman" w:eastAsia="方正黑体_GBK"/>
          <w:bCs/>
          <w:color w:val="000000" w:themeColor="text1"/>
          <w:szCs w:val="32"/>
          <w14:textFill>
            <w14:solidFill>
              <w14:schemeClr w14:val="tx1"/>
            </w14:solidFill>
          </w14:textFill>
        </w:rPr>
      </w:pPr>
      <w:r>
        <w:rPr>
          <w:rFonts w:ascii="Times New Roman" w:eastAsia="方正黑体_GBK"/>
          <w:bCs/>
          <w:color w:val="000000" w:themeColor="text1"/>
          <w:szCs w:val="32"/>
          <w14:textFill>
            <w14:solidFill>
              <w14:schemeClr w14:val="tx1"/>
            </w14:solidFill>
          </w14:textFill>
        </w:rPr>
        <w:t>二、消防安全检查要求</w:t>
      </w:r>
    </w:p>
    <w:p>
      <w:pPr>
        <w:spacing w:line="578" w:lineRule="exact"/>
        <w:ind w:firstLine="640" w:firstLineChars="200"/>
        <w:rPr>
          <w:rFonts w:ascii="Times New Roman" w:eastAsia="方正楷体_GBK"/>
          <w:bCs/>
          <w:color w:val="000000" w:themeColor="text1"/>
          <w:szCs w:val="32"/>
          <w14:textFill>
            <w14:solidFill>
              <w14:schemeClr w14:val="tx1"/>
            </w14:solidFill>
          </w14:textFill>
        </w:rPr>
      </w:pPr>
      <w:r>
        <w:rPr>
          <w:rFonts w:ascii="Times New Roman" w:eastAsia="方正楷体_GBK"/>
          <w:bCs/>
          <w:color w:val="000000" w:themeColor="text1"/>
          <w:szCs w:val="32"/>
          <w14:textFill>
            <w14:solidFill>
              <w14:schemeClr w14:val="tx1"/>
            </w14:solidFill>
          </w14:textFill>
        </w:rPr>
        <w:t>（一）消防安全责任制落实情况检查要求</w:t>
      </w:r>
      <w:r>
        <w:rPr>
          <w:rFonts w:hint="eastAsia" w:ascii="Times New Roman" w:eastAsia="方正楷体_GBK"/>
          <w:bCs/>
          <w:color w:val="000000" w:themeColor="text1"/>
          <w:szCs w:val="32"/>
          <w14:textFill>
            <w14:solidFill>
              <w14:schemeClr w14:val="tx1"/>
            </w14:solidFill>
          </w14:textFill>
        </w:rPr>
        <w:t>。</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2</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3</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宾馆、商场、公共娱乐场所在营业时间是否至少每2小时巡查一次，营业结束后是否</w:t>
      </w:r>
      <w:r>
        <w:rPr>
          <w:rFonts w:hint="eastAsia" w:ascii="Times New Roman" w:eastAsia="方正仿宋_GBK"/>
          <w:bCs/>
          <w:color w:val="000000" w:themeColor="text1"/>
          <w:szCs w:val="32"/>
          <w14:textFill>
            <w14:solidFill>
              <w14:schemeClr w14:val="tx1"/>
            </w14:solidFill>
          </w14:textFill>
        </w:rPr>
        <w:t>检查</w:t>
      </w:r>
      <w:r>
        <w:rPr>
          <w:rFonts w:ascii="Times New Roman" w:eastAsia="方正仿宋_GBK"/>
          <w:bCs/>
          <w:color w:val="000000" w:themeColor="text1"/>
          <w:szCs w:val="32"/>
          <w14:textFill>
            <w14:solidFill>
              <w14:schemeClr w14:val="tx1"/>
            </w14:solidFill>
          </w14:textFill>
        </w:rPr>
        <w:t>并消除遗留火种；医院、养老院及寄宿制的学校、托儿所和幼儿园是否每日组织夜间防火巡查，是否少于2次，每月是否开展一次防火检查。</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4</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场所是否每年至少开展一次消防安全培训，开展消防安全</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三提示</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。从业人员是否掌握本场所火灾风险和消防安全常识，熟练掌握消防设施操作使用方法，知晓</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119</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火警报警方法，具备扑救初期火灾的能力和组织人员应急疏散逃生的能力。</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5</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场所是否制定灭火和应急疏散预案，是否按要求组织开展全员灭火和应急疏散演练。所在建筑消防控制室和微型消防站是否建立应急联动机制。场所设置在大型商业综合体或者与其他场所在一栋建筑合并设置</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时是否建立火灾联动响应处置机制</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开展联合消防演练。</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6</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场所营业期间</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是否违规进行电焊、气焊、切割等动火施工作业。非营业期间动火施工作业是否经动火审批，是否落实现场安全监护措施。</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7</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电动自行车及其蓄电池是否违规在场所内、公共门厅、楼梯间、走道、安全出口停放、充电。</w:t>
      </w:r>
    </w:p>
    <w:p>
      <w:pPr>
        <w:spacing w:line="578" w:lineRule="exact"/>
        <w:ind w:firstLine="640" w:firstLineChars="200"/>
        <w:rPr>
          <w:rFonts w:ascii="Times New Roman" w:eastAsia="方正楷体_GBK"/>
          <w:bCs/>
          <w:color w:val="000000" w:themeColor="text1"/>
          <w:szCs w:val="32"/>
          <w14:textFill>
            <w14:solidFill>
              <w14:schemeClr w14:val="tx1"/>
            </w14:solidFill>
          </w14:textFill>
        </w:rPr>
      </w:pPr>
      <w:r>
        <w:rPr>
          <w:rFonts w:ascii="Times New Roman" w:eastAsia="方正楷体_GBK"/>
          <w:bCs/>
          <w:color w:val="000000" w:themeColor="text1"/>
          <w:szCs w:val="32"/>
          <w14:textFill>
            <w14:solidFill>
              <w14:schemeClr w14:val="tx1"/>
            </w14:solidFill>
          </w14:textFill>
        </w:rPr>
        <w:t>（二）消防安全基本条件检查要求</w:t>
      </w:r>
      <w:r>
        <w:rPr>
          <w:rFonts w:hint="eastAsia" w:ascii="Times New Roman" w:eastAsia="方正楷体_GBK"/>
          <w:bCs/>
          <w:color w:val="000000" w:themeColor="text1"/>
          <w:szCs w:val="32"/>
          <w14:textFill>
            <w14:solidFill>
              <w14:schemeClr w14:val="tx1"/>
            </w14:solidFill>
          </w14:textFill>
        </w:rPr>
        <w:t>。</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8</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消防车道是否划线管理，其净宽度和净空高度是否小于4米。消防车道与厂房（仓库）、民用建筑之间是否设置妨碍消防车作业的障碍物。</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9</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10</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人员密集场所的疏散通道的净宽、其他场所的疏散通道净宽是否符合消防技术标准要求。场所是否设置满足照度要求的消防应急照明灯和灯光疏散指示标志。</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11</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场所是否按照国家标准、行业标准设置消防设施、器材，场所消防设施的设置是否与其所在建筑的设置标准匹配。设有消防设施的场所是否每年对建筑消防设施至少进行一次全面检测。</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12</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13</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场所室内装修材料是否符合国家标准《建筑内部装修设计防火规范》</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GB50222</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的有关规定，是否违规采用易燃可燃装修材料。</w:t>
      </w:r>
      <w:r>
        <w:rPr>
          <w:rFonts w:hint="eastAsia" w:ascii="Times New Roman" w:eastAsia="方正仿宋_GBK"/>
          <w:bCs/>
          <w:color w:val="000000" w:themeColor="text1"/>
          <w:szCs w:val="32"/>
          <w14:textFill>
            <w14:solidFill>
              <w14:schemeClr w14:val="tx1"/>
            </w14:solidFill>
          </w14:textFill>
        </w:rPr>
        <w:t>人员密集场所及所在建筑采用的内保温材料、外墙外保温材料燃烧性能是否为A级。</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14</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生产、储存、经营易燃易爆危险品的场所是否违规与居住场所设置在同一建筑物内。生产、储存、经营其他物品的场所与居住场所设置在同一建筑物内时，安全出口是否分别设置。</w:t>
      </w:r>
    </w:p>
    <w:p>
      <w:pPr>
        <w:spacing w:line="578" w:lineRule="exact"/>
        <w:ind w:firstLine="640" w:firstLineChars="200"/>
        <w:rPr>
          <w:rFonts w:ascii="Times New Roman" w:eastAsia="方正楷体_GBK"/>
          <w:bCs/>
          <w:color w:val="000000" w:themeColor="text1"/>
          <w:szCs w:val="32"/>
          <w14:textFill>
            <w14:solidFill>
              <w14:schemeClr w14:val="tx1"/>
            </w14:solidFill>
          </w14:textFill>
        </w:rPr>
      </w:pPr>
      <w:r>
        <w:rPr>
          <w:rFonts w:ascii="Times New Roman" w:eastAsia="方正楷体_GBK"/>
          <w:bCs/>
          <w:color w:val="000000" w:themeColor="text1"/>
          <w:szCs w:val="32"/>
          <w14:textFill>
            <w14:solidFill>
              <w14:schemeClr w14:val="tx1"/>
            </w14:solidFill>
          </w14:textFill>
        </w:rPr>
        <w:t>（三）各类场所消防安全检查要求</w:t>
      </w:r>
      <w:r>
        <w:rPr>
          <w:rFonts w:hint="eastAsia" w:ascii="Times New Roman" w:eastAsia="方正楷体_GBK"/>
          <w:bCs/>
          <w:color w:val="000000" w:themeColor="text1"/>
          <w:szCs w:val="32"/>
          <w14:textFill>
            <w14:solidFill>
              <w14:schemeClr w14:val="tx1"/>
            </w14:solidFill>
          </w14:textFill>
        </w:rPr>
        <w:t>。</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1</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商场、集贸市场</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商场与住宅位于同一建筑的，商业部分是否与住宅部分的安全出口分开设置，楼梯首层是否能够直通室外。商场、市场内的小型中转仓库是否独立设置，如必须设置在商场、市场内，是否用防火墙隔开。</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高层、多层公共建筑内的商场、市场，其顶棚、墙面是否采用不燃或难燃装修材料。</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营业厅内食品加工区的明火部位是否靠外墙布置，是否采用耐火极限不低于2小时的隔墙与其他部位分隔，敞开式的食品加工区是否采用电加热设施。</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（4）</w:t>
      </w:r>
      <w:r>
        <w:rPr>
          <w:rFonts w:ascii="Times New Roman" w:eastAsia="方正仿宋_GBK"/>
          <w:bCs/>
          <w:color w:val="000000" w:themeColor="text1"/>
          <w:szCs w:val="32"/>
          <w14:textFill>
            <w14:solidFill>
              <w14:schemeClr w14:val="tx1"/>
            </w14:solidFill>
          </w14:textFill>
        </w:rPr>
        <w:t>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2</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餐饮场所</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设置在商住楼或住宅楼内的餐饮场所是否与住宅部分分开设置。</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多层及高层公共建筑内的餐饮场所，其顶棚、墙面是否采用不燃或难燃装修材料。</w:t>
      </w:r>
    </w:p>
    <w:p>
      <w:pPr>
        <w:tabs>
          <w:tab w:val="left" w:pos="0"/>
        </w:tabs>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（4）</w:t>
      </w:r>
      <w:r>
        <w:rPr>
          <w:rFonts w:ascii="Times New Roman" w:eastAsia="方正仿宋_GBK"/>
          <w:bCs/>
          <w:color w:val="000000" w:themeColor="text1"/>
          <w:szCs w:val="32"/>
          <w14:textFill>
            <w14:solidFill>
              <w14:schemeClr w14:val="tx1"/>
            </w14:solidFill>
          </w14:textFill>
        </w:rPr>
        <w:t>场所是否张贴或悬挂安全疏散示意图，在出入口、楼梯口、疏散走道、疏散门等部位是否设灯光疏散指示标志。营业期间是否违规将安全出口上锁。</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3</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宾馆</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宾馆每个楼层的安全出口是否少于2个。</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高层宾馆位于两个安全出口之间的房间疏散门至最近安全出口的直线距离是否大于30米，单、多层宾馆是否大于40米；位于袋形走道两侧或尽端的房间疏散门至最近安全出口的直线距离是否大于15宾馆，单、多层宾馆是否大于22米。</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（4）</w:t>
      </w:r>
      <w:r>
        <w:rPr>
          <w:rFonts w:ascii="Times New Roman" w:eastAsia="方正仿宋_GBK"/>
          <w:bCs/>
          <w:color w:val="000000" w:themeColor="text1"/>
          <w:szCs w:val="32"/>
          <w14:textFill>
            <w14:solidFill>
              <w14:schemeClr w14:val="tx1"/>
            </w14:solidFill>
          </w14:textFill>
        </w:rPr>
        <w:t>高层宾馆和体积大于5000立方米的单、多层宾馆是否设置室内消火栓系统。任一层建筑面积大于1500平方米或总建筑面积大于3000平方米的宾馆是否设置自动喷水灭火系统和火灾自动报警系统。</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（5）</w:t>
      </w:r>
      <w:r>
        <w:rPr>
          <w:rFonts w:ascii="Times New Roman" w:eastAsia="方正仿宋_GBK"/>
          <w:bCs/>
          <w:color w:val="000000" w:themeColor="text1"/>
          <w:szCs w:val="32"/>
          <w14:textFill>
            <w14:solidFill>
              <w14:schemeClr w14:val="tx1"/>
            </w14:solidFill>
          </w14:textFill>
        </w:rPr>
        <w:t>宾馆是否设置消防应急照明和灯光疏散指示标志。灯光疏散指示标志的间距是否大于20米；对于袋形走道，是否大于10米；在走道转角区，是否大于1米。客房内是否设置醒目、耐久的</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请勿卧床吸烟</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提示牌和楼层安全疏散示意图。</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（6）</w:t>
      </w:r>
      <w:r>
        <w:rPr>
          <w:rFonts w:ascii="Times New Roman" w:eastAsia="方正仿宋_GBK"/>
          <w:bCs/>
          <w:color w:val="000000" w:themeColor="text1"/>
          <w:szCs w:val="32"/>
          <w14:textFill>
            <w14:solidFill>
              <w14:schemeClr w14:val="tx1"/>
            </w14:solidFill>
          </w14:textFill>
        </w:rPr>
        <w:t>宾馆的水平疏散走道和安全出口的门厅，其顶棚材料是否采用不燃材料装修，其他部位是否采用不燃或难燃材料装修。</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（7）</w:t>
      </w:r>
      <w:r>
        <w:rPr>
          <w:rFonts w:ascii="Times New Roman" w:eastAsia="方正仿宋_GBK"/>
          <w:bCs/>
          <w:color w:val="000000" w:themeColor="text1"/>
          <w:szCs w:val="32"/>
          <w14:textFill>
            <w14:solidFill>
              <w14:schemeClr w14:val="tx1"/>
            </w14:solidFill>
          </w14:textFill>
        </w:rPr>
        <w:t>宾馆的客房内是否配备应急手电筒、防烟面具等逃生器材及使用说明。</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4</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公共娱乐场所（含歌舞娱乐、网吧、美容洗浴等场所）</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场所是否违规设置在地下二层及以下楼层；是否违规设置在</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三合一</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场所</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住宿与生产、储存经营合用场所</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、彩钢板建筑和村</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居</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民自建房内；是否违规与生产、储存、经营易燃易爆危险品场所设置在同一建筑物内；是否违规与甲、乙类危险品仓库毗邻设置。经营服务对象主要为儿童的场所是否违规设置在地下、半地下或地上四层及以上楼层。</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场所设置在多层建筑、高层建筑内的，顶棚是否采用不燃装修材料，墙面、地面、隔断等是否采用不燃或难燃装修材料。设置在地下的，顶棚、墙面是否采用不燃装修材料</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其他部位是否采用不燃或难燃装修材料。是否违规采用聚氨酯类泡沫塑料等易燃可燃材料装修装饰。</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（4）</w:t>
      </w:r>
      <w:r>
        <w:rPr>
          <w:rFonts w:ascii="Times New Roman" w:eastAsia="方正仿宋_GBK"/>
          <w:bCs/>
          <w:color w:val="000000" w:themeColor="text1"/>
          <w:szCs w:val="32"/>
          <w14:textFill>
            <w14:solidFill>
              <w14:schemeClr w14:val="tx1"/>
            </w14:solidFill>
          </w14:textFill>
        </w:rPr>
        <w:t>场所营业期间是否违规将安全出口上锁，门窗是否设置影响逃生和灭火救援的障碍物。场所是否违规存放易燃易爆危险品，设置在地下的场所是否违规使用液化石油气。</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（5）</w:t>
      </w:r>
      <w:r>
        <w:rPr>
          <w:rFonts w:ascii="Times New Roman" w:eastAsia="方正仿宋_GBK"/>
          <w:bCs/>
          <w:color w:val="000000" w:themeColor="text1"/>
          <w:szCs w:val="32"/>
          <w14:textFill>
            <w14:solidFill>
              <w14:schemeClr w14:val="tx1"/>
            </w14:solidFill>
          </w14:textFill>
        </w:rPr>
        <w:t>场所是否违规自乱拉临时电线。是否在营业期间违规进行设备检修、电气焊、油漆粉刷等施工、维修作业，是否违规在室内燃放烟花。营业期间和营业结束后，是否指定专人进行安全巡视检查。是否注意</w:t>
      </w:r>
      <w:r>
        <w:rPr>
          <w:rFonts w:hint="eastAsia" w:ascii="Times New Roman" w:eastAsia="方正仿宋_GBK"/>
          <w:bCs/>
          <w:color w:val="000000" w:themeColor="text1"/>
          <w:szCs w:val="32"/>
          <w14:textFill>
            <w14:solidFill>
              <w14:schemeClr w14:val="tx1"/>
            </w14:solidFill>
          </w14:textFill>
        </w:rPr>
        <w:t>有</w:t>
      </w:r>
      <w:r>
        <w:rPr>
          <w:rFonts w:ascii="Times New Roman" w:eastAsia="方正仿宋_GBK"/>
          <w:bCs/>
          <w:color w:val="000000" w:themeColor="text1"/>
          <w:szCs w:val="32"/>
          <w14:textFill>
            <w14:solidFill>
              <w14:schemeClr w14:val="tx1"/>
            </w14:solidFill>
          </w14:textFill>
        </w:rPr>
        <w:t>无遗留烟头、烧香、蜡烛、使用明火等火种。确认安全后，是否切断电源。</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（6）</w:t>
      </w:r>
      <w:r>
        <w:rPr>
          <w:rFonts w:ascii="Times New Roman" w:eastAsia="方正仿宋_GBK"/>
          <w:bCs/>
          <w:color w:val="000000" w:themeColor="text1"/>
          <w:szCs w:val="32"/>
          <w14:textFill>
            <w14:solidFill>
              <w14:schemeClr w14:val="tx1"/>
            </w14:solidFill>
          </w14:textFill>
        </w:rPr>
        <w:t>歌厅、舞厅及其包房内，是否设置声音或图像警报，是否能够实现在火灾发生初期，将歌厅、舞厅各房间的画面、音响消除，播送火灾警报，引导人员安全疏散。</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5</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医院、养老院、儿童福利院</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养老院当中的生活用房和医院的住院部分是否设置在三层及三层以上楼层或地下、半地下建筑（室）内。</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医院、养老院的病房、疏散走道等场所是否堆放可燃物品及其他杂物，是否加设床位，疏散门是否上锁。是否在窗口、阳台等部位设置影响疏散逃生的封闭式栅栏等设施。</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（4）</w:t>
      </w:r>
      <w:r>
        <w:rPr>
          <w:rFonts w:ascii="Times New Roman" w:eastAsia="方正仿宋_GBK"/>
          <w:bCs/>
          <w:color w:val="000000" w:themeColor="text1"/>
          <w:szCs w:val="32"/>
          <w14:textFill>
            <w14:solidFill>
              <w14:schemeClr w14:val="tx1"/>
            </w14:solidFill>
          </w14:textFill>
        </w:rPr>
        <w:t>病房楼内是否违规使用液化石油气罐。医院的消防安全重点部位是否使用具有火灾危险性的电热器具，确因医疗、科研、试验需要而必须使用时</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使用部门是否制定安全管理措施，明确责任人并报消防安全管理人批准、备案后，方可使用。</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6</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学校（含寄宿制学校、托儿所、幼儿园，非寄宿制的学校、托儿所、幼儿园，校外培训机构）</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寄宿制学校的集体宿舍是否违规使用蜡烛、电炉；当需要使用炉火采暖时，是否设专人负责，夜间是否定时进行防火巡査。</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托儿所、幼儿园的儿童用房及儿童游乐厅等儿童活动场所是否违规使用明火取暖、照明，当必须使用时，是否采取防火、防护措施，是否设专人负责。</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（4）</w:t>
      </w:r>
      <w:r>
        <w:rPr>
          <w:rFonts w:ascii="Times New Roman" w:eastAsia="方正仿宋_GBK"/>
          <w:bCs/>
          <w:color w:val="000000" w:themeColor="text1"/>
          <w:szCs w:val="32"/>
          <w14:textFill>
            <w14:solidFill>
              <w14:schemeClr w14:val="tx1"/>
            </w14:solidFill>
          </w14:textFill>
        </w:rPr>
        <w:t>场所的厨房、烧水间是否单独设置。每间集体宿舍是否设置用电超载保护装置。电路熔断器是否违规使用铜丝、铝丝替代。</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7</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生产加工企业</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住宿与生产、储存、经营合用场所的住宿与非住宿部分是否进行防火分隔，</w:t>
      </w:r>
      <w:r>
        <w:rPr>
          <w:rFonts w:hint="eastAsia" w:ascii="Times New Roman" w:eastAsia="方正仿宋_GBK"/>
          <w:bCs/>
          <w:color w:val="000000" w:themeColor="text1"/>
          <w:szCs w:val="32"/>
          <w14:textFill>
            <w14:solidFill>
              <w14:schemeClr w14:val="tx1"/>
            </w14:solidFill>
          </w14:textFill>
        </w:rPr>
        <w:t>安全</w:t>
      </w:r>
      <w:r>
        <w:rPr>
          <w:rFonts w:ascii="Times New Roman" w:eastAsia="方正仿宋_GBK"/>
          <w:bCs/>
          <w:color w:val="000000" w:themeColor="text1"/>
          <w:szCs w:val="32"/>
          <w14:textFill>
            <w14:solidFill>
              <w14:schemeClr w14:val="tx1"/>
            </w14:solidFill>
          </w14:textFill>
        </w:rPr>
        <w:t>出口是否相互独立。厂房、仓库内是否违规设置员工宿舍。</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生产加工车间、员工集体宿舍是否违规擅自拉接电气线路、设置炉灶。</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8</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易燃易爆危险品销售场所</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易燃易爆危险品销售场所是否违规附设在民用建筑内。易燃易爆危险品经营门店是否为独立的单层、框架或砖混结构的建筑，是否设置在建筑的一、二层，是否违规设置在地下、半地下。</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门店内的货物是否违规超量储存，化学性质不同以及相互发生反应的物品或者灭火方法不同的物品是否违规混存，储存场所是否有通风、降温措施。物品的包装是否牢固、密封，是否违规存在跑、冒、滴、漏情况。</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易燃易爆危险品经营门店内电气装置是否采用防爆电器，敷设的配电线路是否穿金属管或难燃塑料管保护。</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（4）</w:t>
      </w:r>
      <w:r>
        <w:rPr>
          <w:rFonts w:ascii="Times New Roman" w:eastAsia="方正仿宋_GBK"/>
          <w:bCs/>
          <w:color w:val="000000" w:themeColor="text1"/>
          <w:szCs w:val="32"/>
          <w14:textFill>
            <w14:solidFill>
              <w14:schemeClr w14:val="tx1"/>
            </w14:solidFill>
          </w14:textFill>
        </w:rPr>
        <w:t>门店内是否存在吸烟、违规动火作业情况，是否违规使用电炉、明火等取暖、照明、烹饪食物。</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ascii="Times New Roman" w:eastAsia="方正仿宋_GBK"/>
          <w:bCs/>
          <w:color w:val="000000" w:themeColor="text1"/>
          <w:szCs w:val="32"/>
          <w14:textFill>
            <w14:solidFill>
              <w14:schemeClr w14:val="tx1"/>
            </w14:solidFill>
          </w14:textFill>
        </w:rPr>
        <w:t>9</w:t>
      </w:r>
      <w:r>
        <w:rPr>
          <w:rFonts w:ascii="Times New Roman" w:eastAsia="方正仿宋_GBK"/>
          <w:color w:val="000000" w:themeColor="text1"/>
          <w:szCs w:val="32"/>
          <w:shd w:val="clear" w:color="auto" w:fill="FFFFFF"/>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仓储场所</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（1）</w:t>
      </w:r>
      <w:r>
        <w:rPr>
          <w:rFonts w:ascii="Times New Roman" w:eastAsia="方正仿宋_GBK"/>
          <w:bCs/>
          <w:color w:val="000000" w:themeColor="text1"/>
          <w:szCs w:val="32"/>
          <w14:textFill>
            <w14:solidFill>
              <w14:schemeClr w14:val="tx1"/>
            </w14:solidFill>
          </w14:textFill>
        </w:rPr>
        <w:t>仓储场所与建筑物之间是否保持足够的防火间距。</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（2）</w:t>
      </w:r>
      <w:r>
        <w:rPr>
          <w:rFonts w:ascii="Times New Roman" w:eastAsia="方正仿宋_GBK"/>
          <w:bCs/>
          <w:color w:val="000000" w:themeColor="text1"/>
          <w:szCs w:val="32"/>
          <w14:textFill>
            <w14:solidFill>
              <w14:schemeClr w14:val="tx1"/>
            </w14:solidFill>
          </w14:textFill>
        </w:rPr>
        <w:t>露天存放物品是否分类、分堆、分组和分垛，是否留出必要的防火间距。库存物品是否分类、分垛储存，每垛占地面积，垛与垛间距，垛与墙面间距，垛与梁、柱的间距，主要通道的宽度是否符合消防技术标准要求。</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（3）</w:t>
      </w:r>
      <w:r>
        <w:rPr>
          <w:rFonts w:ascii="Times New Roman" w:eastAsia="方正仿宋_GBK"/>
          <w:bCs/>
          <w:color w:val="000000" w:themeColor="text1"/>
          <w:szCs w:val="32"/>
          <w14:textFill>
            <w14:solidFill>
              <w14:schemeClr w14:val="tx1"/>
            </w14:solidFill>
          </w14:textFill>
        </w:rPr>
        <w:t>场所内是否违规设置员工宿舍；确需设置办公室、休息室的，是否采用不燃烧体隔墙、楼板与库房分隔，是否设置独立的安全出口。场所的安全出口数量、宽度、间距是否符合消防技术标准要求。</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（4）</w:t>
      </w:r>
      <w:r>
        <w:rPr>
          <w:rFonts w:ascii="Times New Roman" w:eastAsia="方正仿宋_GBK"/>
          <w:bCs/>
          <w:color w:val="000000" w:themeColor="text1"/>
          <w:szCs w:val="32"/>
          <w14:textFill>
            <w14:solidFill>
              <w14:schemeClr w14:val="tx1"/>
            </w14:solidFill>
          </w14:textFill>
        </w:rPr>
        <w:t>建筑占地面积大于300平方米的仓储场所，是否设置室内消火栓。</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（5）</w:t>
      </w:r>
      <w:r>
        <w:rPr>
          <w:rFonts w:ascii="Times New Roman" w:eastAsia="方正仿宋_GBK"/>
          <w:bCs/>
          <w:color w:val="000000" w:themeColor="text1"/>
          <w:szCs w:val="32"/>
          <w14:textFill>
            <w14:solidFill>
              <w14:schemeClr w14:val="tx1"/>
            </w14:solidFill>
          </w14:textFill>
        </w:rPr>
        <w:t>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（6）</w:t>
      </w:r>
      <w:r>
        <w:rPr>
          <w:rFonts w:ascii="Times New Roman" w:eastAsia="方正仿宋_GBK"/>
          <w:bCs/>
          <w:color w:val="000000" w:themeColor="text1"/>
          <w:szCs w:val="32"/>
          <w14:textFill>
            <w14:solidFill>
              <w14:schemeClr w14:val="tx1"/>
            </w14:solidFill>
          </w14:textFill>
        </w:rPr>
        <w:t>场所的电气设备周围和架空线路下方是否堆放物品；对进入场所的机动车尾气管部位，是否设置机动车排气火花熄灭器。</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（7）</w:t>
      </w:r>
      <w:r>
        <w:rPr>
          <w:rFonts w:ascii="Times New Roman" w:eastAsia="方正仿宋_GBK"/>
          <w:bCs/>
          <w:color w:val="000000" w:themeColor="text1"/>
          <w:szCs w:val="32"/>
          <w14:textFill>
            <w14:solidFill>
              <w14:schemeClr w14:val="tx1"/>
            </w14:solidFill>
          </w14:textFill>
        </w:rPr>
        <w:t>场所是否按照国家标准要求设置防雷装置，是否定期检测。库房内是否违规使用电炉、电烙铁、电熨斗等电热器具。</w:t>
      </w:r>
    </w:p>
    <w:p>
      <w:pPr>
        <w:spacing w:line="578" w:lineRule="exact"/>
        <w:ind w:firstLine="640" w:firstLineChars="200"/>
        <w:rPr>
          <w:rFonts w:ascii="Times New Roman" w:eastAsia="方正仿宋_GBK"/>
          <w:bCs/>
          <w:color w:val="000000" w:themeColor="text1"/>
          <w:szCs w:val="32"/>
          <w14:textFill>
            <w14:solidFill>
              <w14:schemeClr w14:val="tx1"/>
            </w14:solidFill>
          </w14:textFill>
        </w:rPr>
      </w:pPr>
      <w:r>
        <w:rPr>
          <w:rFonts w:hint="eastAsia" w:ascii="Times New Roman" w:eastAsia="方正仿宋_GBK"/>
          <w:bCs/>
          <w:color w:val="000000" w:themeColor="text1"/>
          <w:szCs w:val="32"/>
          <w14:textFill>
            <w14:solidFill>
              <w14:schemeClr w14:val="tx1"/>
            </w14:solidFill>
          </w14:textFill>
        </w:rPr>
        <w:t>（8）</w:t>
      </w:r>
      <w:r>
        <w:rPr>
          <w:rFonts w:ascii="Times New Roman" w:eastAsia="方正仿宋_GBK"/>
          <w:bCs/>
          <w:color w:val="000000" w:themeColor="text1"/>
          <w:szCs w:val="32"/>
          <w14:textFill>
            <w14:solidFill>
              <w14:schemeClr w14:val="tx1"/>
            </w14:solidFill>
          </w14:textFill>
        </w:rPr>
        <w:t>物品入库前是否有专人负责检</w:t>
      </w:r>
      <w:r>
        <w:rPr>
          <w:rFonts w:hint="eastAsia" w:ascii="Times New Roman" w:eastAsia="方正仿宋_GBK"/>
          <w:bCs/>
          <w:color w:val="000000" w:themeColor="text1"/>
          <w:szCs w:val="32"/>
          <w14:textFill>
            <w14:solidFill>
              <w14:schemeClr w14:val="tx1"/>
            </w14:solidFill>
          </w14:textFill>
        </w:rPr>
        <w:t>查</w:t>
      </w:r>
      <w:r>
        <w:rPr>
          <w:rFonts w:ascii="Times New Roman" w:eastAsia="方正仿宋_GBK"/>
          <w:bCs/>
          <w:color w:val="000000" w:themeColor="text1"/>
          <w:szCs w:val="32"/>
          <w14:textFill>
            <w14:solidFill>
              <w14:schemeClr w14:val="tx1"/>
            </w14:solidFill>
          </w14:textFill>
        </w:rPr>
        <w:t>，是否确定无火种等隐患后，方准入库。库房内和堆场是否违规使用明火</w:t>
      </w:r>
      <w:r>
        <w:rPr>
          <w:rFonts w:hint="eastAsia" w:ascii="Times New Roman" w:eastAsia="方正仿宋_GBK"/>
          <w:bCs/>
          <w:color w:val="000000" w:themeColor="text1"/>
          <w:szCs w:val="32"/>
          <w14:textFill>
            <w14:solidFill>
              <w14:schemeClr w14:val="tx1"/>
            </w14:solidFill>
          </w14:textFill>
        </w:rPr>
        <w:t>，</w:t>
      </w:r>
      <w:r>
        <w:rPr>
          <w:rFonts w:ascii="Times New Roman" w:eastAsia="方正仿宋_GBK"/>
          <w:bCs/>
          <w:color w:val="000000" w:themeColor="text1"/>
          <w:szCs w:val="32"/>
          <w14:textFill>
            <w14:solidFill>
              <w14:schemeClr w14:val="tx1"/>
            </w14:solidFill>
          </w14:textFill>
        </w:rPr>
        <w:t>是否违规使用火炉取暖；库房外动用明火作业是否经过审批，是否做好防护措施。场所是否设置醒目的防火警示标识。</w:t>
      </w:r>
    </w:p>
    <w:p>
      <w:pPr>
        <w:pStyle w:val="5"/>
        <w:ind w:firstLine="0"/>
        <w:rPr>
          <w:rFonts w:ascii="方正黑体_GBK" w:hAnsi="方正黑体_GBK" w:eastAsia="方正黑体_GBK" w:cs="方正黑体_GBK"/>
          <w:color w:val="000000" w:themeColor="text1"/>
          <w:sz w:val="32"/>
          <w:szCs w:val="32"/>
          <w14:textFill>
            <w14:solidFill>
              <w14:schemeClr w14:val="tx1"/>
            </w14:solidFill>
          </w14:textFill>
        </w:rPr>
      </w:pPr>
    </w:p>
    <w:p>
      <w:pPr>
        <w:spacing w:line="578" w:lineRule="exact"/>
        <w:ind w:firstLine="640" w:firstLineChars="200"/>
        <w:rPr>
          <w:rFonts w:ascii="方正仿宋_GBK" w:hAnsi="方正仿宋_GBK" w:eastAsia="方正仿宋_GBK" w:cs="方正仿宋_GBK"/>
          <w:color w:val="000000" w:themeColor="text1"/>
          <w:szCs w:val="32"/>
          <w14:textFill>
            <w14:solidFill>
              <w14:schemeClr w14:val="tx1"/>
            </w14:solidFill>
          </w14:textFill>
        </w:rPr>
      </w:pPr>
    </w:p>
    <w:p>
      <w:pPr>
        <w:pStyle w:val="17"/>
        <w:rPr>
          <w:rFonts w:ascii="方正仿宋_GBK" w:hAnsi="方正仿宋_GBK" w:eastAsia="方正仿宋_GBK" w:cs="方正仿宋_GBK"/>
          <w:color w:val="000000" w:themeColor="text1"/>
          <w:szCs w:val="32"/>
          <w14:textFill>
            <w14:solidFill>
              <w14:schemeClr w14:val="tx1"/>
            </w14:solidFill>
          </w14:textFill>
        </w:rPr>
      </w:pPr>
    </w:p>
    <w:p>
      <w:pPr>
        <w:rPr>
          <w:rFonts w:ascii="方正仿宋_GBK" w:hAnsi="方正仿宋_GBK" w:eastAsia="方正仿宋_GBK" w:cs="方正仿宋_GBK"/>
          <w:color w:val="000000" w:themeColor="text1"/>
          <w:szCs w:val="32"/>
          <w14:textFill>
            <w14:solidFill>
              <w14:schemeClr w14:val="tx1"/>
            </w14:solidFill>
          </w14:textFill>
        </w:rPr>
      </w:pPr>
    </w:p>
    <w:p>
      <w:pPr>
        <w:pStyle w:val="17"/>
        <w:rPr>
          <w:rFonts w:ascii="方正仿宋_GBK" w:hAnsi="方正仿宋_GBK" w:eastAsia="方正仿宋_GBK" w:cs="方正仿宋_GBK"/>
          <w:color w:val="000000" w:themeColor="text1"/>
          <w:szCs w:val="32"/>
          <w14:textFill>
            <w14:solidFill>
              <w14:schemeClr w14:val="tx1"/>
            </w14:solidFill>
          </w14:textFill>
        </w:rPr>
      </w:pPr>
    </w:p>
    <w:p>
      <w:pPr>
        <w:rPr>
          <w:rFonts w:ascii="方正仿宋_GBK" w:hAnsi="方正仿宋_GBK" w:eastAsia="方正仿宋_GBK" w:cs="方正仿宋_GBK"/>
          <w:color w:val="000000" w:themeColor="text1"/>
          <w:szCs w:val="32"/>
          <w14:textFill>
            <w14:solidFill>
              <w14:schemeClr w14:val="tx1"/>
            </w14:solidFill>
          </w14:textFill>
        </w:rPr>
      </w:pPr>
    </w:p>
    <w:p>
      <w:pPr>
        <w:snapToGrid w:val="0"/>
        <w:spacing w:line="500" w:lineRule="exact"/>
        <w:rPr>
          <w:rFonts w:hint="eastAsia" w:ascii="Times New Roman" w:eastAsia="方正黑体_GBK" w:cs="方正黑体_GBK"/>
          <w:color w:val="000000" w:themeColor="text1"/>
          <w:kern w:val="0"/>
          <w:szCs w:val="32"/>
          <w14:textFill>
            <w14:solidFill>
              <w14:schemeClr w14:val="tx1"/>
            </w14:solidFill>
          </w14:textFill>
        </w:rPr>
      </w:pPr>
    </w:p>
    <w:p>
      <w:pPr>
        <w:snapToGrid w:val="0"/>
        <w:spacing w:line="500" w:lineRule="exact"/>
        <w:rPr>
          <w:rFonts w:hint="eastAsia" w:ascii="Times New Roman" w:eastAsia="方正黑体_GBK" w:cs="方正黑体_GBK"/>
          <w:color w:val="000000" w:themeColor="text1"/>
          <w:kern w:val="0"/>
          <w:szCs w:val="32"/>
          <w14:textFill>
            <w14:solidFill>
              <w14:schemeClr w14:val="tx1"/>
            </w14:solidFill>
          </w14:textFill>
        </w:rPr>
      </w:pPr>
    </w:p>
    <w:p>
      <w:pPr>
        <w:snapToGrid w:val="0"/>
        <w:spacing w:line="500" w:lineRule="exact"/>
        <w:rPr>
          <w:rFonts w:ascii="Times New Roman" w:eastAsia="方正黑体_GBK" w:cs="方正黑体_GBK"/>
          <w:color w:val="000000" w:themeColor="text1"/>
          <w:kern w:val="0"/>
          <w:szCs w:val="32"/>
          <w14:textFill>
            <w14:solidFill>
              <w14:schemeClr w14:val="tx1"/>
            </w14:solidFill>
          </w14:textFill>
        </w:rPr>
      </w:pPr>
      <w:r>
        <w:rPr>
          <w:rFonts w:hint="eastAsia" w:ascii="Times New Roman" w:eastAsia="方正黑体_GBK" w:cs="方正黑体_GBK"/>
          <w:color w:val="000000" w:themeColor="text1"/>
          <w:kern w:val="0"/>
          <w:szCs w:val="32"/>
          <w14:textFill>
            <w14:solidFill>
              <w14:schemeClr w14:val="tx1"/>
            </w14:solidFill>
          </w14:textFill>
        </w:rPr>
        <w:t>附件3</w:t>
      </w:r>
    </w:p>
    <w:p>
      <w:pPr>
        <w:snapToGrid w:val="0"/>
        <w:spacing w:line="594" w:lineRule="exact"/>
        <w:jc w:val="center"/>
        <w:rPr>
          <w:rFonts w:ascii="Times New Roman" w:eastAsia="方正小标宋_GBK" w:cs="方正小标宋_GBK"/>
          <w:color w:val="000000" w:themeColor="text1"/>
          <w:sz w:val="44"/>
          <w:szCs w:val="44"/>
          <w14:textFill>
            <w14:solidFill>
              <w14:schemeClr w14:val="tx1"/>
            </w14:solidFill>
          </w14:textFill>
        </w:rPr>
      </w:pPr>
    </w:p>
    <w:p>
      <w:pPr>
        <w:snapToGrid w:val="0"/>
        <w:spacing w:line="594" w:lineRule="exact"/>
        <w:jc w:val="center"/>
        <w:rPr>
          <w:rFonts w:ascii="Times New Roman" w:eastAsia="方正小标宋_GBK" w:cs="方正小标宋_GBK"/>
          <w:color w:val="000000" w:themeColor="text1"/>
          <w:sz w:val="44"/>
          <w:szCs w:val="44"/>
          <w14:textFill>
            <w14:solidFill>
              <w14:schemeClr w14:val="tx1"/>
            </w14:solidFill>
          </w14:textFill>
        </w:rPr>
      </w:pPr>
      <w:r>
        <w:rPr>
          <w:rFonts w:hint="eastAsia" w:ascii="Times New Roman" w:eastAsia="方正小标宋_GBK" w:cs="方正小标宋_GBK"/>
          <w:color w:val="000000" w:themeColor="text1"/>
          <w:sz w:val="44"/>
          <w:szCs w:val="44"/>
          <w14:textFill>
            <w14:solidFill>
              <w14:schemeClr w14:val="tx1"/>
            </w14:solidFill>
          </w14:textFill>
        </w:rPr>
        <w:t>火灾隐患集中排查指引表</w:t>
      </w:r>
    </w:p>
    <w:p>
      <w:pPr>
        <w:spacing w:line="400" w:lineRule="exact"/>
        <w:jc w:val="left"/>
        <w:rPr>
          <w:rFonts w:ascii="Times New Roman" w:cs="方正仿宋_GBK"/>
          <w:color w:val="000000" w:themeColor="text1"/>
          <w:sz w:val="24"/>
          <w14:textFill>
            <w14:solidFill>
              <w14:schemeClr w14:val="tx1"/>
            </w14:solidFill>
          </w14:textFill>
        </w:rPr>
      </w:pPr>
    </w:p>
    <w:p>
      <w:pPr>
        <w:spacing w:line="400" w:lineRule="exact"/>
        <w:jc w:val="left"/>
        <w:rPr>
          <w:rFonts w:ascii="方正仿宋_GBK" w:eastAsia="方正仿宋_GBK" w:cs="方正仿宋_GBK"/>
          <w:color w:val="000000" w:themeColor="text1"/>
          <w:sz w:val="28"/>
          <w:szCs w:val="28"/>
          <w14:textFill>
            <w14:solidFill>
              <w14:schemeClr w14:val="tx1"/>
            </w14:solidFill>
          </w14:textFill>
        </w:rPr>
      </w:pPr>
      <w:r>
        <w:rPr>
          <w:rFonts w:hint="eastAsia" w:ascii="方正仿宋_GBK" w:eastAsia="方正仿宋_GBK" w:cs="方正仿宋_GBK"/>
          <w:color w:val="000000" w:themeColor="text1"/>
          <w:sz w:val="28"/>
          <w:szCs w:val="28"/>
          <w14:textFill>
            <w14:solidFill>
              <w14:schemeClr w14:val="tx1"/>
            </w14:solidFill>
          </w14:textFill>
        </w:rPr>
        <w:t>受检对象：                             检查单位：</w:t>
      </w:r>
    </w:p>
    <w:p>
      <w:pPr>
        <w:spacing w:line="400" w:lineRule="exact"/>
        <w:jc w:val="left"/>
        <w:rPr>
          <w:rFonts w:ascii="方正仿宋_GBK" w:eastAsia="方正仿宋_GBK"/>
          <w:color w:val="000000" w:themeColor="text1"/>
          <w14:textFill>
            <w14:solidFill>
              <w14:schemeClr w14:val="tx1"/>
            </w14:solidFill>
          </w14:textFill>
        </w:rPr>
      </w:pPr>
      <w:r>
        <w:rPr>
          <w:rFonts w:hint="eastAsia" w:ascii="方正仿宋_GBK" w:eastAsia="方正仿宋_GBK" w:cs="方正仿宋_GBK"/>
          <w:color w:val="000000" w:themeColor="text1"/>
          <w:sz w:val="28"/>
          <w:szCs w:val="28"/>
          <w14:textFill>
            <w14:solidFill>
              <w14:schemeClr w14:val="tx1"/>
            </w14:solidFill>
          </w14:textFill>
        </w:rPr>
        <w:t>检查人员：                             检查时间：</w:t>
      </w:r>
    </w:p>
    <w:tbl>
      <w:tblPr>
        <w:tblStyle w:val="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7" w:type="dxa"/>
            <w:gridSpan w:val="2"/>
          </w:tcPr>
          <w:p>
            <w:pPr>
              <w:spacing w:line="380" w:lineRule="exact"/>
              <w:jc w:val="left"/>
              <w:rPr>
                <w:rFonts w:ascii="Times New Roman" w:eastAsia="方正黑体_GBK" w:cs="方正黑体_GBK"/>
                <w:color w:val="000000" w:themeColor="text1"/>
                <w:sz w:val="24"/>
                <w14:textFill>
                  <w14:solidFill>
                    <w14:schemeClr w14:val="tx1"/>
                  </w14:solidFill>
                </w14:textFill>
              </w:rPr>
            </w:pPr>
            <w:r>
              <w:rPr>
                <w:rFonts w:hint="eastAsia" w:ascii="Times New Roman" w:eastAsia="方正黑体_GBK" w:cs="方正黑体_GBK"/>
                <w:color w:val="000000" w:themeColor="text1"/>
                <w:sz w:val="24"/>
                <w14:textFill>
                  <w14:solidFill>
                    <w14:schemeClr w14:val="tx1"/>
                  </w14:solidFill>
                </w14:textFill>
              </w:rPr>
              <w:t>场所类型：医院</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学校</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养老院</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歌舞娱乐场所（舞厅、卡拉OK厅、KTV、夜总会、酒吧）</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托幼福利机构</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劳动密集型企业</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网吧</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宗教场所</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文旅场所</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展览博物馆</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电影院（放映室）</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游艺游乐场所</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餐饮、饭店</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商场</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培训机构</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密室逃脱（剧本杀）</w:t>
            </w:r>
            <w:r>
              <w:rPr>
                <w:rFonts w:hint="eastAsia" w:ascii="Times New Roman" w:eastAsia="方正仿宋_GBK"/>
                <w:color w:val="000000" w:themeColor="text1"/>
                <w:sz w:val="28"/>
                <w:szCs w:val="28"/>
                <w14:textFill>
                  <w14:solidFill>
                    <w14:schemeClr w14:val="tx1"/>
                  </w14:solidFill>
                </w14:textFill>
              </w:rPr>
              <w:t>□</w:t>
            </w:r>
            <w:r>
              <w:rPr>
                <w:rFonts w:hint="eastAsia" w:ascii="Times New Roman" w:eastAsia="方正黑体_GBK" w:cs="方正黑体_GBK"/>
                <w:color w:val="000000" w:themeColor="text1"/>
                <w:sz w:val="24"/>
                <w14:textFill>
                  <w14:solidFill>
                    <w14:schemeClr w14:val="tx1"/>
                  </w14:solidFill>
                </w14:textFill>
              </w:rPr>
              <w:t xml:space="preserve">  其他</w:t>
            </w:r>
            <w:r>
              <w:rPr>
                <w:rFonts w:hint="eastAsia" w:ascii="Times New Roman" w:eastAsia="方正仿宋_GBK"/>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jc w:val="center"/>
        </w:trPr>
        <w:tc>
          <w:tcPr>
            <w:tcW w:w="864" w:type="dxa"/>
            <w:vAlign w:val="center"/>
          </w:tcPr>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直接判定重大火灾隐患</w:t>
            </w:r>
          </w:p>
        </w:tc>
        <w:tc>
          <w:tcPr>
            <w:tcW w:w="8343" w:type="dxa"/>
            <w:vAlign w:val="center"/>
          </w:tcPr>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生产、储存、经营易燃易爆危险品的场所与人员密集场所、居住场所设置在同一建筑物内；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公共娱乐场所、商店、地下人员密集场所的安全出口数量不足2个；                                      </w:t>
            </w:r>
            <w:r>
              <w:rPr>
                <w:rFonts w:ascii="Times New Roman" w:eastAsia="方正仿宋_GBK"/>
                <w:color w:val="000000" w:themeColor="text1"/>
                <w:spacing w:val="6"/>
                <w:sz w:val="28"/>
                <w:szCs w:val="28"/>
                <w14:textFill>
                  <w14:solidFill>
                    <w14:schemeClr w14:val="tx1"/>
                  </w14:solidFill>
                </w14:textFill>
              </w:rPr>
              <w:t xml:space="preserve">    </w:t>
            </w:r>
            <w:r>
              <w:rPr>
                <w:rFonts w:hint="eastAsia"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旅馆、公共娱乐场所、商店、地下人员密集场所未按国家工程建设消防技术标准的规定设置自动喷水灭火系统或火灾自动报警系统；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在人员密集场所违反消防安全规定使用、储存或销售易燃易爆危险品；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人员密集场所的居住场所采用聚氨酯泡沫夹芯板搭建； </w:t>
            </w:r>
          </w:p>
          <w:p>
            <w:p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64" w:type="dxa"/>
            <w:vAlign w:val="center"/>
          </w:tcPr>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合</w:t>
            </w:r>
          </w:p>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法</w:t>
            </w:r>
          </w:p>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性</w:t>
            </w:r>
          </w:p>
        </w:tc>
        <w:tc>
          <w:tcPr>
            <w:tcW w:w="8343" w:type="dxa"/>
            <w:vAlign w:val="center"/>
          </w:tcPr>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公众聚集场所投入使用、营业前未通过消防检查 </w:t>
            </w:r>
            <w:r>
              <w:rPr>
                <w:rFonts w:ascii="Times New Roman" w:eastAsia="方正仿宋_GBK"/>
                <w:color w:val="000000" w:themeColor="text1"/>
                <w:spacing w:val="6"/>
                <w:sz w:val="28"/>
                <w:szCs w:val="28"/>
                <w14:textFill>
                  <w14:solidFill>
                    <w14:schemeClr w14:val="tx1"/>
                  </w14:solidFill>
                </w14:textFill>
              </w:rPr>
              <w:t xml:space="preserve">  </w:t>
            </w:r>
            <w:r>
              <w:rPr>
                <w:rFonts w:hint="eastAsia"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违规改变建筑使用性质从事生产经营活动；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pacing w:val="6"/>
                <w:sz w:val="28"/>
                <w:szCs w:val="28"/>
                <w14:textFill>
                  <w14:solidFill>
                    <w14:schemeClr w14:val="tx1"/>
                  </w14:solidFill>
                </w14:textFill>
              </w:rPr>
              <w:t xml:space="preserve"> </w:t>
            </w:r>
            <w:r>
              <w:rPr>
                <w:rFonts w:hint="eastAsia"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64" w:type="dxa"/>
            <w:vAlign w:val="center"/>
          </w:tcPr>
          <w:p>
            <w:pPr>
              <w:spacing w:line="380" w:lineRule="exact"/>
              <w:jc w:val="center"/>
              <w:rPr>
                <w:rFonts w:ascii="Times New Roman" w:eastAsia="方正黑体_GBK"/>
                <w:color w:val="000000" w:themeColor="text1"/>
                <w:sz w:val="28"/>
                <w:szCs w:val="28"/>
                <w14:textFill>
                  <w14:solidFill>
                    <w14:schemeClr w14:val="tx1"/>
                  </w14:solidFill>
                </w14:textFill>
              </w:rPr>
            </w:pPr>
            <w:r>
              <w:rPr>
                <w:rFonts w:ascii="Times New Roman" w:eastAsia="方正黑体_GBK"/>
                <w:color w:val="000000" w:themeColor="text1"/>
                <w:sz w:val="28"/>
                <w:szCs w:val="28"/>
                <w14:textFill>
                  <w14:solidFill>
                    <w14:schemeClr w14:val="tx1"/>
                  </w14:solidFill>
                </w14:textFill>
              </w:rPr>
              <w:t>通</w:t>
            </w:r>
          </w:p>
          <w:p>
            <w:pPr>
              <w:spacing w:line="380" w:lineRule="exact"/>
              <w:jc w:val="center"/>
              <w:rPr>
                <w:rFonts w:ascii="Times New Roman" w:eastAsia="方正黑体_GBK"/>
                <w:color w:val="000000" w:themeColor="text1"/>
                <w:sz w:val="28"/>
                <w:szCs w:val="28"/>
                <w14:textFill>
                  <w14:solidFill>
                    <w14:schemeClr w14:val="tx1"/>
                  </w14:solidFill>
                </w14:textFill>
              </w:rPr>
            </w:pPr>
            <w:r>
              <w:rPr>
                <w:rFonts w:ascii="Times New Roman" w:eastAsia="方正黑体_GBK"/>
                <w:color w:val="000000" w:themeColor="text1"/>
                <w:sz w:val="28"/>
                <w:szCs w:val="28"/>
                <w14:textFill>
                  <w14:solidFill>
                    <w14:schemeClr w14:val="tx1"/>
                  </w14:solidFill>
                </w14:textFill>
              </w:rPr>
              <w:t>道</w:t>
            </w:r>
          </w:p>
          <w:p>
            <w:pPr>
              <w:spacing w:line="380" w:lineRule="exact"/>
              <w:jc w:val="center"/>
              <w:rPr>
                <w:rFonts w:ascii="Times New Roman" w:eastAsia="方正黑体_GBK"/>
                <w:color w:val="000000" w:themeColor="text1"/>
                <w:sz w:val="28"/>
                <w:szCs w:val="28"/>
                <w14:textFill>
                  <w14:solidFill>
                    <w14:schemeClr w14:val="tx1"/>
                  </w14:solidFill>
                </w14:textFill>
              </w:rPr>
            </w:pPr>
            <w:r>
              <w:rPr>
                <w:rFonts w:ascii="Times New Roman" w:eastAsia="方正黑体_GBK"/>
                <w:color w:val="000000" w:themeColor="text1"/>
                <w:sz w:val="28"/>
                <w:szCs w:val="28"/>
                <w14:textFill>
                  <w14:solidFill>
                    <w14:schemeClr w14:val="tx1"/>
                  </w14:solidFill>
                </w14:textFill>
              </w:rPr>
              <w:t>畅</w:t>
            </w:r>
          </w:p>
        </w:tc>
        <w:tc>
          <w:tcPr>
            <w:tcW w:w="8343" w:type="dxa"/>
            <w:vAlign w:val="center"/>
          </w:tcPr>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消防车道和消防车登高操作场地被违章建筑、机动车辆、固定摊位或绿化植物等障碍物占用；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疏散通道、安全出口被锁闭、安装栅栏、堆放杂物等堵塞；</w:t>
            </w:r>
          </w:p>
          <w:p>
            <w:pPr>
              <w:wordWrap w:val="0"/>
              <w:spacing w:line="380" w:lineRule="exact"/>
              <w:ind w:right="-13"/>
              <w:jc w:val="right"/>
              <w:rPr>
                <w:rFonts w:ascii="Times New Roman" w:eastAsia="方正仿宋_GBK"/>
                <w:color w:val="000000" w:themeColor="text1"/>
                <w:sz w:val="28"/>
                <w:szCs w:val="28"/>
                <w14:textFill>
                  <w14:solidFill>
                    <w14:schemeClr w14:val="tx1"/>
                  </w14:solidFill>
                </w14:textFill>
              </w:rPr>
            </w:pP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消防车道、扑救场地未划线、注名、立牌标识不明，疏散通道和安全出口标志不全；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864" w:type="dxa"/>
            <w:vAlign w:val="center"/>
          </w:tcPr>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救</w:t>
            </w:r>
          </w:p>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命</w:t>
            </w:r>
          </w:p>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水</w:t>
            </w:r>
          </w:p>
        </w:tc>
        <w:tc>
          <w:tcPr>
            <w:tcW w:w="8343" w:type="dxa"/>
            <w:vAlign w:val="center"/>
          </w:tcPr>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室内外消火栓设施不齐，无水带、无水枪、被损坏、被拆除、被停用；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室内外消火栓无水或压力不够，消防水池、水箱储量不够，补水功能不正常；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专兼职消防员、保安人员和消防控制室值班员不知道消防设施位置、不熟悉灭火设施操作；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jc w:val="center"/>
        </w:trPr>
        <w:tc>
          <w:tcPr>
            <w:tcW w:w="864" w:type="dxa"/>
            <w:vAlign w:val="center"/>
          </w:tcPr>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控</w:t>
            </w:r>
          </w:p>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火</w:t>
            </w:r>
          </w:p>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源</w:t>
            </w:r>
          </w:p>
        </w:tc>
        <w:tc>
          <w:tcPr>
            <w:tcW w:w="8343" w:type="dxa"/>
            <w:vAlign w:val="center"/>
          </w:tcPr>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电器线路敷设、照明灯具安装、大功率电器使用不符合规定；电动自行车（蓄电池）违规充电；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医院、养老机构、儿童福利领域服务机构的制氧站和氧气瓶间违规使用非防爆电器设备，使用锂离子电池的医疗设备、轮椅未在指定安全区域充电；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违规使用瓶装液化石油气；            </w:t>
            </w:r>
            <w:r>
              <w:rPr>
                <w:rFonts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pacing w:val="6"/>
                <w:sz w:val="28"/>
                <w:szCs w:val="28"/>
                <w14:textFill>
                  <w14:solidFill>
                    <w14:schemeClr w14:val="tx1"/>
                  </w14:solidFill>
                </w14:textFill>
              </w:rPr>
              <w:t xml:space="preserve">  </w:t>
            </w:r>
            <w:r>
              <w:rPr>
                <w:rFonts w:hint="eastAsia"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医院、冷库保温材料燃烧性能不符合要求；违规使用易燃可燃材料装饰装修；违章使用易燃可燃材料夹芯彩钢板；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消防控制室值守人员未持证上岗；    </w:t>
            </w:r>
            <w:r>
              <w:rPr>
                <w:rFonts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pacing w:val="6"/>
                <w:sz w:val="28"/>
                <w:szCs w:val="28"/>
                <w14:textFill>
                  <w14:solidFill>
                    <w14:schemeClr w14:val="tx1"/>
                  </w14:solidFill>
                </w14:textFill>
              </w:rPr>
              <w:t xml:space="preserve">   </w:t>
            </w:r>
            <w:r>
              <w:rPr>
                <w:rFonts w:hint="eastAsia"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场所内违规设施员工宿舍；违规将住宿与生产、储存、经营场所混合在同一空间内；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黑体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电化学储能电站设置在人员密集场所内； </w:t>
            </w:r>
            <w:r>
              <w:rPr>
                <w:rFonts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pacing w:val="6"/>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 xml:space="preserve">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864" w:type="dxa"/>
            <w:vAlign w:val="center"/>
          </w:tcPr>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设</w:t>
            </w:r>
          </w:p>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施</w:t>
            </w:r>
          </w:p>
          <w:p>
            <w:pPr>
              <w:spacing w:line="380" w:lineRule="exact"/>
              <w:jc w:val="center"/>
              <w:rPr>
                <w:rFonts w:ascii="Times New Roman" w:eastAsia="方正黑体_GBK" w:cs="方正黑体_GBK"/>
                <w:color w:val="000000" w:themeColor="text1"/>
                <w:sz w:val="28"/>
                <w:szCs w:val="28"/>
                <w14:textFill>
                  <w14:solidFill>
                    <w14:schemeClr w14:val="tx1"/>
                  </w14:solidFill>
                </w14:textFill>
              </w:rPr>
            </w:pPr>
            <w:r>
              <w:rPr>
                <w:rFonts w:hint="eastAsia" w:ascii="Times New Roman" w:eastAsia="方正黑体_GBK" w:cs="方正黑体_GBK"/>
                <w:color w:val="000000" w:themeColor="text1"/>
                <w:sz w:val="28"/>
                <w:szCs w:val="28"/>
                <w14:textFill>
                  <w14:solidFill>
                    <w14:schemeClr w14:val="tx1"/>
                  </w14:solidFill>
                </w14:textFill>
              </w:rPr>
              <w:t>好</w:t>
            </w:r>
          </w:p>
        </w:tc>
        <w:tc>
          <w:tcPr>
            <w:tcW w:w="8343" w:type="dxa"/>
            <w:vAlign w:val="center"/>
          </w:tcPr>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未按要求设置火灾自动报警、自动喷水灭火、气体灭火、防排烟等设施，或消防设施系统损坏瘫痪无法正常使用，不具备防灭火功能；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未按要求设置防火分区；防火门、防火卷帘、防火墙等损坏严重，不具备防火分隔功能；                           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p>
            <w:pPr>
              <w:numPr>
                <w:ilvl w:val="0"/>
                <w:numId w:val="1"/>
              </w:num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电缆井、管道井等防火封堵不严密，破坏建筑防火分隔。</w:t>
            </w:r>
          </w:p>
          <w:p>
            <w:pPr>
              <w:spacing w:line="380" w:lineRule="exact"/>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 xml:space="preserve">                                                </w:t>
            </w:r>
            <w:r>
              <w:rPr>
                <w:rFonts w:hint="eastAsia" w:ascii="Times New Roman" w:eastAsia="方正仿宋_GBK"/>
                <w:color w:val="000000" w:themeColor="text1"/>
                <w:sz w:val="28"/>
                <w:szCs w:val="28"/>
                <w14:textFill>
                  <w14:solidFill>
                    <w14:schemeClr w14:val="tx1"/>
                  </w14:solidFill>
                </w14:textFill>
              </w:rPr>
              <w:t xml:space="preserve">  </w:t>
            </w:r>
            <w:r>
              <w:rPr>
                <w:rFonts w:ascii="Times New Roman" w:eastAsia="方正仿宋_GBK"/>
                <w:color w:val="000000" w:themeColor="text1"/>
                <w:sz w:val="28"/>
                <w:szCs w:val="28"/>
                <w14:textFill>
                  <w14:solidFill>
                    <w14:schemeClr w14:val="tx1"/>
                  </w14:solidFill>
                </w14:textFill>
              </w:rPr>
              <w:t>是</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否</w:t>
            </w:r>
            <w:r>
              <w:rPr>
                <w:rFonts w:hint="eastAsia" w:ascii="Times New Roman" w:eastAsia="方正仿宋_GBK"/>
                <w:color w:val="000000" w:themeColor="text1"/>
                <w:sz w:val="28"/>
                <w:szCs w:val="28"/>
                <w14:textFill>
                  <w14:solidFill>
                    <w14:schemeClr w14:val="tx1"/>
                  </w14:solidFill>
                </w14:textFill>
              </w:rPr>
              <w:t>□</w:t>
            </w:r>
          </w:p>
        </w:tc>
      </w:tr>
    </w:tbl>
    <w:p>
      <w:pPr>
        <w:spacing w:line="400" w:lineRule="exact"/>
        <w:jc w:val="left"/>
        <w:rPr>
          <w:rFonts w:cs="方正仿宋_GBK"/>
          <w:color w:val="000000" w:themeColor="text1"/>
          <w:sz w:val="24"/>
          <w14:textFill>
            <w14:solidFill>
              <w14:schemeClr w14:val="tx1"/>
            </w14:solidFill>
          </w14:textFill>
        </w:rPr>
      </w:pPr>
    </w:p>
    <w:p>
      <w:pPr>
        <w:spacing w:line="578" w:lineRule="exact"/>
        <w:ind w:right="640"/>
        <w:rPr>
          <w:rFonts w:hint="eastAsia" w:ascii="方正仿宋_GBK" w:hAnsi="仿宋"/>
          <w:color w:val="000000" w:themeColor="text1"/>
          <w:szCs w:val="32"/>
          <w14:textFill>
            <w14:solidFill>
              <w14:schemeClr w14:val="tx1"/>
            </w14:solidFill>
          </w14:textFill>
        </w:rPr>
      </w:pPr>
    </w:p>
    <w:p>
      <w:pPr>
        <w:pStyle w:val="2"/>
        <w:rPr>
          <w:rFonts w:hint="eastAsia" w:ascii="方正仿宋_GBK" w:hAnsi="仿宋"/>
          <w:color w:val="000000" w:themeColor="text1"/>
          <w:szCs w:val="32"/>
          <w14:textFill>
            <w14:solidFill>
              <w14:schemeClr w14:val="tx1"/>
            </w14:solidFill>
          </w14:textFill>
        </w:rPr>
      </w:pPr>
    </w:p>
    <w:p>
      <w:pPr>
        <w:pStyle w:val="3"/>
        <w:rPr>
          <w:rFonts w:hint="eastAsia" w:ascii="方正仿宋_GBK" w:hAnsi="仿宋"/>
          <w:color w:val="000000" w:themeColor="text1"/>
          <w:szCs w:val="32"/>
          <w14:textFill>
            <w14:solidFill>
              <w14:schemeClr w14:val="tx1"/>
            </w14:solidFill>
          </w14:textFill>
        </w:rPr>
      </w:pPr>
    </w:p>
    <w:p>
      <w:pPr>
        <w:rPr>
          <w:rFonts w:hint="eastAsia" w:ascii="方正仿宋_GBK" w:hAnsi="仿宋"/>
          <w:color w:val="000000" w:themeColor="text1"/>
          <w:szCs w:val="32"/>
          <w14:textFill>
            <w14:solidFill>
              <w14:schemeClr w14:val="tx1"/>
            </w14:solidFill>
          </w14:textFill>
        </w:rPr>
      </w:pPr>
    </w:p>
    <w:p>
      <w:pPr>
        <w:pStyle w:val="2"/>
        <w:rPr>
          <w:rFonts w:hint="eastAsia" w:ascii="方正仿宋_GBK" w:hAnsi="仿宋"/>
          <w:color w:val="000000" w:themeColor="text1"/>
          <w:szCs w:val="32"/>
          <w14:textFill>
            <w14:solidFill>
              <w14:schemeClr w14:val="tx1"/>
            </w14:solidFill>
          </w14:textFill>
        </w:rPr>
      </w:pPr>
    </w:p>
    <w:p>
      <w:pPr>
        <w:pStyle w:val="3"/>
        <w:rPr>
          <w:rFonts w:hint="eastAsia" w:ascii="方正仿宋_GBK" w:hAnsi="仿宋"/>
          <w:color w:val="000000" w:themeColor="text1"/>
          <w:szCs w:val="32"/>
          <w14:textFill>
            <w14:solidFill>
              <w14:schemeClr w14:val="tx1"/>
            </w14:solidFill>
          </w14:textFill>
        </w:rPr>
      </w:pPr>
    </w:p>
    <w:p>
      <w:pPr>
        <w:rPr>
          <w:rFonts w:hint="eastAsia"/>
        </w:rPr>
      </w:pPr>
      <w:bookmarkStart w:id="0" w:name="_GoBack"/>
      <w:bookmarkEnd w:id="0"/>
    </w:p>
    <w:p>
      <w:pPr>
        <w:spacing w:line="578" w:lineRule="exact"/>
        <w:ind w:right="640"/>
        <w:rPr>
          <w:rFonts w:hint="eastAsia" w:ascii="方正仿宋_GBK" w:hAnsi="仿宋"/>
          <w:color w:val="000000" w:themeColor="text1"/>
          <w:szCs w:val="32"/>
          <w14:textFill>
            <w14:solidFill>
              <w14:schemeClr w14:val="tx1"/>
            </w14:solidFill>
          </w14:textFill>
        </w:rPr>
      </w:pPr>
    </w:p>
    <w:p>
      <w:pPr>
        <w:spacing w:line="578" w:lineRule="exact"/>
        <w:ind w:right="640"/>
        <w:rPr>
          <w:rFonts w:hint="eastAsia" w:ascii="方正仿宋_GBK" w:hAnsi="仿宋"/>
          <w:color w:val="000000" w:themeColor="text1"/>
          <w:szCs w:val="32"/>
          <w14:textFill>
            <w14:solidFill>
              <w14:schemeClr w14:val="tx1"/>
            </w14:solidFill>
          </w14:textFill>
        </w:rPr>
      </w:pPr>
    </w:p>
    <w:p>
      <w:pPr>
        <w:spacing w:line="578" w:lineRule="exact"/>
        <w:ind w:right="640"/>
        <w:rPr>
          <w:rFonts w:hint="eastAsia" w:ascii="方正仿宋_GBK" w:hAnsi="仿宋"/>
          <w:color w:val="000000" w:themeColor="text1"/>
          <w:szCs w:val="32"/>
          <w14:textFill>
            <w14:solidFill>
              <w14:schemeClr w14:val="tx1"/>
            </w14:solidFill>
          </w14:textFill>
        </w:rPr>
      </w:pPr>
    </w:p>
    <w:p>
      <w:pPr>
        <w:pStyle w:val="2"/>
        <w:rPr>
          <w:rFonts w:hint="eastAsia" w:ascii="方正仿宋_GBK" w:hAnsi="仿宋"/>
          <w:color w:val="000000" w:themeColor="text1"/>
          <w:szCs w:val="32"/>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imes">
    <w:altName w:val="华文行楷"/>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FD792"/>
    <w:multiLevelType w:val="singleLevel"/>
    <w:tmpl w:val="B6EFD7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TI5ZWRmNjkwYTkwN2EwNjJmMDhhNmRjNTBjNWYifQ=="/>
  </w:docVars>
  <w:rsids>
    <w:rsidRoot w:val="00917958"/>
    <w:rsid w:val="000601D0"/>
    <w:rsid w:val="001C00FE"/>
    <w:rsid w:val="001E7263"/>
    <w:rsid w:val="003E3A88"/>
    <w:rsid w:val="004373FF"/>
    <w:rsid w:val="00590538"/>
    <w:rsid w:val="005F5595"/>
    <w:rsid w:val="006159FD"/>
    <w:rsid w:val="00637900"/>
    <w:rsid w:val="00655945"/>
    <w:rsid w:val="006C4669"/>
    <w:rsid w:val="007B460E"/>
    <w:rsid w:val="00917958"/>
    <w:rsid w:val="00964318"/>
    <w:rsid w:val="009A0A52"/>
    <w:rsid w:val="00A209C0"/>
    <w:rsid w:val="00A56F36"/>
    <w:rsid w:val="00A572EE"/>
    <w:rsid w:val="00A86589"/>
    <w:rsid w:val="00B919F8"/>
    <w:rsid w:val="00BA0766"/>
    <w:rsid w:val="00BF3359"/>
    <w:rsid w:val="00C209AB"/>
    <w:rsid w:val="00C76025"/>
    <w:rsid w:val="00C9073C"/>
    <w:rsid w:val="00D33952"/>
    <w:rsid w:val="00D43213"/>
    <w:rsid w:val="00D925DB"/>
    <w:rsid w:val="00E74917"/>
    <w:rsid w:val="00EB047F"/>
    <w:rsid w:val="00EB3613"/>
    <w:rsid w:val="00F13429"/>
    <w:rsid w:val="00F44C5F"/>
    <w:rsid w:val="00FB6964"/>
    <w:rsid w:val="013A7434"/>
    <w:rsid w:val="09B74D83"/>
    <w:rsid w:val="0AD63C59"/>
    <w:rsid w:val="1ECF93E4"/>
    <w:rsid w:val="20345C1E"/>
    <w:rsid w:val="2139255E"/>
    <w:rsid w:val="235843BA"/>
    <w:rsid w:val="236C5954"/>
    <w:rsid w:val="25CB3C39"/>
    <w:rsid w:val="285747C0"/>
    <w:rsid w:val="2D081DB2"/>
    <w:rsid w:val="2D386330"/>
    <w:rsid w:val="3188258B"/>
    <w:rsid w:val="388A5568"/>
    <w:rsid w:val="38F872B2"/>
    <w:rsid w:val="3C31540B"/>
    <w:rsid w:val="47181D26"/>
    <w:rsid w:val="48690DD9"/>
    <w:rsid w:val="4CB40C24"/>
    <w:rsid w:val="558477DD"/>
    <w:rsid w:val="591779D2"/>
    <w:rsid w:val="59B310E6"/>
    <w:rsid w:val="5B6559BA"/>
    <w:rsid w:val="5D2E44D2"/>
    <w:rsid w:val="6F7BF72C"/>
    <w:rsid w:val="71933BCB"/>
    <w:rsid w:val="7221658E"/>
    <w:rsid w:val="74524E0C"/>
    <w:rsid w:val="75C0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Normal Indent"/>
    <w:basedOn w:val="1"/>
    <w:qFormat/>
    <w:uiPriority w:val="0"/>
    <w:pPr>
      <w:ind w:firstLine="420"/>
    </w:pPr>
    <w:rPr>
      <w:rFonts w:eastAsia="宋体"/>
      <w:sz w:val="21"/>
    </w:rPr>
  </w:style>
  <w:style w:type="paragraph" w:styleId="6">
    <w:name w:val="Body Text"/>
    <w:basedOn w:val="1"/>
    <w:next w:val="1"/>
    <w:link w:val="16"/>
    <w:qFormat/>
    <w:uiPriority w:val="0"/>
    <w:pPr>
      <w:spacing w:line="0" w:lineRule="atLeast"/>
    </w:pPr>
    <w:rPr>
      <w:rFonts w:ascii="仿宋_GB2312" w:eastAsia="仿宋_GB2312"/>
      <w:kern w:val="32"/>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uppressAutoHyphens/>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font41"/>
    <w:basedOn w:val="10"/>
    <w:qFormat/>
    <w:uiPriority w:val="0"/>
    <w:rPr>
      <w:rFonts w:hint="eastAsia" w:ascii="宋体" w:hAnsi="宋体" w:eastAsia="宋体" w:cs="宋体"/>
      <w:b/>
      <w:bCs/>
      <w:color w:val="000000"/>
      <w:sz w:val="18"/>
      <w:szCs w:val="18"/>
      <w:u w:val="none"/>
    </w:rPr>
  </w:style>
  <w:style w:type="character" w:customStyle="1" w:styleId="14">
    <w:name w:val="font11"/>
    <w:basedOn w:val="10"/>
    <w:qFormat/>
    <w:uiPriority w:val="0"/>
    <w:rPr>
      <w:rFonts w:hint="eastAsia" w:ascii="宋体" w:hAnsi="宋体" w:eastAsia="宋体" w:cs="宋体"/>
      <w:color w:val="000000"/>
      <w:sz w:val="18"/>
      <w:szCs w:val="18"/>
      <w:u w:val="none"/>
    </w:rPr>
  </w:style>
  <w:style w:type="character" w:customStyle="1" w:styleId="15">
    <w:name w:val="页眉 Char"/>
    <w:basedOn w:val="10"/>
    <w:link w:val="7"/>
    <w:qFormat/>
    <w:uiPriority w:val="0"/>
    <w:rPr>
      <w:rFonts w:ascii="Times New Roman" w:hAnsi="Times New Roman" w:eastAsia="方正仿宋_GBK" w:cs="Times New Roman"/>
      <w:kern w:val="2"/>
      <w:sz w:val="18"/>
      <w:szCs w:val="18"/>
    </w:rPr>
  </w:style>
  <w:style w:type="character" w:customStyle="1" w:styleId="16">
    <w:name w:val="正文文本 Char"/>
    <w:basedOn w:val="10"/>
    <w:link w:val="6"/>
    <w:qFormat/>
    <w:uiPriority w:val="0"/>
    <w:rPr>
      <w:rFonts w:ascii="仿宋_GB2312" w:hAnsi="Times New Roman" w:eastAsia="仿宋_GB2312" w:cs="Times New Roman"/>
      <w:kern w:val="32"/>
      <w:sz w:val="32"/>
    </w:rPr>
  </w:style>
  <w:style w:type="paragraph" w:customStyle="1" w:styleId="17">
    <w:name w:val="Default"/>
    <w:next w:val="1"/>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样式 标题 1 + 首行缩进:  2 字符"/>
    <w:basedOn w:val="4"/>
    <w:qFormat/>
    <w:uiPriority w:val="0"/>
    <w:pPr>
      <w:keepNext w:val="0"/>
      <w:keepLines w:val="0"/>
      <w:spacing w:before="100" w:beforeAutospacing="1" w:after="100" w:afterAutospacing="1" w:line="240" w:lineRule="auto"/>
      <w:ind w:firstLine="200" w:firstLineChars="200"/>
      <w:jc w:val="center"/>
    </w:pPr>
    <w:rPr>
      <w:rFonts w:hint="eastAsia" w:ascii="宋体" w:hAnsi="宋体" w:eastAsia="黑体" w:cs="宋体"/>
      <w:b w:val="0"/>
      <w:bCs w:val="0"/>
      <w:sz w:val="30"/>
      <w:szCs w:val="20"/>
    </w:rPr>
  </w:style>
  <w:style w:type="character" w:customStyle="1" w:styleId="19">
    <w:name w:val="标题 1 Char"/>
    <w:basedOn w:val="10"/>
    <w:link w:val="4"/>
    <w:qFormat/>
    <w:uiPriority w:val="0"/>
    <w:rPr>
      <w:rFonts w:ascii="Times New Roman" w:hAnsi="Times New Roman" w:eastAsia="方正仿宋_GBK"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2541</Words>
  <Characters>14485</Characters>
  <Lines>120</Lines>
  <Paragraphs>33</Paragraphs>
  <TotalTime>3</TotalTime>
  <ScaleCrop>false</ScaleCrop>
  <LinksUpToDate>false</LinksUpToDate>
  <CharactersWithSpaces>16993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2024-02-05T17:13:00Z</dcterms:created>
  <dc:creator>lenovo</dc:creator>
  <cp:lastModifiedBy>user</cp:lastModifiedBy>
  <cp:lastPrinted>2024-02-06T23:37:00Z</cp:lastPrinted>
  <dcterms:modified xsi:type="dcterms:W3CDTF">2024-03-07T15:47:51Z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659292821D2D4A64AEA474AB0B70C2F5_12</vt:lpwstr>
  </property>
</Properties>
</file>