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双土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default" w:eastAsia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云阳县双土镇人民政府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关于印发双土镇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严重精神障碍患者服务管理专项行动实施方案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为进一步做好严重精神障碍患者服务管理工作，切实减少严重精神障碍患者肇事肇祸案（事）件发生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，决定从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即日起至12月底，在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开展严重精神障碍患者服务管理专项行动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，特制定本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（一）工作目标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在党委政府统一领导下，各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科室、村（社区）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协作，按照“底数清、情况明、管住人、控发案”总体要求，采取专群结合、人技结合、点面结合等方式，充分发挥社区网格化优势，逐村逐户、逐人见面、逐一核查、诊断评估，全面摸清患者底数，及时发现风险隐患，健全基础管理台账，落实分色分类分级管理，有效防范和减少精神障碍患者肇事肇祸案（事）件发生，确保社会面大局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（二）基本原则和要求。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底数清晰。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卫健办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牵头联合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平安办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民政办、社保所、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派出所、卫生院、各村（社区）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切实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做好疑似患者排查发现、随访服务、诊断评估、治疗等服务，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摸清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患者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底数和风险底数，做到心中有数。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重点突出。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针对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失访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持续不服药、贫困、无监护或弱监护等患者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摸排梳理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并按照管控要求分别落实有效随访、服药治疗、监护看管等管控措施。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分工合作。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组织做好各村（社区）疑似患者排查发现、联合服务管理；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双土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卫生院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要按照基本公共卫生服务要求严格落实患者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日常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随访等健康管理工作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派出所要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牵头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警情处置、案件办理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（一）进一步加强排查发现工作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1. 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似患者排查。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卫健办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牵头联合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平安办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民政办、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派出所、卫生院，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村（社区）每季度组织一次专项排查，逐村逐户、人人见面，做到应排尽排；对排查出的疑似患者，及时报告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综合管理小组，通报县管理办公室，组织精神卫生医疗机构开展诊断评估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2. 失访患者清查。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2018年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《关于开展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云阳县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失访严重精神障碍患者清查专项行动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的通知》（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计公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2018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号）的要求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，加强失访患者动态排查，及时掌握信息，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卫健办对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失访患者进行梳理，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建立工作台账，要充分发挥派出所优势共同查找失访患者下落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3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3. 不服药患者调查。及时梳理辖区不服药患者信息，逐人建立工作台账，开展不服药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患者调查，分析研究不服药原因，对因家庭贫困无法解决服药费用的，要多方解决服药费用问题，确保患者有药可服；县精卫中心每季度送药下乡，由社事办负责通知关爱帮扶小组或患者监护人，并安排发药场地，维护发药现场秩序，对因路途遥远，取药不方便的，由各村（社区）代领后送药到家，确保患者有药可服，真正做到服务于民，方便于民；对于因服药副作用较大或者患者主观不愿意服药的，要加强服药教育宣传，及时向患者监护人宣传患者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服药的危害，全力督促患者按医嘱规律服药。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4. 患者监护能力调查。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按照《关于做好高温天气严重精神障碍患者监护监管工作的提醒》要求，加强弱监护管理。</w:t>
      </w:r>
      <w:r>
        <w:rPr>
          <w:rFonts w:hint="eastAsia"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  <w:lang w:val="en-US" w:eastAsia="zh-CN"/>
        </w:rPr>
        <w:t>患者有法定监护人但处于弱监护状态问题，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逐一建立工作台账，逐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人指定监护人，督促患者按医嘱规律服药，确保患者有人监管，严格落实患者监护责任。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（二）进一步加强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信息交换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yellow"/>
          <w:u w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卫健办、平安办、民政办、卫生院、派出所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每月进行一次信息交换，相互通报患者随访、诊断评估、肇事肇祸等情况，跟踪患者住院、服药、监护、病情等信息。联合服务管理（关爱帮扶）小组成员日常发现患者有失访、无监护、服药不规律等情况要立即报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综合管理小组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，对弱监护患者，综合管理小组要再指定监护人协助落实监护责任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患者离开居住地后，联合服务管理（关爱帮扶）小组及时报告综合管理小组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并</w:t>
      </w:r>
      <w:r>
        <w:rPr>
          <w:rFonts w:hint="eastAsia" w:eastAsia="方正仿宋_GBK"/>
          <w:color w:val="auto"/>
          <w:kern w:val="0"/>
          <w:sz w:val="32"/>
          <w:szCs w:val="32"/>
          <w:lang w:bidi="ar"/>
        </w:rPr>
        <w:t>通报</w:t>
      </w:r>
      <w:r>
        <w:rPr>
          <w:rFonts w:eastAsia="方正仿宋_GBK"/>
          <w:color w:val="auto"/>
          <w:kern w:val="0"/>
          <w:sz w:val="32"/>
          <w:szCs w:val="32"/>
          <w:lang w:bidi="ar"/>
        </w:rPr>
        <w:t>现居住地综合管理小组</w:t>
      </w:r>
      <w:r>
        <w:rPr>
          <w:rFonts w:hint="eastAsia" w:eastAsia="方正仿宋_GBK"/>
          <w:color w:val="auto"/>
          <w:kern w:val="0"/>
          <w:sz w:val="32"/>
          <w:szCs w:val="32"/>
          <w:lang w:bidi="ar"/>
        </w:rPr>
        <w:t>开展日常管理服务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；如跨省流动，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综合管理小组</w:t>
      </w:r>
      <w:r>
        <w:rPr>
          <w:rFonts w:hint="eastAsia" w:eastAsia="方正仿宋_GBK"/>
          <w:color w:val="auto"/>
          <w:kern w:val="0"/>
          <w:sz w:val="32"/>
          <w:szCs w:val="32"/>
          <w:lang w:bidi="ar"/>
        </w:rPr>
        <w:t>及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bidi="ar"/>
        </w:rPr>
        <w:t>时</w:t>
      </w:r>
      <w:r>
        <w:rPr>
          <w:rFonts w:eastAsia="方正仿宋_GBK"/>
          <w:color w:val="auto"/>
          <w:kern w:val="0"/>
          <w:sz w:val="32"/>
          <w:szCs w:val="32"/>
          <w:u w:val="none"/>
          <w:lang w:bidi="ar"/>
        </w:rPr>
        <w:t>书面函告同级居住地相关部门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 w:bidi="ar"/>
        </w:rPr>
        <w:t>，必要时可由县职能部门落实</w:t>
      </w:r>
      <w:r>
        <w:rPr>
          <w:rFonts w:eastAsia="方正仿宋_GBK"/>
          <w:color w:val="auto"/>
          <w:kern w:val="0"/>
          <w:sz w:val="32"/>
          <w:szCs w:val="32"/>
          <w:u w:val="none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3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进一步加强送医救治工作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联合服务管理（关爱帮扶）小组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在走访排查过程中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对处发病期、病情不稳定的患者及时报告镇综合管理小组，安排平安办、派出所协助村（社区）对患者进行强制送医治疗。严防发生肇事肇祸案（事）件。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3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进一步加强服务管理工作。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处发病期、病情不稳定的患者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按照《严重精神障碍患者服务管理工作办法（试行）》的要求，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定期会议、全面排查、诊断评估、信息交换、联合随访、联合处置、救治救助、监护人、定期培训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等制度，动态掌握患者现实状况、病情变化、治疗服药、监管看护、在（失）控等情况，督促监护人履行监护责任，落实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分级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分类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分色管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控措施；对病情波动或出现肇事肇祸倾向的患者，联合服务管理小组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（关爱帮扶小组）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要立即报告综合管理小组，并协助做好送医治疗或应急处置工作。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双土卫生院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要按照国家基本公共卫生服务规范要求，为辖区内患者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建立健康档案，提供随访管理、危险性评估、服药指导等服务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协同辖区联合服务管理小组（关爱帮扶小组）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指导监护人严格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《严重精神障碍患者监护人健康教育口袋书》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的内容落实日常看护管理责任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2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三、工作步骤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2"/>
        <w:textAlignment w:val="auto"/>
        <w:rPr>
          <w:rFonts w:hint="default"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相关科室、单位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根据职责任务分工，按照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边排查、边采集、边评估、边管控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工作要求，把严重精神障碍患者管理服务工作贯穿于各个阶段始终，全力推进专项行动顺利开展。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4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动员部署（即日起至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日）。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组织召开部署会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明确职责任务、落实工作责任，采取多种方式，组织发动群众参与专项行动。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（二）研判评估（5月16日至7月15日）。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按照《严重精神障碍患者服务管理工作办法（试行）》文件中分色分类分级的要求，对所有患者（包括在册患者和新发现确诊患者）重新开展分色分级分类评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（颜色等级评估、危险性等级评估、疾病诊断评估）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4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）服务管理（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7月16日至10月31日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全面落实分色分类分级管控要求，做好救治救助、依法联合处置等各项服务管理工作，严防肇事肇祸案（事）件发生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巩固成效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11月1日至12月31日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）。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总结工作成效，固化工作经验，健全完善长效工作机制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推动严重精神障碍患者排查服务管理工作常态化运行。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2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eastAsia="zh-CN"/>
        </w:rPr>
        <w:t>社事办联合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val="en-US" w:eastAsia="zh-CN"/>
        </w:rPr>
        <w:t>双土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eastAsia="zh-CN"/>
        </w:rPr>
        <w:t>镇卫生院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专项行动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日常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管理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工作，负责组织专业机构对排查出的疑似患者进行诊断，对患者开展危险性评估、信息交换、随访管理和应急医疗处置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eastAsia="zh-CN"/>
        </w:rPr>
        <w:t>派出所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牵头警情处置、案件办理；协助送医治疗；执行临时保护性约束措施和强制医疗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查找失访患者的工作。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eastAsia="zh-CN"/>
        </w:rPr>
        <w:t>民政办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及时将符合条件的患者纳入社会救助范围，为疑似精神障碍患者中的流浪乞讨人员提供救治救助服务。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3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六、工作保障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4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综合管理小组，组织开展本辖区患者服务管理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，并督促村（社区）患者联合服务管理小组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（关爱帮扶小组）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切实做好患者管理服务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确保此次专项行动顺利完成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（二）形成工作合力。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要结合自身职能，严格落实责任领导和责任人员，以患者的发现、评估、管理、服务、信息报告以及专项工作经费保障等环节为着力点，切实加强信息互通，密切配合，形成齐抓共管的良好工作格局。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（三）强化经费保障。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要整合资源，按照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医保先报、民政救助、残联补充、政府兜底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建立一站式救治救助服务体系，全力推进以奖代补、免费服用第二代抗精神病药物、贫困患者住院经费财政兜底、临时救助等措施的落实，确保患者不因贫困得不到救治，不因疏于救治管理而伤害自身或危害社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5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（四）强化督导问责。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要切实加强对排查管控专项行动的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督导检查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，对工作不主动、措施不得力、效果不明显的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，将予以通报批评；对因工作责任、措施不落实，导致发生涉严重精神障碍患者重大案（事）件的，将予以倒查问责。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4640" w:firstLineChars="145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云阳县双土镇人民政府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1280" w:rightChars="4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 xml:space="preserve">                            2023年5月16日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（此件公开发布）</w:t>
      </w:r>
    </w:p>
    <w:bookmarkEnd w:id="0"/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tabs>
          <w:tab w:val="left" w:pos="7895"/>
        </w:tabs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2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570" w:tblpY="972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pStyle w:val="2"/>
              <w:ind w:left="0" w:leftChars="0" w:firstLine="280" w:firstLineChars="10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 xml:space="preserve">云阳县双土镇党政办公室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4540250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52" w:leftChars="110" w:right="352" w:rightChars="11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7.5pt;margin-top: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OVI89HXAAAACgEAAA8AAAAAAAAAAQAgAAAAOAAAAGRycy9kb3ducmV2LnhtbFBL&#10;AQIUABQAAAAIAIdO4kAmGtJuGgIAAC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52" w:leftChars="110" w:right="352" w:rightChars="11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52" w:leftChars="110" w:right="352" w:rightChars="11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2.2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jANlfTAAAABgEAAA8AAAAAAAAAAQAgAAAAOAAAAGRycy9kb3ducmV2LnhtbFBLAQIU&#10;ABQAAAAIAIdO4kA8FiLyGwIAACkEAAAOAAAAAAAAAAEAIAAAAD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52" w:leftChars="110" w:right="352" w:rightChars="11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54A19"/>
    <w:multiLevelType w:val="singleLevel"/>
    <w:tmpl w:val="28A54A1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61934F"/>
    <w:multiLevelType w:val="singleLevel"/>
    <w:tmpl w:val="6461934F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TdiMTAzNjJkMDczM2E1MTZlODcyMDU3M2VlZTYifQ=="/>
  </w:docVars>
  <w:rsids>
    <w:rsidRoot w:val="79CF4B5D"/>
    <w:rsid w:val="03206EEB"/>
    <w:rsid w:val="07504EC1"/>
    <w:rsid w:val="09CA0F5B"/>
    <w:rsid w:val="0AE4604C"/>
    <w:rsid w:val="21D44292"/>
    <w:rsid w:val="27704831"/>
    <w:rsid w:val="30A2376E"/>
    <w:rsid w:val="3BFA696F"/>
    <w:rsid w:val="3CA25A8A"/>
    <w:rsid w:val="3EB1645A"/>
    <w:rsid w:val="42D02437"/>
    <w:rsid w:val="4A12620F"/>
    <w:rsid w:val="51741248"/>
    <w:rsid w:val="577F1247"/>
    <w:rsid w:val="57FD50A4"/>
    <w:rsid w:val="59B91A1F"/>
    <w:rsid w:val="605F4D94"/>
    <w:rsid w:val="6205127F"/>
    <w:rsid w:val="64794284"/>
    <w:rsid w:val="6CC0320B"/>
    <w:rsid w:val="74774386"/>
    <w:rsid w:val="75411E39"/>
    <w:rsid w:val="762E09A1"/>
    <w:rsid w:val="76390509"/>
    <w:rsid w:val="79CF4B5D"/>
    <w:rsid w:val="7E105802"/>
    <w:rsid w:val="BC7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2973</Words>
  <Characters>3009</Characters>
  <Lines>0</Lines>
  <Paragraphs>0</Paragraphs>
  <TotalTime>20</TotalTime>
  <ScaleCrop>false</ScaleCrop>
  <LinksUpToDate>false</LinksUpToDate>
  <CharactersWithSpaces>3093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2022-09-20T16:31:00Z</dcterms:created>
  <dc:creator>Administrator</dc:creator>
  <cp:lastModifiedBy>user</cp:lastModifiedBy>
  <cp:lastPrinted>2023-05-16T16:47:00Z</cp:lastPrinted>
  <dcterms:modified xsi:type="dcterms:W3CDTF">2023-12-06T17:25:36Z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9558F61523344FC6AB97FACE2BBDCD35_12</vt:lpwstr>
  </property>
</Properties>
</file>