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仿宋_GBK" w:hAnsi="方正仿宋_GBK" w:cs="方正仿宋_GBK"/>
          <w:kern w:val="0"/>
          <w:szCs w:val="32"/>
        </w:rPr>
      </w:pPr>
      <w:r>
        <w:rPr>
          <w:rFonts w:ascii="方正仿宋_GBK" w:hAnsi="方正仿宋_GBK" w:cs="方正仿宋_GBK"/>
          <w:kern w:val="0"/>
          <w:szCs w:val="32"/>
        </w:rPr>
        <w:pict>
          <v:line id="直线 14" o:spid="_x0000_s2051" o:spt="20" style="position:absolute;left:0pt;margin-top:241.05pt;height:0pt;width:442.2pt;mso-position-horizontal:center;mso-position-horizontal-relative:margin;z-index:251660288;mso-width-relative:page;mso-height-relative:page;" stroked="t" coordsize="21600,21600">
            <v:path arrowok="t"/>
            <v:fill focussize="0,0"/>
            <v:stroke weight="2pt" color="#FF0000"/>
            <v:imagedata o:title=""/>
            <o:lock v:ext="edit"/>
          </v:line>
        </w:pict>
      </w:r>
      <w:r>
        <w:rPr>
          <w:rFonts w:ascii="方正仿宋_GBK" w:hAnsi="方正仿宋_GBK" w:cs="方正仿宋_GBK"/>
          <w:kern w:val="0"/>
          <w:szCs w:val="32"/>
        </w:rPr>
        <w:pict>
          <v:shape id="_x0000_s2050" o:spid="_x0000_s2050" o:spt="136" type="#_x0000_t136" style="position:absolute;left:0pt;margin-left:92.15pt;margin-top:101.2pt;height:51.9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云阳县双龙镇人民政府文件" style="font-family:方正小标宋_GBK;font-size:36pt;v-text-align:center;"/>
          </v:shape>
        </w:pict>
      </w:r>
    </w:p>
    <w:p>
      <w:pPr>
        <w:snapToGrid w:val="0"/>
        <w:spacing w:line="580" w:lineRule="exact"/>
        <w:jc w:val="center"/>
        <w:rPr>
          <w:rFonts w:ascii="方正仿宋_GBK" w:hAnsi="方正仿宋_GBK" w:cs="方正仿宋_GBK"/>
          <w:kern w:val="0"/>
          <w:szCs w:val="32"/>
        </w:rPr>
      </w:pPr>
    </w:p>
    <w:p>
      <w:pPr>
        <w:snapToGrid w:val="0"/>
        <w:spacing w:line="580" w:lineRule="exact"/>
        <w:jc w:val="center"/>
        <w:rPr>
          <w:rFonts w:ascii="方正仿宋_GBK" w:hAnsi="方正仿宋_GBK" w:cs="方正仿宋_GBK"/>
          <w:kern w:val="0"/>
          <w:szCs w:val="32"/>
        </w:rPr>
      </w:pPr>
    </w:p>
    <w:p>
      <w:pPr>
        <w:snapToGrid w:val="0"/>
        <w:spacing w:line="580" w:lineRule="exact"/>
        <w:jc w:val="center"/>
        <w:rPr>
          <w:rFonts w:ascii="方正仿宋_GBK" w:hAnsi="方正仿宋_GBK" w:cs="方正仿宋_GBK"/>
          <w:kern w:val="0"/>
          <w:szCs w:val="32"/>
        </w:rPr>
      </w:pPr>
    </w:p>
    <w:p>
      <w:pPr>
        <w:snapToGrid w:val="0"/>
        <w:spacing w:line="580" w:lineRule="exact"/>
        <w:jc w:val="center"/>
        <w:rPr>
          <w:rFonts w:ascii="方正仿宋_GBK" w:hAnsi="方正仿宋_GBK" w:cs="方正仿宋_GBK"/>
          <w:kern w:val="0"/>
          <w:szCs w:val="32"/>
        </w:rPr>
      </w:pPr>
    </w:p>
    <w:p>
      <w:pPr>
        <w:snapToGrid w:val="0"/>
        <w:spacing w:line="580" w:lineRule="exact"/>
        <w:jc w:val="center"/>
        <w:rPr>
          <w:rFonts w:ascii="方正仿宋_GBK" w:hAnsi="方正仿宋_GBK" w:cs="方正仿宋_GBK"/>
          <w:kern w:val="0"/>
          <w:szCs w:val="32"/>
        </w:rPr>
      </w:pPr>
    </w:p>
    <w:p>
      <w:pPr>
        <w:snapToGrid w:val="0"/>
        <w:spacing w:line="580" w:lineRule="exact"/>
        <w:jc w:val="center"/>
        <w:rPr>
          <w:rFonts w:ascii="方正仿宋_GBK" w:hAnsi="方正仿宋_GBK" w:cs="方正仿宋_GBK"/>
          <w:kern w:val="0"/>
          <w:szCs w:val="32"/>
        </w:rPr>
      </w:pPr>
    </w:p>
    <w:p>
      <w:pPr>
        <w:snapToGrid w:val="0"/>
        <w:spacing w:line="580" w:lineRule="exact"/>
        <w:jc w:val="center"/>
        <w:rPr>
          <w:rFonts w:ascii="方正仿宋_GBK" w:hAnsi="方正仿宋_GBK" w:cs="方正仿宋_GBK"/>
          <w:kern w:val="0"/>
          <w:szCs w:val="32"/>
        </w:rPr>
      </w:pPr>
      <w:r>
        <w:rPr>
          <w:bCs/>
          <w:szCs w:val="32"/>
        </w:rPr>
        <w:t>双龙府发〔</w:t>
      </w:r>
      <w:r>
        <w:rPr>
          <w:rFonts w:ascii="Times New Roman" w:hAnsi="Times New Roman"/>
          <w:bCs/>
          <w:szCs w:val="32"/>
        </w:rPr>
        <w:t>2024</w:t>
      </w:r>
      <w:r>
        <w:rPr>
          <w:bCs/>
          <w:szCs w:val="32"/>
        </w:rPr>
        <w:t>〕</w:t>
      </w:r>
      <w:r>
        <w:rPr>
          <w:rFonts w:hint="eastAsia" w:ascii="Times New Roman" w:hAnsi="Times New Roman"/>
          <w:bCs/>
          <w:szCs w:val="32"/>
        </w:rPr>
        <w:t>1</w:t>
      </w:r>
      <w:r>
        <w:rPr>
          <w:rFonts w:hint="eastAsia" w:ascii="Times New Roman" w:hAnsi="Times New Roman"/>
          <w:bCs/>
          <w:szCs w:val="32"/>
          <w:lang w:val="en-US" w:eastAsia="zh-CN"/>
        </w:rPr>
        <w:t>3</w:t>
      </w:r>
      <w:r>
        <w:rPr>
          <w:bCs/>
          <w:szCs w:val="32"/>
        </w:rPr>
        <w:t>号</w:t>
      </w:r>
    </w:p>
    <w:p>
      <w:pPr>
        <w:snapToGrid w:val="0"/>
        <w:spacing w:line="580" w:lineRule="exact"/>
        <w:jc w:val="center"/>
        <w:rPr>
          <w:rFonts w:ascii="Times New Roman" w:hAnsi="Times New Roman" w:eastAsia="方正小标宋_GBK"/>
          <w:kern w:val="0"/>
          <w:szCs w:val="32"/>
        </w:rPr>
      </w:pPr>
    </w:p>
    <w:p>
      <w:pPr>
        <w:snapToGrid w:val="0"/>
        <w:spacing w:line="580" w:lineRule="exact"/>
        <w:jc w:val="center"/>
        <w:rPr>
          <w:rFonts w:ascii="Times New Roman" w:hAnsi="Times New Roman" w:eastAsia="方正小标宋_GBK"/>
          <w:kern w:val="0"/>
          <w:szCs w:val="32"/>
        </w:rPr>
      </w:pPr>
    </w:p>
    <w:p>
      <w:pPr>
        <w:snapToGrid w:val="0"/>
        <w:spacing w:line="72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双龙镇人民政府</w:t>
      </w:r>
    </w:p>
    <w:p>
      <w:pPr>
        <w:snapToGrid w:val="0"/>
        <w:spacing w:line="72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关于印发双龙镇节后复工复产安全生产</w:t>
      </w:r>
    </w:p>
    <w:p>
      <w:pPr>
        <w:snapToGrid w:val="0"/>
        <w:spacing w:line="7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工作方案的通知</w:t>
      </w:r>
    </w:p>
    <w:p>
      <w:pPr>
        <w:pStyle w:val="4"/>
        <w:keepNext w:val="0"/>
        <w:keepLines w:val="0"/>
        <w:pageBreakBefore w:val="0"/>
        <w:kinsoku/>
        <w:overflowPunct/>
        <w:topLinePunct w:val="0"/>
        <w:autoSpaceDE/>
        <w:autoSpaceDN/>
        <w:bidi w:val="0"/>
        <w:adjustRightInd/>
        <w:snapToGrid/>
        <w:spacing w:beforeAutospacing="0" w:afterAutospacing="0" w:line="578" w:lineRule="exact"/>
        <w:textAlignment w:val="auto"/>
        <w:rPr>
          <w:rFonts w:hint="eastAsia" w:ascii="方正仿宋_GBK" w:hAnsi="方正仿宋_GBK" w:eastAsia="方正仿宋_GBK" w:cs="方正仿宋_GBK"/>
          <w:sz w:val="32"/>
          <w:szCs w:val="32"/>
          <w:lang w:val="en-US" w:eastAsia="zh-CN"/>
        </w:rPr>
      </w:pPr>
    </w:p>
    <w:p>
      <w:pPr>
        <w:pStyle w:val="4"/>
        <w:keepNext w:val="0"/>
        <w:keepLines w:val="0"/>
        <w:pageBreakBefore w:val="0"/>
        <w:kinsoku/>
        <w:overflowPunct/>
        <w:topLinePunct w:val="0"/>
        <w:autoSpaceDE/>
        <w:autoSpaceDN/>
        <w:bidi w:val="0"/>
        <w:adjustRightInd/>
        <w:snapToGrid/>
        <w:spacing w:beforeAutospacing="0" w:afterAutospacing="0"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各村（社区），机关各工作岗，各镇属单位：</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w:t>
      </w:r>
      <w:r>
        <w:rPr>
          <w:rFonts w:hint="eastAsia" w:ascii="方正仿宋_GBK" w:hAnsi="方正仿宋_GBK" w:eastAsia="方正仿宋_GBK" w:cs="方正仿宋_GBK"/>
          <w:sz w:val="32"/>
          <w:szCs w:val="32"/>
          <w:lang w:val="en-US" w:eastAsia="zh-CN"/>
        </w:rPr>
        <w:t>双龙镇</w:t>
      </w:r>
      <w:r>
        <w:rPr>
          <w:rFonts w:hint="eastAsia" w:ascii="方正仿宋_GBK" w:hAnsi="方正仿宋_GBK" w:eastAsia="方正仿宋_GBK" w:cs="方正仿宋_GBK"/>
          <w:sz w:val="32"/>
          <w:szCs w:val="32"/>
        </w:rPr>
        <w:t>节后复工复产安全生产工作方案》印发给你们，请结合实际认真贯彻执行。</w:t>
      </w:r>
    </w:p>
    <w:p>
      <w:pPr>
        <w:keepNext w:val="0"/>
        <w:keepLines w:val="0"/>
        <w:pageBreakBefore w:val="0"/>
        <w:widowControl w:val="0"/>
        <w:kinsoku/>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sz w:val="32"/>
          <w:szCs w:val="32"/>
        </w:rPr>
      </w:pPr>
    </w:p>
    <w:p>
      <w:pPr>
        <w:pStyle w:val="14"/>
        <w:keepNext w:val="0"/>
        <w:keepLines w:val="0"/>
        <w:pageBreakBefore w:val="0"/>
        <w:widowControl w:val="0"/>
        <w:kinsoku/>
        <w:wordWrap/>
        <w:overflowPunct/>
        <w:topLinePunct w:val="0"/>
        <w:autoSpaceDE/>
        <w:autoSpaceDN/>
        <w:bidi w:val="0"/>
        <w:adjustRightInd/>
        <w:snapToGrid/>
        <w:spacing w:line="578" w:lineRule="exact"/>
        <w:ind w:right="2160" w:rightChars="675" w:firstLine="0" w:firstLineChars="0"/>
        <w:jc w:val="right"/>
        <w:textAlignment w:val="auto"/>
        <w:rPr>
          <w:rFonts w:ascii="方正仿宋_GBK" w:hAnsi="方正仿宋_GBK" w:eastAsia="方正仿宋_GBK" w:cs="方正仿宋_GBK"/>
          <w:color w:val="auto"/>
          <w:kern w:val="0"/>
          <w:szCs w:val="32"/>
        </w:rPr>
      </w:pPr>
      <w:r>
        <w:rPr>
          <w:rFonts w:hint="eastAsia" w:ascii="方正仿宋_GBK" w:hAnsi="方正仿宋_GBK" w:eastAsia="方正仿宋_GBK" w:cs="方正仿宋_GBK"/>
          <w:color w:val="auto"/>
          <w:kern w:val="0"/>
          <w:szCs w:val="32"/>
        </w:rPr>
        <w:t>双龙镇人民政府</w:t>
      </w:r>
    </w:p>
    <w:p>
      <w:pPr>
        <w:pStyle w:val="14"/>
        <w:spacing w:line="578" w:lineRule="exact"/>
        <w:ind w:right="1280" w:rightChars="400" w:firstLine="0" w:firstLineChars="0"/>
        <w:jc w:val="right"/>
        <w:rPr>
          <w:rFonts w:ascii="方正仿宋_GBK" w:hAnsi="方正仿宋_GBK" w:eastAsia="方正仿宋_GBK" w:cs="方正仿宋_GBK"/>
          <w:color w:val="auto"/>
          <w:kern w:val="0"/>
          <w:szCs w:val="32"/>
        </w:rPr>
      </w:pPr>
      <w:r>
        <w:rPr>
          <w:rFonts w:ascii="Times New Roman" w:hAnsi="Times New Roman" w:eastAsia="方正仿宋_GBK"/>
          <w:color w:val="auto"/>
          <w:kern w:val="0"/>
          <w:szCs w:val="32"/>
        </w:rPr>
        <w:t>2024</w:t>
      </w:r>
      <w:r>
        <w:rPr>
          <w:rFonts w:hint="eastAsia" w:ascii="方正仿宋_GBK" w:hAnsi="方正仿宋_GBK" w:eastAsia="方正仿宋_GBK" w:cs="方正仿宋_GBK"/>
          <w:color w:val="auto"/>
          <w:kern w:val="0"/>
          <w:szCs w:val="32"/>
        </w:rPr>
        <w:t>年</w:t>
      </w:r>
      <w:r>
        <w:rPr>
          <w:rFonts w:ascii="Times New Roman" w:hAnsi="Times New Roman" w:eastAsia="方正仿宋_GBK"/>
          <w:color w:val="auto"/>
          <w:kern w:val="0"/>
          <w:szCs w:val="32"/>
        </w:rPr>
        <w:t>2</w:t>
      </w:r>
      <w:r>
        <w:rPr>
          <w:rFonts w:hint="eastAsia" w:ascii="方正仿宋_GBK" w:hAnsi="方正仿宋_GBK" w:eastAsia="方正仿宋_GBK" w:cs="方正仿宋_GBK"/>
          <w:color w:val="auto"/>
          <w:kern w:val="0"/>
          <w:szCs w:val="32"/>
        </w:rPr>
        <w:t>月</w:t>
      </w:r>
      <w:r>
        <w:rPr>
          <w:rFonts w:hint="eastAsia" w:ascii="Times New Roman" w:hAnsi="Times New Roman" w:eastAsia="方正仿宋_GBK"/>
          <w:color w:val="auto"/>
          <w:kern w:val="0"/>
          <w:szCs w:val="32"/>
          <w:lang w:val="en-US" w:eastAsia="zh-CN"/>
        </w:rPr>
        <w:t>26</w:t>
      </w:r>
      <w:r>
        <w:rPr>
          <w:rFonts w:hint="eastAsia" w:ascii="方正仿宋_GBK" w:hAnsi="方正仿宋_GBK" w:eastAsia="方正仿宋_GBK" w:cs="方正仿宋_GBK"/>
          <w:color w:val="auto"/>
          <w:kern w:val="0"/>
          <w:szCs w:val="32"/>
        </w:rPr>
        <w:t>日</w:t>
      </w:r>
    </w:p>
    <w:p>
      <w:pPr>
        <w:rPr>
          <w:rFonts w:ascii="方正仿宋_GBK" w:hAnsi="方正仿宋_GBK" w:cs="方正仿宋_GBK"/>
          <w:kern w:val="0"/>
          <w:szCs w:val="32"/>
        </w:rPr>
      </w:pPr>
      <w:r>
        <w:rPr>
          <w:rFonts w:hint="eastAsia" w:ascii="方正仿宋_GBK" w:hAnsi="方正仿宋_GBK" w:cs="方正仿宋_GBK"/>
          <w:kern w:val="0"/>
          <w:szCs w:val="32"/>
        </w:rPr>
        <w:br w:type="page"/>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双龙镇节后复工复产安全生产工作方案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仿宋_GBK" w:hAnsi="方正仿宋_GBK" w:cs="方正仿宋_GBK"/>
        </w:rPr>
        <w:t>春节长假结束，各类企业和项目陆续复工复产，设施设备检维修频繁，人员心态不稳、安全管理和教育培训不到位等风险叠加，生产安全事故防范压力较大。为深入学习贯彻习近平总书记关于安全生产工作的重要论述，全面落实县委、县政府工作要求，进一步做好节后复产复工安全生产工作，切实抓好各项安全防范责任措施落实，坚决防范和遏制较大以上生产安全事故发生，保障全镇安全生产形势持续稳定，现结合工作实际，制定本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一、提高认识，层层压实工作责任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仿宋_GBK" w:hAnsi="方正仿宋_GBK" w:cs="方正仿宋_GBK"/>
        </w:rPr>
        <w:t>复产复工时期历来是生产安全事故的易发期、多发期，是安全生产的关键时期。各村（社区）、机关各工作岗要充分认识做好这一时期安全监管工作的重要意义，始终保持高度警醒，时刻绷紧安全生产这根弦，不能有丝毫松懈、半点马虎，切实把思想和行动统一到习近平总书记关于安全生产的重要指示精神上来，认真贯彻落实各级关于安全生产的重要部署要求，迅速进入紧张的工作状态，进一步加强组织领导，明确责任，认真排查治理隐患，切实把各项安全防范责任措施落细落小落实，全力做好节后复工安全生产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二、严格把关，强化节后安全监管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仿宋_GBK" w:hAnsi="方正仿宋_GBK" w:cs="方正仿宋_GBK"/>
        </w:rPr>
        <w:t>春节已过，各生产经营单位陆续恢复生产，一些生产设施设备经短期停运后重新投入使用，容易出现故障、损坏等问题；一些从业人员还沉浸在浓厚的节日氛围内，生产时难免出现思想松懈、注意力不集中的现象，容易发生意外；一些企业复工时为了赶工期、抢进度，存在超能力、超强度、超员违法生产，容易导致事故的发生等。各村（社区）、机关各工作岗要针对节后各生产经营单位陆续复产复工的实际，切实加强安全监管监察，严格执行企业复产复工验收制度，进一步督促企业落实主体责任，严密分析复产复工期间的各种危险因素，有效落实隐患排查治理工作，督促企业认真开展企业员工岗前教育培训，确保各项安全防护措施落到实处，严防复产复工期间发生生产安全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三、迅速行动，切实做好风险防控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仿宋_GBK" w:hAnsi="方正仿宋_GBK" w:cs="方正仿宋_GBK"/>
        </w:rPr>
        <w:t>各村（社区）、机关各工作岗要持续盯紧重点行业领域风险隐患，分析当前风险形势，重点关注“五大风险”，切实做好风险防控工作。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楷体_GBK" w:hAnsi="方正楷体_GBK" w:eastAsia="方正楷体_GBK" w:cs="方正楷体_GBK"/>
        </w:rPr>
        <w:t>（一）工业企业安全风险。</w:t>
      </w:r>
      <w:r>
        <w:rPr>
          <w:rFonts w:hint="eastAsia" w:ascii="方正仿宋_GBK" w:hAnsi="方正仿宋_GBK" w:cs="方正仿宋_GBK"/>
        </w:rPr>
        <w:t>从业人员受“假期综合症”影响，易出现精神不集中、工作效率低等状况，导致违章指挥、违规作业和违反劳动纪律行为的风险明显增加。春节停工停产时间较长，作业环境可能发生改变，设施设备及电气线路出现故障、有毒有害气体聚积等因素带来安全风险。节后企业检维修、设备调试、试生产活动多，动火、登高、起重、临时用电、进入有限空间等特殊作业频繁，易发生火灾、高坠、触电、物体打击、机械伤害、中毒和窒息等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楷体_GBK" w:hAnsi="方正楷体_GBK" w:eastAsia="方正楷体_GBK" w:cs="方正楷体_GBK"/>
        </w:rPr>
        <w:t>（二）施工安全风险。</w:t>
      </w:r>
      <w:r>
        <w:rPr>
          <w:rFonts w:hint="eastAsia" w:ascii="方正仿宋_GBK" w:hAnsi="方正仿宋_GBK" w:cs="方正仿宋_GBK"/>
        </w:rPr>
        <w:t>节后工地恢复施工时间不统一、从业人员流动性大、作业现场环境复杂，建设工程项目复工安全风险高。重要岗位人员和特殊作业人员返岗不及时，易出现现场组织管理不到位、风险隐患排查治理不到位、安全技术交底不到位等问题。节后新进人员及转岗、轮岗、换岗员工多，对施工环境、操作规程不熟悉，安全意识和安全技能不足。工地设施设备维护不到位，脚手架、基坑边坡易出现变形失稳，起重吊装机具、工程车辆、电线电路等易发生故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楷体_GBK" w:hAnsi="方正楷体_GBK" w:eastAsia="方正楷体_GBK" w:cs="方正楷体_GBK"/>
        </w:rPr>
        <w:t>（三）道路运输安全风险。</w:t>
      </w:r>
      <w:r>
        <w:rPr>
          <w:rFonts w:hint="eastAsia" w:ascii="方正仿宋_GBK" w:hAnsi="方正仿宋_GBK" w:cs="方正仿宋_GBK"/>
        </w:rPr>
        <w:t>目前仍然处于“春运”的关键时期，节后大量人员返工返校，人员流动频繁，仍需做好“春运”安全保障工作。企业复工复产使能源运输、生产资料运输需求短时间集中释放，加之当前电商物流运输仍然繁忙，货车“多拉快跑”导致交通事故风险增大。近期，高海拔地区低温雨雪天气频繁，高速公路、长下坡山路、桥梁隧道、急弯陡坡等重点路段交通安全风险升高。要做好道路交通安全综合整治，严格查处超员超载、超速行驶、非法营运等违法违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楷体_GBK" w:hAnsi="方正楷体_GBK" w:eastAsia="方正楷体_GBK" w:cs="方正楷体_GBK"/>
        </w:rPr>
        <w:t>（四）燃气安全风险。</w:t>
      </w:r>
      <w:r>
        <w:rPr>
          <w:rFonts w:hint="eastAsia" w:ascii="方正仿宋_GBK" w:hAnsi="方正仿宋_GBK" w:cs="方正仿宋_GBK"/>
        </w:rPr>
        <w:t>随着生产经营单位陆续复工复产复业和人流返城，用气量较春节期间大幅增加，燃气生产经营企业的各类燃气场站、输配管线、调压站（箱、柜）等设施设备故障，易引发安全风险。部分小餐饮经营单位恢复营业，燃气管线、燃气灶具、连接软管、可燃气体泄漏报警装置等可能出现故障损坏，需加强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楷体_GBK" w:hAnsi="方正楷体_GBK" w:eastAsia="方正楷体_GBK" w:cs="方正楷体_GBK"/>
        </w:rPr>
        <w:t>（五）重点场所火灾风险。</w:t>
      </w:r>
      <w:r>
        <w:rPr>
          <w:rFonts w:hint="eastAsia" w:ascii="方正仿宋_GBK" w:hAnsi="方正仿宋_GBK" w:cs="方正仿宋_GBK"/>
        </w:rPr>
        <w:t>春节后，“九小场所”、人员密集场所、多业态混合场所和高层建筑等消防基础薄弱的重点区域，生产经营活动快速恢复，用火用电用气明显增多，火灾风险凸显。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四、突出重点，深入开展安全检查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仿宋_GBK" w:hAnsi="方正仿宋_GBK" w:cs="方正仿宋_GBK"/>
        </w:rPr>
        <w:t>各村（社区）、机关各工作岗要根据节后安全生产工作特点，突出交通运输、消防、烟花爆竹、建筑施工和危险化学品等重点行业领域复工复产安全监管工作，着力查大风险、除大隐患、防大事故，切实做好安全检查工作。要做好道路交通安全综合整治，严格查处超员超载、超速行驶、非法营运等违法违规行为；要及时消除学校、医院、宾馆、商场、娱乐场所等人员密集场所火灾隐患；要严厉打击烟花爆竹无证非法经营、非法运输、超量储存等行为；要深入开展危险化学品安全专项整治行动，加强生产、储存、经营、运输、使用和废弃处置各环节的安全检查，突出储罐、压力容器、管道等关键部位隐患排查；要严格建筑施工现场安全管理，重点检查脚手架、超重机械等部位；要全面落实民用爆炸物品、特种设备、食品、供水、供电、供气等其他行业领域安全防范措施，坚决消除监管盲区、堵塞管理漏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仿宋_GBK" w:hAnsi="方正仿宋_GBK" w:cs="方正仿宋_GBK"/>
        </w:rPr>
        <w:t>各村（社区）、机关各工作岗要加大对重点企业、重点环节、重点部位的安全检查力度，尤其要督促企业整改落实安全生产大检查发现的问题和隐患，加强安全管理，确保隐患不复发。对查出的隐患和问题，能立即整改的要立即整改，不能立即整改的要做到整改责任、措施、资金、时限、预案“五到位”；对检查发现的重大隐患要</w:t>
      </w:r>
      <w:bookmarkStart w:id="0" w:name="_GoBack"/>
      <w:bookmarkEnd w:id="0"/>
      <w:r>
        <w:rPr>
          <w:rFonts w:hint="eastAsia" w:ascii="方正仿宋_GBK" w:hAnsi="方正仿宋_GBK" w:cs="方正仿宋_GBK"/>
        </w:rPr>
        <w:t>及时上报镇应急办，交由主要领导亲自督办整改；对不符合安全生产条件的，要坚决依法进行取缔关闭，加强巡查、监控和盯守，把隐患消灭在萌芽状态。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五、加大宣传，提升应急防范能力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cs="方正仿宋_GBK"/>
        </w:rPr>
      </w:pPr>
      <w:r>
        <w:rPr>
          <w:rFonts w:hint="eastAsia" w:ascii="方正仿宋_GBK" w:hAnsi="方正仿宋_GBK" w:cs="方正仿宋_GBK"/>
        </w:rPr>
        <w:t>各村（社区）、机关各工作岗要充分发挥安全生产预测预警和应急协调联动机制的作用，及时发布预警信息，加强节后灾害性天气应急准备，切实落实应急救援队伍和物资。要充分运用微信、</w:t>
      </w:r>
      <w:r>
        <w:rPr>
          <w:rFonts w:hint="default" w:ascii="Times New Roman" w:hAnsi="Times New Roman" w:cs="Times New Roman"/>
        </w:rPr>
        <w:t>QQ</w:t>
      </w:r>
      <w:r>
        <w:rPr>
          <w:rFonts w:hint="eastAsia" w:ascii="方正仿宋_GBK" w:hAnsi="方正仿宋_GBK" w:cs="方正仿宋_GBK"/>
        </w:rPr>
        <w:t>、广播、流动巡逻车、张贴标语等媒介手段，对复工复产安全规范、风险提示等进行解读，广泛宣传安全生产、安全防护、自救互救等知识，切实提高全镇应急防范能力。要加强应急值班值守，严格执行领导干部到岗带班、关键岗位</w:t>
      </w:r>
      <w:r>
        <w:rPr>
          <w:rFonts w:hint="default" w:ascii="Times New Roman" w:hAnsi="Times New Roman" w:cs="Times New Roman"/>
        </w:rPr>
        <w:t>24</w:t>
      </w:r>
      <w:r>
        <w:rPr>
          <w:rFonts w:hint="eastAsia" w:ascii="方正仿宋_GBK" w:hAnsi="方正仿宋_GBK" w:cs="方正仿宋_GBK"/>
        </w:rPr>
        <w:t>小时值班制度和事故信息报告制度，健全完善各类事故应急处置预案，确保事故信息渠道畅通。</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cs="方正仿宋_GBK"/>
        </w:rPr>
      </w:pPr>
    </w:p>
    <w:p>
      <w:pPr>
        <w:pBdr>
          <w:top w:val="single" w:color="auto" w:sz="12" w:space="1"/>
          <w:bottom w:val="single" w:color="auto" w:sz="12" w:space="1"/>
        </w:pBdr>
        <w:ind w:firstLine="280" w:firstLineChars="100"/>
      </w:pPr>
      <w:r>
        <w:rPr>
          <w:rFonts w:hint="eastAsia"/>
          <w:bCs/>
          <w:sz w:val="28"/>
          <w:szCs w:val="28"/>
        </w:rPr>
        <w:t xml:space="preserve">云阳县双龙镇党政办公室                  </w:t>
      </w:r>
      <w:r>
        <w:rPr>
          <w:rFonts w:ascii="Times New Roman" w:hAnsi="Times New Roman"/>
          <w:bCs/>
          <w:sz w:val="28"/>
          <w:szCs w:val="28"/>
        </w:rPr>
        <w:t>2024</w:t>
      </w:r>
      <w:r>
        <w:rPr>
          <w:bCs/>
          <w:sz w:val="28"/>
          <w:szCs w:val="28"/>
        </w:rPr>
        <w:t>年</w:t>
      </w:r>
      <w:r>
        <w:rPr>
          <w:rFonts w:ascii="Times New Roman" w:hAnsi="Times New Roman"/>
          <w:bCs/>
          <w:sz w:val="28"/>
          <w:szCs w:val="28"/>
        </w:rPr>
        <w:t>2</w:t>
      </w:r>
      <w:r>
        <w:rPr>
          <w:bCs/>
          <w:sz w:val="28"/>
          <w:szCs w:val="28"/>
        </w:rPr>
        <w:t>月</w:t>
      </w:r>
      <w:r>
        <w:rPr>
          <w:rFonts w:hint="eastAsia" w:ascii="Times New Roman" w:hAnsi="Times New Roman"/>
          <w:bCs/>
          <w:sz w:val="28"/>
          <w:szCs w:val="28"/>
          <w:lang w:val="en-US" w:eastAsia="zh-CN"/>
        </w:rPr>
        <w:t>26</w:t>
      </w:r>
      <w:r>
        <w:rPr>
          <w:bCs/>
          <w:sz w:val="28"/>
          <w:szCs w:val="28"/>
        </w:rPr>
        <w:t>日</w:t>
      </w:r>
      <w:r>
        <w:rPr>
          <w:rFonts w:hint="eastAsia"/>
          <w:bCs/>
          <w:sz w:val="28"/>
          <w:szCs w:val="28"/>
        </w:rPr>
        <w:t xml:space="preserve">印发  </w:t>
      </w:r>
    </w:p>
    <w:sectPr>
      <w:footerReference r:id="rId3" w:type="default"/>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NanumBarunGothic"/>
    <w:panose1 w:val="020B0504020202030204"/>
    <w:charset w:val="00"/>
    <w:family w:val="swiss"/>
    <w:pitch w:val="default"/>
    <w:sig w:usb0="00000000" w:usb1="00000000" w:usb2="00000000" w:usb3="00000000" w:csb0="00000093"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8"/>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FhOWE5YjU2Y2ZhY2ZhZTNlODA3YmYxMDJmMWJkM2IifQ=="/>
  </w:docVars>
  <w:rsids>
    <w:rsidRoot w:val="39990457"/>
    <w:rsid w:val="00170E86"/>
    <w:rsid w:val="001E5D85"/>
    <w:rsid w:val="006E64F3"/>
    <w:rsid w:val="05DC6FE7"/>
    <w:rsid w:val="1CE45658"/>
    <w:rsid w:val="245469DB"/>
    <w:rsid w:val="2DD17FCD"/>
    <w:rsid w:val="39990457"/>
    <w:rsid w:val="5842456F"/>
    <w:rsid w:val="5BA7437B"/>
    <w:rsid w:val="72430970"/>
    <w:rsid w:val="72AD186F"/>
    <w:rsid w:val="7A1331C7"/>
    <w:rsid w:val="B63FF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4"/>
    <w:qFormat/>
    <w:uiPriority w:val="0"/>
    <w:pPr>
      <w:spacing w:after="120"/>
    </w:pPr>
    <w:rPr>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ody Text Indent"/>
    <w:basedOn w:val="1"/>
    <w:next w:val="6"/>
    <w:qFormat/>
    <w:uiPriority w:val="0"/>
    <w:pPr>
      <w:spacing w:after="120"/>
      <w:ind w:left="420"/>
    </w:pPr>
  </w:style>
  <w:style w:type="paragraph" w:styleId="6">
    <w:name w:val="Body Text First Indent 2"/>
    <w:basedOn w:val="5"/>
    <w:next w:val="7"/>
    <w:qFormat/>
    <w:uiPriority w:val="0"/>
    <w:pPr>
      <w:ind w:left="0" w:firstLine="420"/>
    </w:pPr>
    <w:rPr>
      <w:rFonts w:ascii="仿宋_GB2312" w:eastAsia="仿宋_GB2312" w:cs="仿宋_GB2312"/>
      <w:szCs w:val="32"/>
    </w:rPr>
  </w:style>
  <w:style w:type="paragraph" w:styleId="7">
    <w:name w:val="Body Text First Indent"/>
    <w:basedOn w:val="3"/>
    <w:next w:val="3"/>
    <w:unhideWhenUsed/>
    <w:qFormat/>
    <w:uiPriority w:val="0"/>
    <w:pPr>
      <w:adjustRightInd w:val="0"/>
      <w:snapToGrid w:val="0"/>
      <w:spacing w:line="590" w:lineRule="atLeast"/>
      <w:ind w:firstLine="200" w:firstLineChars="200"/>
      <w:jc w:val="center"/>
    </w:pPr>
    <w:rPr>
      <w:rFonts w:ascii="黑体" w:hAnsi="黑体" w:eastAsia="黑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UserStyle_0"/>
    <w:basedOn w:val="1"/>
    <w:qFormat/>
    <w:uiPriority w:val="0"/>
    <w:pPr>
      <w:ind w:firstLine="200" w:firstLineChars="200"/>
    </w:pPr>
    <w:rPr>
      <w:rFonts w:eastAsia="宋体"/>
      <w:color w:val="000000"/>
      <w:szCs w:val="21"/>
    </w:rPr>
  </w:style>
  <w:style w:type="paragraph" w:customStyle="1" w:styleId="15">
    <w:name w:val="Default"/>
    <w:next w:val="1"/>
    <w:qFormat/>
    <w:uiPriority w:val="0"/>
    <w:pPr>
      <w:widowControl w:val="0"/>
      <w:autoSpaceDE w:val="0"/>
      <w:autoSpaceDN w:val="0"/>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940</Words>
  <Characters>5361</Characters>
  <Lines>44</Lines>
  <Paragraphs>12</Paragraphs>
  <TotalTime>8</TotalTime>
  <ScaleCrop>false</ScaleCrop>
  <LinksUpToDate>false</LinksUpToDate>
  <CharactersWithSpaces>6289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2024-02-29T22:18:00Z</dcterms:created>
  <dc:creator>cxkj</dc:creator>
  <cp:lastModifiedBy>user</cp:lastModifiedBy>
  <dcterms:modified xsi:type="dcterms:W3CDTF">2024-03-05T21:30:04Z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1FF90722443B4175BD8E67FEE4C3C959_11</vt:lpwstr>
  </property>
</Properties>
</file>