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pStyle w:val="2"/>
        <w:keepNext w:val="0"/>
        <w:keepLines w:val="0"/>
        <w:pageBreakBefore w:val="0"/>
        <w:widowControl w:val="0"/>
        <w:numPr>
          <w:numId w:val="0"/>
        </w:numPr>
        <w:kinsoku/>
        <w:wordWrap/>
        <w:overflowPunct/>
        <w:topLinePunct w:val="0"/>
        <w:autoSpaceDE/>
        <w:bidi w:val="0"/>
        <w:spacing w:line="580" w:lineRule="exact"/>
        <w:ind w:left="0" w:leftChars="0" w:right="0" w:rightChars="0" w:firstLine="0" w:firstLineChars="0"/>
        <w:textAlignment w:val="auto"/>
      </w:pP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0" w:firstLineChars="0"/>
        <w:jc w:val="center"/>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人和街办发〔20</w:t>
      </w:r>
      <w:r>
        <w:rPr>
          <w:rFonts w:hint="default" w:ascii="Times New Roman" w:hAnsi="Times New Roman" w:eastAsia="方正仿宋_GBK" w:cs="Times New Roman"/>
          <w:sz w:val="32"/>
          <w:lang w:val="en-US" w:eastAsia="zh-CN"/>
        </w:rPr>
        <w:t>21</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47</w:t>
      </w:r>
      <w:r>
        <w:rPr>
          <w:rFonts w:hint="default" w:ascii="Times New Roman" w:hAnsi="Times New Roman" w:eastAsia="方正仿宋_GBK" w:cs="Times New Roman"/>
          <w:sz w:val="32"/>
        </w:rPr>
        <w:t>号</w:t>
      </w:r>
    </w:p>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spacing w:line="580" w:lineRule="exact"/>
        <w:ind w:left="0" w:leftChars="0" w:right="0" w:rightChars="0" w:firstLine="0" w:firstLineChars="0"/>
        <w:jc w:val="center"/>
        <w:textAlignment w:val="auto"/>
        <w:rPr>
          <w:rFonts w:ascii="方正仿宋_GBK" w:hAnsi="方正仿宋_GBK" w:eastAsia="方正仿宋_GBK" w:cs="方正仿宋_GBK"/>
          <w:sz w:val="32"/>
          <w:szCs w:val="32"/>
        </w:rPr>
      </w:pPr>
    </w:p>
    <w:p>
      <w:pPr>
        <w:spacing w:line="500" w:lineRule="exact"/>
        <w:jc w:val="center"/>
        <w:rPr>
          <w:rFonts w:ascii="Times New Roman" w:hAnsi="Times New Roman" w:eastAsia="方正小标宋_GBK"/>
          <w:sz w:val="44"/>
          <w:szCs w:val="44"/>
        </w:rPr>
      </w:pPr>
      <w:r>
        <w:rPr>
          <w:rFonts w:ascii="Times New Roman" w:hAnsi="Times New Roman" w:eastAsia="方正小标宋_GBK"/>
          <w:sz w:val="44"/>
          <w:szCs w:val="44"/>
        </w:rPr>
        <w:t>云阳县人和街道办事处</w:t>
      </w:r>
    </w:p>
    <w:p>
      <w:pPr>
        <w:spacing w:line="6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人和街道</w:t>
      </w:r>
      <w:r>
        <w:rPr>
          <w:rFonts w:hint="eastAsia" w:ascii="方正小标宋_GBK" w:hAnsi="方正小标宋_GBK" w:eastAsia="方正小标宋_GBK" w:cs="方正小标宋_GBK"/>
          <w:sz w:val="44"/>
          <w:szCs w:val="44"/>
        </w:rPr>
        <w:t>清理“蓝棚顶”工作推进</w:t>
      </w:r>
    </w:p>
    <w:p>
      <w:pPr>
        <w:spacing w:line="6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方案》的通知</w:t>
      </w:r>
    </w:p>
    <w:p>
      <w:pPr>
        <w:spacing w:line="540" w:lineRule="exact"/>
        <w:jc w:val="center"/>
        <w:rPr>
          <w:rFonts w:ascii="方正小标宋_GBK" w:hAnsi="方正小标宋_GBK" w:eastAsia="方正小标宋_GBK" w:cs="方正小标宋_GBK"/>
          <w:sz w:val="44"/>
          <w:szCs w:val="44"/>
        </w:rPr>
      </w:pPr>
    </w:p>
    <w:p>
      <w:pPr>
        <w:pStyle w:val="11"/>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pPr>
      <w:r>
        <w:rPr>
          <w:rFonts w:hint="eastAsia"/>
        </w:rPr>
        <w:t>各</w:t>
      </w:r>
      <w:r>
        <w:rPr>
          <w:rFonts w:hint="eastAsia"/>
          <w:lang w:eastAsia="zh-CN"/>
        </w:rPr>
        <w:t>村（社区）</w:t>
      </w:r>
      <w:r>
        <w:rPr>
          <w:rFonts w:hint="eastAsia"/>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60"/>
        <w:jc w:val="both"/>
        <w:textAlignment w:val="auto"/>
        <w:outlineLvl w:val="9"/>
      </w:pPr>
      <w:r>
        <w:rPr>
          <w:rFonts w:hint="eastAsia" w:ascii="方正仿宋_GBK" w:hAnsi="方正仿宋_GBK" w:eastAsia="方正仿宋_GBK" w:cs="方正仿宋_GBK"/>
          <w:sz w:val="32"/>
          <w:szCs w:val="32"/>
        </w:rPr>
        <w:t>为贯彻落实《重庆市农村人居环境整治“五清理一活动”专项行动方案》</w:t>
      </w:r>
      <w:r>
        <w:rPr>
          <w:rFonts w:ascii="Times New Roman" w:hAnsi="Times New Roman" w:eastAsia="方正仿宋_GBK" w:cs="Times New Roman"/>
          <w:sz w:val="32"/>
          <w:szCs w:val="32"/>
        </w:rPr>
        <w:t>（渝农居组</w:t>
      </w:r>
      <w:r>
        <w:rPr>
          <w:rFonts w:ascii="Times New Roman" w:hAnsi="Times New Roman" w:eastAsia="方正小标宋_GBK" w:cs="Times New Roman"/>
          <w:sz w:val="32"/>
          <w:szCs w:val="32"/>
        </w:rPr>
        <w:t>〔</w:t>
      </w:r>
      <w:r>
        <w:rPr>
          <w:rFonts w:ascii="Times New Roman" w:hAnsi="Times New Roman" w:eastAsia="方正仿宋_GBK" w:cs="Times New Roman"/>
          <w:sz w:val="32"/>
          <w:szCs w:val="32"/>
        </w:rPr>
        <w:t>2020</w:t>
      </w:r>
      <w:r>
        <w:rPr>
          <w:rFonts w:ascii="Times New Roman" w:hAnsi="Times New Roman" w:eastAsia="方正小标宋_GBK" w:cs="Times New Roman"/>
          <w:sz w:val="32"/>
          <w:szCs w:val="32"/>
        </w:rPr>
        <w:t>〕</w:t>
      </w:r>
      <w:r>
        <w:rPr>
          <w:rFonts w:ascii="Times New Roman" w:hAnsi="Times New Roman" w:eastAsia="方正仿宋_GBK" w:cs="Times New Roman"/>
          <w:sz w:val="32"/>
          <w:szCs w:val="32"/>
        </w:rPr>
        <w:t>5号）精神，按照</w:t>
      </w:r>
      <w:r>
        <w:rPr>
          <w:rFonts w:hint="eastAsia" w:ascii="Times New Roman" w:hAnsi="Times New Roman" w:eastAsia="方正仿宋_GBK" w:cs="Times New Roman"/>
          <w:sz w:val="32"/>
          <w:szCs w:val="32"/>
          <w:lang w:eastAsia="zh-CN"/>
        </w:rPr>
        <w:t>云阳县</w:t>
      </w:r>
      <w:r>
        <w:rPr>
          <w:rFonts w:ascii="Times New Roman" w:hAnsi="Times New Roman" w:eastAsia="方正仿宋_GBK" w:cs="Times New Roman"/>
          <w:sz w:val="32"/>
          <w:szCs w:val="32"/>
        </w:rPr>
        <w:t>规划和自然资源局《关于印发清理蓝棚顶工作推进工作方案的通知》（</w:t>
      </w:r>
      <w:r>
        <w:rPr>
          <w:rFonts w:hint="eastAsia" w:ascii="Times New Roman" w:hAnsi="Times New Roman" w:eastAsia="方正仿宋_GBK" w:cs="Times New Roman"/>
          <w:sz w:val="32"/>
          <w:szCs w:val="32"/>
          <w:lang w:eastAsia="zh-CN"/>
        </w:rPr>
        <w:t>云规划资源发</w:t>
      </w:r>
      <w:r>
        <w:rPr>
          <w:rFonts w:hint="eastAsia" w:ascii="方正小标宋_GBK" w:hAnsi="方正小标宋_GBK" w:eastAsia="方正小标宋_GBK" w:cs="方正小标宋_GBK"/>
          <w:sz w:val="32"/>
          <w:szCs w:val="32"/>
        </w:rPr>
        <w:t>〔</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hint="eastAsia" w:ascii="方正小标宋_GBK" w:hAnsi="方正小标宋_GBK" w:eastAsia="方正小标宋_GBK" w:cs="方正小标宋_GBK"/>
          <w:sz w:val="32"/>
          <w:szCs w:val="32"/>
        </w:rPr>
        <w:t>〕</w:t>
      </w:r>
      <w:r>
        <w:rPr>
          <w:rFonts w:hint="eastAsia" w:ascii="Times New Roman" w:hAnsi="Times New Roman" w:eastAsia="方正仿宋_GBK" w:cs="Times New Roman"/>
          <w:sz w:val="32"/>
          <w:szCs w:val="32"/>
          <w:lang w:val="en-US" w:eastAsia="zh-CN"/>
        </w:rPr>
        <w:t>47</w:t>
      </w:r>
      <w:r>
        <w:rPr>
          <w:rFonts w:ascii="Times New Roman" w:hAnsi="Times New Roman" w:eastAsia="方正仿宋_GBK" w:cs="Times New Roman"/>
          <w:sz w:val="32"/>
          <w:szCs w:val="32"/>
        </w:rPr>
        <w:t>号）</w:t>
      </w:r>
      <w:r>
        <w:rPr>
          <w:rFonts w:hint="eastAsia" w:ascii="方正仿宋_GBK" w:hAnsi="方正仿宋_GBK" w:eastAsia="方正仿宋_GBK" w:cs="方正仿宋_GBK"/>
          <w:sz w:val="32"/>
          <w:szCs w:val="32"/>
        </w:rPr>
        <w:t>的相关工作要求，现将《云阳县</w:t>
      </w:r>
      <w:r>
        <w:rPr>
          <w:rFonts w:hint="eastAsia" w:ascii="方正仿宋_GBK" w:hAnsi="方正仿宋_GBK" w:eastAsia="方正仿宋_GBK" w:cs="方正仿宋_GBK"/>
          <w:sz w:val="32"/>
          <w:szCs w:val="32"/>
          <w:lang w:eastAsia="zh-CN"/>
        </w:rPr>
        <w:t>人和街道</w:t>
      </w:r>
      <w:r>
        <w:rPr>
          <w:rFonts w:hint="eastAsia" w:ascii="方正仿宋_GBK" w:hAnsi="方正仿宋_GBK" w:eastAsia="方正仿宋_GBK" w:cs="方正仿宋_GBK"/>
          <w:sz w:val="32"/>
          <w:szCs w:val="32"/>
        </w:rPr>
        <w:t>清理“蓝棚顶”工作推进方案》印发你们，请结合实际认真贯彻执行。</w:t>
      </w:r>
      <w:bookmarkStart w:id="0" w:name="_GoBack"/>
      <w:bookmarkEnd w:id="0"/>
    </w:p>
    <w:p>
      <w:pPr>
        <w:keepNext w:val="0"/>
        <w:keepLines w:val="0"/>
        <w:pageBreakBefore w:val="0"/>
        <w:kinsoku/>
        <w:wordWrap/>
        <w:overflowPunct/>
        <w:topLinePunct w:val="0"/>
        <w:autoSpaceDE/>
        <w:autoSpaceDN/>
        <w:bidi w:val="0"/>
        <w:adjustRightInd/>
        <w:snapToGrid/>
        <w:spacing w:line="500" w:lineRule="exact"/>
        <w:ind w:left="0" w:leftChars="0" w:right="0" w:rightChars="0" w:firstLine="4800" w:firstLineChars="15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云阳县人和街道办事处</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120" w:firstLineChars="16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2021年5月</w:t>
      </w: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rPr>
        <w:t>日</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人和街道</w:t>
      </w:r>
      <w:r>
        <w:rPr>
          <w:rFonts w:hint="eastAsia" w:ascii="方正小标宋_GBK" w:hAnsi="方正小标宋_GBK" w:eastAsia="方正小标宋_GBK" w:cs="方正小标宋_GBK"/>
          <w:sz w:val="44"/>
          <w:szCs w:val="44"/>
        </w:rPr>
        <w:t>清理“蓝棚顶”工作推进方案</w:t>
      </w:r>
    </w:p>
    <w:p>
      <w:pPr>
        <w:spacing w:line="578" w:lineRule="exact"/>
        <w:jc w:val="center"/>
        <w:rPr>
          <w:rFonts w:ascii="方正楷体_GBK" w:hAnsi="方正楷体_GBK" w:eastAsia="方正楷体_GBK" w:cs="方正楷体_GBK"/>
          <w:sz w:val="32"/>
          <w:szCs w:val="32"/>
        </w:rPr>
      </w:pPr>
    </w:p>
    <w:p>
      <w:pPr>
        <w:spacing w:line="578"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习近平总书记关于改善农村人居环境的重要指示批示精神，推进农村人居环境持续改善，打造整洁、有序、优美的宜居乡村环境，贯彻落实《重庆市农村人居环境整治“五清理一活动”专项行动方案》</w:t>
      </w:r>
      <w:r>
        <w:rPr>
          <w:rFonts w:ascii="Times New Roman" w:hAnsi="Times New Roman" w:eastAsia="方正仿宋_GBK" w:cs="Times New Roman"/>
          <w:sz w:val="32"/>
          <w:szCs w:val="32"/>
        </w:rPr>
        <w:t>（渝农居组</w:t>
      </w:r>
      <w:r>
        <w:rPr>
          <w:rFonts w:ascii="Times New Roman" w:hAnsi="Times New Roman" w:eastAsia="方正小标宋_GBK" w:cs="Times New Roman"/>
          <w:sz w:val="32"/>
          <w:szCs w:val="32"/>
        </w:rPr>
        <w:t>〔</w:t>
      </w:r>
      <w:r>
        <w:rPr>
          <w:rFonts w:ascii="Times New Roman" w:hAnsi="Times New Roman" w:eastAsia="方正仿宋_GBK" w:cs="Times New Roman"/>
          <w:sz w:val="32"/>
          <w:szCs w:val="32"/>
        </w:rPr>
        <w:t>2020</w:t>
      </w:r>
      <w:r>
        <w:rPr>
          <w:rFonts w:ascii="Times New Roman" w:hAnsi="Times New Roman" w:eastAsia="方正小标宋_GBK" w:cs="Times New Roman"/>
          <w:sz w:val="32"/>
          <w:szCs w:val="32"/>
        </w:rPr>
        <w:t>〕</w:t>
      </w:r>
      <w:r>
        <w:rPr>
          <w:rFonts w:ascii="Times New Roman" w:hAnsi="Times New Roman" w:eastAsia="方正仿宋_GBK" w:cs="Times New Roman"/>
          <w:sz w:val="32"/>
          <w:szCs w:val="32"/>
        </w:rPr>
        <w:t>5号）精神，按照</w:t>
      </w:r>
      <w:r>
        <w:rPr>
          <w:rFonts w:hint="eastAsia" w:ascii="Times New Roman" w:hAnsi="Times New Roman" w:eastAsia="方正仿宋_GBK" w:cs="Times New Roman"/>
          <w:sz w:val="32"/>
          <w:szCs w:val="32"/>
          <w:lang w:eastAsia="zh-CN"/>
        </w:rPr>
        <w:t>云阳县</w:t>
      </w:r>
      <w:r>
        <w:rPr>
          <w:rFonts w:ascii="Times New Roman" w:hAnsi="Times New Roman" w:eastAsia="方正仿宋_GBK" w:cs="Times New Roman"/>
          <w:sz w:val="32"/>
          <w:szCs w:val="32"/>
        </w:rPr>
        <w:t>规划和自然资源局《关于印发清理蓝棚顶工作推进工作方案的通知》（</w:t>
      </w:r>
      <w:r>
        <w:rPr>
          <w:rFonts w:hint="eastAsia" w:ascii="Times New Roman" w:hAnsi="Times New Roman" w:eastAsia="方正仿宋_GBK" w:cs="Times New Roman"/>
          <w:sz w:val="32"/>
          <w:szCs w:val="32"/>
          <w:lang w:eastAsia="zh-CN"/>
        </w:rPr>
        <w:t>云规划资源发</w:t>
      </w:r>
      <w:r>
        <w:rPr>
          <w:rFonts w:hint="eastAsia" w:ascii="方正小标宋_GBK" w:hAnsi="方正小标宋_GBK" w:eastAsia="方正小标宋_GBK" w:cs="方正小标宋_GBK"/>
          <w:sz w:val="32"/>
          <w:szCs w:val="32"/>
        </w:rPr>
        <w:t>〔</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hint="eastAsia" w:ascii="方正小标宋_GBK" w:hAnsi="方正小标宋_GBK" w:eastAsia="方正小标宋_GBK" w:cs="方正小标宋_GBK"/>
          <w:sz w:val="32"/>
          <w:szCs w:val="32"/>
        </w:rPr>
        <w:t>〕</w:t>
      </w:r>
      <w:r>
        <w:rPr>
          <w:rFonts w:hint="eastAsia" w:ascii="Times New Roman" w:hAnsi="Times New Roman" w:eastAsia="方正仿宋_GBK" w:cs="Times New Roman"/>
          <w:sz w:val="32"/>
          <w:szCs w:val="32"/>
          <w:lang w:val="en-US" w:eastAsia="zh-CN"/>
        </w:rPr>
        <w:t>47</w:t>
      </w:r>
      <w:r>
        <w:rPr>
          <w:rFonts w:ascii="Times New Roman" w:hAnsi="Times New Roman" w:eastAsia="方正仿宋_GBK" w:cs="Times New Roman"/>
          <w:sz w:val="32"/>
          <w:szCs w:val="32"/>
        </w:rPr>
        <w:t>号）</w:t>
      </w:r>
      <w:r>
        <w:rPr>
          <w:rFonts w:hint="eastAsia" w:ascii="方正仿宋_GBK" w:hAnsi="方正仿宋_GBK" w:eastAsia="方正仿宋_GBK" w:cs="方正仿宋_GBK"/>
          <w:sz w:val="32"/>
          <w:szCs w:val="32"/>
        </w:rPr>
        <w:t>的相关工作要求，</w:t>
      </w:r>
      <w:r>
        <w:rPr>
          <w:rFonts w:ascii="Times New Roman" w:hAnsi="Times New Roman" w:eastAsia="方正仿宋_GBK" w:cs="Times New Roman"/>
          <w:sz w:val="32"/>
          <w:szCs w:val="32"/>
        </w:rPr>
        <w:t>结</w:t>
      </w:r>
      <w:r>
        <w:rPr>
          <w:rFonts w:hint="eastAsia" w:ascii="方正仿宋_GBK" w:hAnsi="方正仿宋_GBK" w:eastAsia="方正仿宋_GBK" w:cs="方正仿宋_GBK"/>
          <w:sz w:val="32"/>
          <w:szCs w:val="32"/>
        </w:rPr>
        <w:t>合</w:t>
      </w:r>
      <w:r>
        <w:rPr>
          <w:rFonts w:hint="eastAsia" w:ascii="方正仿宋_GBK" w:hAnsi="方正仿宋_GBK" w:eastAsia="方正仿宋_GBK" w:cs="方正仿宋_GBK"/>
          <w:sz w:val="32"/>
          <w:szCs w:val="32"/>
          <w:lang w:eastAsia="zh-CN"/>
        </w:rPr>
        <w:t>人和街道</w:t>
      </w:r>
      <w:r>
        <w:rPr>
          <w:rFonts w:hint="eastAsia" w:ascii="方正仿宋_GBK" w:hAnsi="方正仿宋_GBK" w:eastAsia="方正仿宋_GBK" w:cs="方正仿宋_GBK"/>
          <w:sz w:val="32"/>
          <w:szCs w:val="32"/>
        </w:rPr>
        <w:t>实际，制定本方案。</w:t>
      </w:r>
    </w:p>
    <w:p>
      <w:pPr>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spacing w:line="578"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清理整治“蓝棚顶”（以各类影响城乡风貌的蓝色钢棚为主，包括各类违规搭建的彩钢棚，以下简称“蓝棚顶”，县城建成区除外），实现“蓝棚顶”增量得到遏制，存量逐步消化，长效机制建立，建筑色彩与自然景观协调融合，农村人居环境得到提升。</w:t>
      </w:r>
    </w:p>
    <w:p>
      <w:pPr>
        <w:spacing w:line="578" w:lineRule="exact"/>
        <w:ind w:firstLine="640" w:firstLineChars="200"/>
        <w:rPr>
          <w:rFonts w:ascii="方正黑体_GBK" w:hAnsi="方正小标宋_GBK" w:eastAsia="方正黑体_GBK"/>
          <w:sz w:val="32"/>
          <w:szCs w:val="32"/>
        </w:rPr>
      </w:pPr>
      <w:r>
        <w:rPr>
          <w:rFonts w:hint="eastAsia" w:ascii="方正黑体_GBK" w:hAnsi="方正小标宋_GBK" w:eastAsia="方正黑体_GBK"/>
          <w:sz w:val="32"/>
          <w:szCs w:val="32"/>
        </w:rPr>
        <w:t>二、整治类别</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ascii="Times New Roman" w:hAnsi="Times New Roman" w:eastAsia="方正仿宋_GBK" w:cs="Times New Roman"/>
          <w:sz w:val="32"/>
          <w:szCs w:val="32"/>
        </w:rPr>
        <w:t>全</w:t>
      </w:r>
      <w:r>
        <w:rPr>
          <w:rFonts w:hint="eastAsia" w:ascii="Times New Roman" w:hAnsi="Times New Roman" w:eastAsia="方正仿宋_GBK" w:cs="Times New Roman"/>
          <w:sz w:val="32"/>
          <w:szCs w:val="32"/>
          <w:lang w:eastAsia="zh-CN"/>
        </w:rPr>
        <w:t>街道</w:t>
      </w:r>
      <w:r>
        <w:rPr>
          <w:rFonts w:hint="eastAsia" w:ascii="Times New Roman" w:hAnsi="Times New Roman" w:eastAsia="方正仿宋_GBK" w:cs="Times New Roman"/>
          <w:sz w:val="32"/>
          <w:szCs w:val="32"/>
        </w:rPr>
        <w:t>交通干线两侧、高铁高速沿线、</w:t>
      </w:r>
      <w:r>
        <w:rPr>
          <w:rFonts w:ascii="Times New Roman" w:hAnsi="Times New Roman" w:eastAsia="方正仿宋_GBK" w:cs="Times New Roman"/>
          <w:sz w:val="32"/>
          <w:szCs w:val="32"/>
        </w:rPr>
        <w:t>沿江沿河两岸、沿旅游景区周边、集镇居民区、城乡结合部、乡村振兴重点镇村</w:t>
      </w:r>
      <w:r>
        <w:rPr>
          <w:rFonts w:hint="eastAsia" w:ascii="Times New Roman" w:hAnsi="Times New Roman" w:eastAsia="方正仿宋_GBK" w:cs="Times New Roman"/>
          <w:sz w:val="32"/>
          <w:szCs w:val="32"/>
        </w:rPr>
        <w:t>、第三档村</w:t>
      </w:r>
      <w:r>
        <w:rPr>
          <w:rFonts w:ascii="Times New Roman" w:hAnsi="Times New Roman" w:eastAsia="方正仿宋_GBK" w:cs="Times New Roman"/>
          <w:sz w:val="32"/>
          <w:szCs w:val="32"/>
        </w:rPr>
        <w:t>等，未经乡村建设规划许可或者未按乡村建设规划许可</w:t>
      </w:r>
      <w:r>
        <w:rPr>
          <w:rFonts w:hint="eastAsia" w:ascii="Times New Roman" w:hAnsi="Times New Roman" w:eastAsia="方正仿宋_GBK" w:cs="Times New Roman"/>
          <w:sz w:val="32"/>
          <w:szCs w:val="32"/>
        </w:rPr>
        <w:t>进行建设，</w:t>
      </w:r>
      <w:r>
        <w:rPr>
          <w:rFonts w:ascii="Times New Roman" w:hAnsi="Times New Roman" w:eastAsia="方正仿宋_GBK" w:cs="Times New Roman"/>
          <w:sz w:val="32"/>
          <w:szCs w:val="32"/>
        </w:rPr>
        <w:t>擅自搭建的各类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p>
    <w:p>
      <w:pPr>
        <w:spacing w:line="578"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（二）</w:t>
      </w:r>
      <w:r>
        <w:rPr>
          <w:rFonts w:hint="eastAsia" w:ascii="方正仿宋_GBK" w:eastAsia="方正仿宋_GBK"/>
          <w:sz w:val="32"/>
          <w:szCs w:val="32"/>
        </w:rPr>
        <w:t>乡村公共设施、公益设施、乡镇企业、农村集中居民点房屋周边及屋顶，未经乡村建设规划许可或者未按照乡村建设规划许可进行建设，擅自搭建的“蓝棚顶”；</w:t>
      </w:r>
    </w:p>
    <w:p>
      <w:pPr>
        <w:spacing w:line="578"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（三）</w:t>
      </w:r>
      <w:r>
        <w:rPr>
          <w:rFonts w:hint="eastAsia" w:ascii="方正仿宋_GBK" w:eastAsia="方正仿宋_GBK"/>
          <w:sz w:val="32"/>
          <w:szCs w:val="32"/>
        </w:rPr>
        <w:t>农村散居农户房屋周边及屋顶违规搭建的“蓝棚顶”；</w:t>
      </w:r>
    </w:p>
    <w:p>
      <w:pPr>
        <w:spacing w:line="578"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（四）</w:t>
      </w:r>
      <w:r>
        <w:rPr>
          <w:rFonts w:hint="eastAsia" w:ascii="方正仿宋_GBK" w:eastAsia="方正仿宋_GBK"/>
          <w:sz w:val="32"/>
          <w:szCs w:val="32"/>
        </w:rPr>
        <w:t>农村各类产业项目未经依法办理用地、规划许可，违规搭建的“蓝棚顶”，以及经用地、规划许可后擅自改变规划搭建的“蓝棚顶”；</w:t>
      </w:r>
    </w:p>
    <w:p>
      <w:pPr>
        <w:spacing w:line="578"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（五）</w:t>
      </w:r>
      <w:r>
        <w:rPr>
          <w:rFonts w:hint="eastAsia" w:ascii="方正仿宋_GBK" w:hAnsi="宋体" w:eastAsia="方正仿宋_GBK" w:cs="宋体"/>
          <w:kern w:val="0"/>
          <w:sz w:val="32"/>
          <w:szCs w:val="32"/>
        </w:rPr>
        <w:t>各类到期临时用地逾期未拆除的</w:t>
      </w:r>
      <w:r>
        <w:rPr>
          <w:rFonts w:hint="eastAsia" w:ascii="方正仿宋_GBK" w:eastAsia="方正仿宋_GBK"/>
          <w:sz w:val="32"/>
          <w:szCs w:val="32"/>
        </w:rPr>
        <w:t>“蓝棚顶”；</w:t>
      </w:r>
    </w:p>
    <w:p>
      <w:pPr>
        <w:spacing w:line="578"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w:t>
      </w:r>
      <w:r>
        <w:rPr>
          <w:rFonts w:hint="eastAsia" w:ascii="方正仿宋_GBK" w:eastAsia="方正仿宋_GBK"/>
          <w:sz w:val="32"/>
          <w:szCs w:val="32"/>
        </w:rPr>
        <w:t>其它依法应当清理整治的“蓝棚顶”。</w:t>
      </w:r>
    </w:p>
    <w:p>
      <w:pPr>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三、清理整治办法</w:t>
      </w:r>
    </w:p>
    <w:p>
      <w:pPr>
        <w:spacing w:line="578"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（一）摸底排查。</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村</w:t>
      </w:r>
      <w:r>
        <w:rPr>
          <w:rFonts w:hint="eastAsia" w:ascii="Times New Roman" w:hAnsi="Times New Roman" w:eastAsia="方正仿宋_GBK" w:cs="Times New Roman"/>
          <w:sz w:val="32"/>
          <w:szCs w:val="32"/>
          <w:lang w:eastAsia="zh-CN"/>
        </w:rPr>
        <w:t>（社区）</w:t>
      </w:r>
      <w:r>
        <w:rPr>
          <w:rFonts w:hint="eastAsia" w:ascii="方正仿宋_GBK" w:hAnsi="方正仿宋_GBK" w:eastAsia="方正仿宋_GBK" w:cs="方正仿宋_GBK"/>
          <w:sz w:val="32"/>
          <w:szCs w:val="32"/>
        </w:rPr>
        <w:t>以行政村（社）为单元，对影响农村人居环境的“蓝棚顶”进行全面清理，摸清底数、掌握实情，建立清理台账，并在当地村</w:t>
      </w:r>
      <w:r>
        <w:rPr>
          <w:rFonts w:hint="eastAsia" w:ascii="Times New Roman" w:hAnsi="Times New Roman" w:eastAsia="方正仿宋_GBK" w:cs="Times New Roman"/>
          <w:sz w:val="32"/>
          <w:szCs w:val="32"/>
          <w:lang w:eastAsia="zh-CN"/>
        </w:rPr>
        <w:t>（社区）</w:t>
      </w:r>
      <w:r>
        <w:rPr>
          <w:rFonts w:hint="eastAsia" w:ascii="方正仿宋_GBK" w:hAnsi="方正仿宋_GBK" w:eastAsia="方正仿宋_GBK" w:cs="方正仿宋_GBK"/>
          <w:sz w:val="32"/>
          <w:szCs w:val="32"/>
        </w:rPr>
        <w:t>公开栏张贴公示</w:t>
      </w:r>
      <w:r>
        <w:rPr>
          <w:rFonts w:hint="eastAsia" w:ascii="Times New Roman" w:hAnsi="Times New Roman" w:eastAsia="方正仿宋_GBK" w:cs="Times New Roman"/>
          <w:sz w:val="32"/>
          <w:szCs w:val="32"/>
        </w:rPr>
        <w:t>不少于7</w:t>
      </w:r>
      <w:r>
        <w:rPr>
          <w:rFonts w:hint="eastAsia" w:ascii="方正仿宋_GBK" w:hAnsi="方正仿宋_GBK" w:eastAsia="方正仿宋_GBK" w:cs="方正仿宋_GBK"/>
          <w:sz w:val="32"/>
          <w:szCs w:val="32"/>
        </w:rPr>
        <w:t>天。</w:t>
      </w:r>
    </w:p>
    <w:p>
      <w:pPr>
        <w:spacing w:line="578"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（二）严控新增。</w:t>
      </w: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村</w:t>
      </w:r>
      <w:r>
        <w:rPr>
          <w:rFonts w:hint="eastAsia" w:ascii="Times New Roman" w:hAnsi="Times New Roman" w:eastAsia="方正仿宋_GBK" w:cs="Times New Roman"/>
          <w:sz w:val="32"/>
          <w:szCs w:val="32"/>
          <w:lang w:eastAsia="zh-CN"/>
        </w:rPr>
        <w:t>（社区）</w:t>
      </w:r>
      <w:r>
        <w:rPr>
          <w:rFonts w:hint="eastAsia" w:ascii="Traditional Arabic" w:hAnsi="Traditional Arabic" w:eastAsia="方正仿宋_GBK" w:cs="Traditional Arabic"/>
          <w:sz w:val="32"/>
          <w:szCs w:val="32"/>
        </w:rPr>
        <w:t>统一</w:t>
      </w:r>
      <w:r>
        <w:rPr>
          <w:rFonts w:ascii="Times New Roman" w:hAnsi="Times New Roman" w:eastAsia="方正仿宋_GBK" w:cs="Times New Roman"/>
          <w:sz w:val="32"/>
          <w:szCs w:val="32"/>
        </w:rPr>
        <w:t>以2021年4月30日为时间节点，严控新增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，发现一起制止一起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消除一起。</w:t>
      </w:r>
      <w:r>
        <w:rPr>
          <w:rFonts w:hint="eastAsia" w:ascii="Traditional Arabic" w:hAnsi="Traditional Arabic" w:eastAsia="方正仿宋_GBK" w:cs="Traditional Arabic"/>
          <w:sz w:val="32"/>
          <w:szCs w:val="32"/>
        </w:rPr>
        <w:t>当事人拒绝在规定时间内自行消除违法状态的，按《重庆市城乡规划条例》、《重庆市查处违法建筑若干规定》等相关规定，履行法定程序后予以强制消除。</w:t>
      </w:r>
    </w:p>
    <w:p>
      <w:pPr>
        <w:spacing w:line="578"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（三）存量整治。</w:t>
      </w:r>
      <w:r>
        <w:rPr>
          <w:rFonts w:hint="eastAsia" w:ascii="方正仿宋_GBK" w:hAnsi="方正仿宋_GBK" w:eastAsia="方正仿宋_GBK" w:cs="方正仿宋_GBK"/>
          <w:sz w:val="32"/>
          <w:szCs w:val="32"/>
        </w:rPr>
        <w:t>实行两个一批：风貌塑造一批，依法拆除一批。</w:t>
      </w:r>
    </w:p>
    <w:p>
      <w:pPr>
        <w:spacing w:line="578"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2"/>
        </w:rPr>
        <w:t>1．</w:t>
      </w:r>
      <w:r>
        <w:rPr>
          <w:rFonts w:hint="eastAsia" w:ascii="方正楷体_GBK" w:hAnsi="方正楷体_GBK" w:eastAsia="方正楷体_GBK" w:cs="方正楷体_GBK"/>
          <w:sz w:val="32"/>
          <w:szCs w:val="32"/>
        </w:rPr>
        <w:t>风貌塑造。</w:t>
      </w:r>
      <w:r>
        <w:rPr>
          <w:rFonts w:hint="eastAsia" w:ascii="方正仿宋_GBK" w:hAnsi="方正仿宋_GBK" w:eastAsia="方正仿宋_GBK" w:cs="方正仿宋_GBK"/>
          <w:sz w:val="32"/>
          <w:szCs w:val="32"/>
        </w:rPr>
        <w:t>对居民群众、建设业主搭建的用于屋顶防漏等功能设施性质的“蓝棚顶”等情形，经研判不影响城乡规划实施的原则上暂时保留，纳入村容村貌整治提升计划，通过采取平改坡等方式实施风貌塑造。风貌塑造应坚持经济、适用、安全和美观的原则，参照规划自然资源、住房城乡建设部门制订的风貌塑造标准实施，</w:t>
      </w:r>
      <w:r>
        <w:rPr>
          <w:rFonts w:hint="eastAsia" w:ascii="Times New Roman" w:hAnsi="Times New Roman" w:eastAsia="方正仿宋_GBK" w:cs="Times New Roman"/>
          <w:sz w:val="32"/>
          <w:szCs w:val="32"/>
        </w:rPr>
        <w:t>屋顶材料采用灰色琉璃瓦、树脂瓦或其他环保材料，</w:t>
      </w:r>
      <w:r>
        <w:rPr>
          <w:rFonts w:hint="eastAsia" w:ascii="方正仿宋_GBK" w:hAnsi="方正仿宋_GBK" w:eastAsia="方正仿宋_GBK" w:cs="方正仿宋_GBK"/>
          <w:sz w:val="32"/>
          <w:szCs w:val="32"/>
        </w:rPr>
        <w:t>做到色彩协调、安全实用、环境融合，不新增有效使用面积。</w:t>
      </w:r>
      <w:r>
        <w:rPr>
          <w:rFonts w:hint="eastAsia" w:ascii="Times New Roman" w:hAnsi="Times New Roman" w:eastAsia="方正仿宋_GBK" w:cs="Times New Roman"/>
          <w:sz w:val="32"/>
          <w:szCs w:val="32"/>
        </w:rPr>
        <w:t>由</w:t>
      </w:r>
      <w:r>
        <w:rPr>
          <w:rFonts w:hint="eastAsia" w:ascii="Times New Roman" w:hAnsi="Times New Roman" w:eastAsia="方正仿宋_GBK" w:cs="Times New Roman"/>
          <w:sz w:val="32"/>
          <w:szCs w:val="32"/>
          <w:lang w:eastAsia="zh-CN"/>
        </w:rPr>
        <w:t>村、社区</w:t>
      </w:r>
      <w:r>
        <w:rPr>
          <w:rFonts w:hint="eastAsia" w:ascii="Times New Roman" w:hAnsi="Times New Roman" w:eastAsia="方正仿宋_GBK" w:cs="Times New Roman"/>
          <w:sz w:val="32"/>
          <w:szCs w:val="32"/>
        </w:rPr>
        <w:t>负责把关并监督实施。</w:t>
      </w:r>
    </w:p>
    <w:p>
      <w:pPr>
        <w:spacing w:line="578" w:lineRule="exact"/>
        <w:ind w:firstLine="640" w:firstLineChars="200"/>
        <w:rPr>
          <w:rFonts w:ascii="Traditional Arabic" w:hAnsi="Traditional Arabic" w:eastAsia="方正仿宋_GBK" w:cs="Traditional Arabic"/>
          <w:sz w:val="32"/>
          <w:szCs w:val="32"/>
        </w:rPr>
      </w:pPr>
      <w:r>
        <w:rPr>
          <w:rFonts w:hint="eastAsia" w:ascii="Times New Roman" w:hAnsi="Times New Roman" w:eastAsia="方正仿宋_GBK" w:cs="Times New Roman"/>
          <w:sz w:val="32"/>
          <w:szCs w:val="32"/>
        </w:rPr>
        <w:t>2．</w:t>
      </w:r>
      <w:r>
        <w:rPr>
          <w:rFonts w:hint="eastAsia" w:ascii="方正楷体_GBK" w:hAnsi="方正楷体_GBK" w:eastAsia="方正楷体_GBK" w:cs="方正楷体_GBK"/>
          <w:sz w:val="32"/>
          <w:szCs w:val="32"/>
        </w:rPr>
        <w:t>依法拆除。</w:t>
      </w:r>
      <w:r>
        <w:rPr>
          <w:rFonts w:hint="eastAsia" w:ascii="方正仿宋_GBK" w:hAnsi="方正仿宋_GBK" w:eastAsia="方正仿宋_GBK" w:cs="方正仿宋_GBK"/>
          <w:sz w:val="32"/>
          <w:szCs w:val="32"/>
        </w:rPr>
        <w:t>对影响人居环境、影响公共安全、侵占他人权益，未纳入风貌</w:t>
      </w:r>
      <w:r>
        <w:rPr>
          <w:rFonts w:hint="eastAsia" w:ascii="Traditional Arabic" w:hAnsi="Traditional Arabic" w:eastAsia="方正仿宋_GBK" w:cs="Traditional Arabic"/>
          <w:sz w:val="32"/>
          <w:szCs w:val="32"/>
        </w:rPr>
        <w:t>塑造范畴的“蓝棚顶”，采取先易后难、压茬推进的办法予以拆除，以自行消除为主、强制消除兜底，并坚持干部带头。由</w:t>
      </w:r>
      <w:r>
        <w:rPr>
          <w:rFonts w:hint="eastAsia" w:ascii="Traditional Arabic" w:hAnsi="Traditional Arabic" w:eastAsia="方正仿宋_GBK" w:cs="Traditional Arabic"/>
          <w:sz w:val="32"/>
          <w:szCs w:val="32"/>
          <w:lang w:eastAsia="zh-CN"/>
        </w:rPr>
        <w:t>村、社区</w:t>
      </w:r>
      <w:r>
        <w:rPr>
          <w:rFonts w:hint="eastAsia" w:ascii="方正仿宋_GBK" w:eastAsia="方正仿宋_GBK"/>
          <w:sz w:val="32"/>
          <w:szCs w:val="32"/>
        </w:rPr>
        <w:t>书面告知自行拆除整改的时限和整治要求，</w:t>
      </w:r>
      <w:r>
        <w:rPr>
          <w:rFonts w:hint="eastAsia" w:ascii="Traditional Arabic" w:hAnsi="Traditional Arabic" w:eastAsia="方正仿宋_GBK" w:cs="Traditional Arabic"/>
          <w:sz w:val="32"/>
          <w:szCs w:val="32"/>
        </w:rPr>
        <w:t>当事人拒绝在规定时间内自行消除违法状态的，履行法定程序后予以强制消除。对暴力抗法、阻碍执行公务等行为，移交公安机关依法处理。</w:t>
      </w:r>
    </w:p>
    <w:p>
      <w:pPr>
        <w:spacing w:line="578" w:lineRule="exact"/>
        <w:ind w:firstLine="640" w:firstLineChars="200"/>
        <w:rPr>
          <w:rFonts w:ascii="Times New Roman" w:hAnsi="Times New Roman" w:eastAsia="方正黑体_GBK" w:cs="Times New Roman"/>
          <w:color w:val="000000" w:themeColor="text1"/>
          <w:sz w:val="32"/>
          <w:szCs w:val="32"/>
        </w:rPr>
      </w:pPr>
      <w:r>
        <w:rPr>
          <w:rFonts w:hint="eastAsia" w:ascii="Times New Roman" w:hAnsi="Times New Roman" w:eastAsia="方正黑体_GBK" w:cs="Times New Roman"/>
          <w:color w:val="000000" w:themeColor="text1"/>
          <w:sz w:val="32"/>
          <w:szCs w:val="32"/>
          <w:lang w:eastAsia="zh-CN"/>
        </w:rPr>
        <w:t>四</w:t>
      </w:r>
      <w:r>
        <w:rPr>
          <w:rFonts w:ascii="Times New Roman" w:hAnsi="Times New Roman" w:eastAsia="方正黑体_GBK" w:cs="Times New Roman"/>
          <w:color w:val="000000" w:themeColor="text1"/>
          <w:sz w:val="32"/>
          <w:szCs w:val="32"/>
        </w:rPr>
        <w:t>、实施步骤及时间</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（一）摸底排查阶段（2021年</w:t>
      </w:r>
      <w:r>
        <w:rPr>
          <w:rFonts w:hint="eastAsia" w:ascii="Times New Roman" w:hAnsi="Times New Roman" w:eastAsia="方正楷体_GBK" w:cs="Times New Roman"/>
          <w:sz w:val="32"/>
          <w:szCs w:val="32"/>
        </w:rPr>
        <w:t>5</w:t>
      </w:r>
      <w:r>
        <w:rPr>
          <w:rFonts w:ascii="Times New Roman" w:hAnsi="Times New Roman" w:eastAsia="方正楷体_GBK" w:cs="Times New Roman"/>
          <w:sz w:val="32"/>
          <w:szCs w:val="32"/>
        </w:rPr>
        <w:t>月底前）</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对本辖区</w:t>
      </w:r>
      <w:r>
        <w:rPr>
          <w:rFonts w:hint="eastAsia" w:ascii="方正仿宋_GBK" w:hAnsi="方正仿宋_GBK" w:eastAsia="方正仿宋_GBK" w:cs="方正仿宋_GBK"/>
          <w:sz w:val="32"/>
          <w:szCs w:val="32"/>
        </w:rPr>
        <w:t>“蓝棚顶”</w:t>
      </w:r>
      <w:r>
        <w:rPr>
          <w:rFonts w:ascii="Times New Roman" w:hAnsi="Times New Roman" w:eastAsia="方正仿宋_GBK" w:cs="Times New Roman"/>
          <w:sz w:val="32"/>
          <w:szCs w:val="32"/>
        </w:rPr>
        <w:t>进行拉网式调查摸底，查清</w:t>
      </w:r>
      <w:r>
        <w:rPr>
          <w:rFonts w:hint="eastAsia" w:ascii="方正仿宋_GBK" w:hAnsi="方正仿宋_GBK" w:eastAsia="方正仿宋_GBK" w:cs="方正仿宋_GBK"/>
          <w:sz w:val="32"/>
          <w:szCs w:val="32"/>
        </w:rPr>
        <w:t>“蓝棚顶”</w:t>
      </w:r>
      <w:r>
        <w:rPr>
          <w:rFonts w:ascii="Times New Roman" w:hAnsi="Times New Roman" w:eastAsia="方正仿宋_GBK" w:cs="Times New Roman"/>
          <w:sz w:val="32"/>
          <w:szCs w:val="32"/>
        </w:rPr>
        <w:t>的所有人、所在位置、所属环境、建设面积、建设时间、建设原由</w:t>
      </w:r>
      <w:r>
        <w:rPr>
          <w:rFonts w:hint="eastAsia" w:ascii="Times New Roman" w:hAnsi="Times New Roman" w:eastAsia="方正仿宋_GBK" w:cs="Times New Roman"/>
          <w:sz w:val="32"/>
          <w:szCs w:val="32"/>
        </w:rPr>
        <w:t>或</w:t>
      </w:r>
      <w:r>
        <w:rPr>
          <w:rFonts w:ascii="Times New Roman" w:hAnsi="Times New Roman" w:eastAsia="方正仿宋_GBK" w:cs="Times New Roman"/>
          <w:sz w:val="32"/>
          <w:szCs w:val="32"/>
        </w:rPr>
        <w:t>批准手续</w:t>
      </w:r>
      <w:r>
        <w:rPr>
          <w:rFonts w:hint="eastAsia" w:ascii="Times New Roman" w:hAnsi="Times New Roman" w:eastAsia="方正仿宋_GBK" w:cs="Times New Roman"/>
          <w:sz w:val="32"/>
          <w:szCs w:val="32"/>
        </w:rPr>
        <w:t>、整治措施、计划完成时间</w:t>
      </w:r>
      <w:r>
        <w:rPr>
          <w:rFonts w:ascii="Times New Roman" w:hAnsi="Times New Roman" w:eastAsia="方正仿宋_GBK" w:cs="Times New Roman"/>
          <w:sz w:val="32"/>
          <w:szCs w:val="32"/>
        </w:rPr>
        <w:t>等。按照</w:t>
      </w:r>
      <w:r>
        <w:rPr>
          <w:rFonts w:hint="eastAsia" w:ascii="Times New Roman" w:hAnsi="Times New Roman" w:eastAsia="方正仿宋_GBK" w:cs="Times New Roman"/>
          <w:sz w:val="32"/>
          <w:szCs w:val="32"/>
        </w:rPr>
        <w:t>居民住宅类、公共管理服务设施类、乡镇企业用房类、其他类</w:t>
      </w:r>
      <w:r>
        <w:rPr>
          <w:rFonts w:ascii="Times New Roman" w:hAnsi="Times New Roman" w:eastAsia="方正仿宋_GBK" w:cs="Times New Roman"/>
          <w:sz w:val="32"/>
          <w:szCs w:val="32"/>
        </w:rPr>
        <w:t>进行分类统计</w:t>
      </w:r>
      <w:r>
        <w:rPr>
          <w:rFonts w:hint="eastAsia" w:ascii="Times New Roman" w:hAnsi="Times New Roman" w:eastAsia="方正仿宋_GBK" w:cs="Times New Roman"/>
          <w:sz w:val="32"/>
          <w:szCs w:val="32"/>
        </w:rPr>
        <w:t>并公示</w:t>
      </w:r>
      <w:r>
        <w:rPr>
          <w:rFonts w:ascii="Times New Roman" w:hAnsi="Times New Roman" w:eastAsia="方正仿宋_GBK" w:cs="Times New Roman"/>
          <w:sz w:val="32"/>
          <w:szCs w:val="32"/>
        </w:rPr>
        <w:t>，建立台账。</w:t>
      </w:r>
      <w:r>
        <w:rPr>
          <w:rFonts w:hint="eastAsia" w:ascii="Times New Roman" w:hAnsi="Times New Roman" w:eastAsia="方正仿宋_GBK" w:cs="Times New Roman"/>
          <w:sz w:val="32"/>
          <w:szCs w:val="32"/>
        </w:rPr>
        <w:t>于2021年5月</w:t>
      </w:r>
      <w:r>
        <w:rPr>
          <w:rFonts w:hint="eastAsia" w:ascii="Times New Roman" w:hAnsi="Times New Roman" w:eastAsia="方正仿宋_GBK" w:cs="Times New Roman"/>
          <w:sz w:val="32"/>
          <w:szCs w:val="32"/>
          <w:lang w:val="en-US" w:eastAsia="zh-CN"/>
        </w:rPr>
        <w:t>27</w:t>
      </w:r>
      <w:r>
        <w:rPr>
          <w:rFonts w:hint="eastAsia" w:ascii="Times New Roman" w:hAnsi="Times New Roman" w:eastAsia="方正仿宋_GBK" w:cs="Times New Roman"/>
          <w:sz w:val="32"/>
          <w:szCs w:val="32"/>
        </w:rPr>
        <w:t>日前</w:t>
      </w:r>
      <w:r>
        <w:rPr>
          <w:rFonts w:hint="eastAsia" w:ascii="方正仿宋_GBK" w:hAnsi="方正仿宋_GBK" w:eastAsia="方正仿宋_GBK" w:cs="方正仿宋_GBK"/>
          <w:sz w:val="32"/>
          <w:szCs w:val="32"/>
        </w:rPr>
        <w:t>将签章完善的《</w:t>
      </w:r>
      <w:r>
        <w:rPr>
          <w:rFonts w:hint="eastAsia" w:ascii="方正仿宋_GBK" w:hAnsi="方正仿宋_GBK" w:eastAsia="方正仿宋_GBK" w:cs="方正仿宋_GBK"/>
          <w:sz w:val="32"/>
          <w:szCs w:val="32"/>
          <w:lang w:eastAsia="zh-CN"/>
        </w:rPr>
        <w:t>人和街道</w:t>
      </w:r>
      <w:r>
        <w:rPr>
          <w:rFonts w:hint="eastAsia" w:ascii="方正仿宋_GBK" w:hAnsi="方正仿宋_GBK" w:eastAsia="方正仿宋_GBK" w:cs="方正仿宋_GBK"/>
          <w:sz w:val="32"/>
          <w:szCs w:val="32"/>
        </w:rPr>
        <w:t>“蓝棚顶”调查统计台账表》（详见附件）纸质件连同电子表报</w:t>
      </w:r>
      <w:r>
        <w:rPr>
          <w:rFonts w:hint="eastAsia" w:ascii="方正仿宋_GBK" w:hAnsi="方正仿宋_GBK" w:eastAsia="方正仿宋_GBK" w:cs="方正仿宋_GBK"/>
          <w:sz w:val="32"/>
          <w:szCs w:val="32"/>
          <w:lang w:eastAsia="zh-CN"/>
        </w:rPr>
        <w:t>建环办公室汇总</w:t>
      </w:r>
      <w:r>
        <w:rPr>
          <w:rFonts w:hint="eastAsia" w:ascii="方正仿宋_GBK" w:hAnsi="方正仿宋_GBK" w:eastAsia="方正仿宋_GBK" w:cs="方正仿宋_GBK"/>
          <w:sz w:val="32"/>
          <w:szCs w:val="32"/>
        </w:rPr>
        <w:t>。</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（二）试点准备阶段（2021年6月底前）</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要优先解决重要窗口区域与自然环境冲突较大的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问题，重点在沿高铁高速两边、沿市县公路干线两边、沿江</w:t>
      </w:r>
      <w:r>
        <w:rPr>
          <w:rFonts w:hint="eastAsia" w:ascii="Times New Roman" w:hAnsi="Times New Roman" w:eastAsia="方正仿宋_GBK" w:cs="Times New Roman"/>
          <w:sz w:val="32"/>
          <w:szCs w:val="32"/>
        </w:rPr>
        <w:t>沿河</w:t>
      </w:r>
      <w:r>
        <w:rPr>
          <w:rFonts w:ascii="Times New Roman" w:hAnsi="Times New Roman" w:eastAsia="方正仿宋_GBK" w:cs="Times New Roman"/>
          <w:sz w:val="32"/>
          <w:szCs w:val="32"/>
        </w:rPr>
        <w:t>两岸、沿旅游景区周边、乡村振兴重点村、第三档村、</w:t>
      </w:r>
      <w:r>
        <w:rPr>
          <w:rFonts w:hint="eastAsia" w:ascii="Times New Roman" w:hAnsi="Times New Roman" w:eastAsia="方正仿宋_GBK" w:cs="Times New Roman"/>
          <w:sz w:val="32"/>
          <w:szCs w:val="32"/>
        </w:rPr>
        <w:t>城镇建成区、</w:t>
      </w:r>
      <w:r>
        <w:rPr>
          <w:rFonts w:ascii="Times New Roman" w:hAnsi="Times New Roman" w:eastAsia="方正仿宋_GBK" w:cs="Times New Roman"/>
          <w:sz w:val="32"/>
          <w:szCs w:val="32"/>
        </w:rPr>
        <w:t>城乡结合部等开展试点示范。通过试点示范，精心打造</w:t>
      </w:r>
      <w:r>
        <w:rPr>
          <w:rFonts w:hint="eastAsia" w:ascii="Times New Roman" w:hAnsi="Times New Roman" w:eastAsia="方正仿宋_GBK" w:cs="Times New Roman"/>
          <w:sz w:val="32"/>
          <w:szCs w:val="32"/>
        </w:rPr>
        <w:t>城乡</w:t>
      </w:r>
      <w:r>
        <w:rPr>
          <w:rFonts w:ascii="Times New Roman" w:hAnsi="Times New Roman" w:eastAsia="方正仿宋_GBK" w:cs="Times New Roman"/>
          <w:sz w:val="32"/>
          <w:szCs w:val="32"/>
        </w:rPr>
        <w:t>重要窗口区域和谐自然的美好形象。</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在试点示范阶段，根据摸排情况制定本辖区清理整治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工作实施方案，明确任务分工，</w:t>
      </w:r>
      <w:r>
        <w:rPr>
          <w:rFonts w:hint="eastAsia" w:ascii="Times New Roman" w:hAnsi="Times New Roman" w:eastAsia="方正仿宋_GBK" w:cs="Times New Roman"/>
          <w:sz w:val="32"/>
          <w:szCs w:val="32"/>
        </w:rPr>
        <w:t>制订整治计划、</w:t>
      </w:r>
      <w:r>
        <w:rPr>
          <w:rFonts w:ascii="Times New Roman" w:hAnsi="Times New Roman" w:eastAsia="方正仿宋_GBK" w:cs="Times New Roman"/>
          <w:sz w:val="32"/>
          <w:szCs w:val="32"/>
        </w:rPr>
        <w:t>落实工作责任、细化工作举措，召开动员大会，广泛宣传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清理整治的工作要求和政策措施，营造全社会清理整治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的浓厚氛围。</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（三）集中整治阶段（202</w:t>
      </w:r>
      <w:r>
        <w:rPr>
          <w:rFonts w:hint="eastAsia" w:ascii="Times New Roman" w:hAnsi="Times New Roman" w:eastAsia="方正楷体_GBK" w:cs="Times New Roman"/>
          <w:sz w:val="32"/>
          <w:szCs w:val="32"/>
        </w:rPr>
        <w:t>2</w:t>
      </w:r>
      <w:r>
        <w:rPr>
          <w:rFonts w:ascii="Times New Roman" w:hAnsi="Times New Roman" w:eastAsia="方正楷体_GBK" w:cs="Times New Roman"/>
          <w:sz w:val="32"/>
          <w:szCs w:val="32"/>
        </w:rPr>
        <w:t>年12月</w:t>
      </w:r>
      <w:r>
        <w:rPr>
          <w:rFonts w:hint="eastAsia" w:ascii="Times New Roman" w:hAnsi="Times New Roman" w:eastAsia="方正楷体_GBK" w:cs="Times New Roman"/>
          <w:sz w:val="32"/>
          <w:szCs w:val="32"/>
        </w:rPr>
        <w:t>底前</w:t>
      </w:r>
      <w:r>
        <w:rPr>
          <w:rFonts w:ascii="Times New Roman" w:hAnsi="Times New Roman" w:eastAsia="方正楷体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履行主体责任，按照整治目标，牵头组织工作队伍，动员镇村干部，分片包干，集中整治，确保整治成效。清理整治工作情况实行月报制度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销号</w:t>
      </w:r>
      <w:r>
        <w:rPr>
          <w:rFonts w:hint="eastAsia" w:ascii="Times New Roman" w:hAnsi="Times New Roman" w:eastAsia="方正仿宋_GBK" w:cs="Times New Roman"/>
          <w:sz w:val="32"/>
          <w:szCs w:val="32"/>
        </w:rPr>
        <w:t>制度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以村（社区）为单元，</w:t>
      </w:r>
      <w:r>
        <w:rPr>
          <w:rFonts w:ascii="Times New Roman" w:hAnsi="Times New Roman" w:eastAsia="方正仿宋_GBK" w:cs="Times New Roman"/>
          <w:sz w:val="32"/>
          <w:szCs w:val="32"/>
        </w:rPr>
        <w:t>整治完成一片，报备</w:t>
      </w:r>
      <w:r>
        <w:rPr>
          <w:rFonts w:hint="eastAsia" w:ascii="Times New Roman" w:hAnsi="Times New Roman" w:eastAsia="方正仿宋_GBK" w:cs="Times New Roman"/>
          <w:sz w:val="32"/>
          <w:szCs w:val="32"/>
        </w:rPr>
        <w:t>验收</w:t>
      </w:r>
      <w:r>
        <w:rPr>
          <w:rFonts w:ascii="Times New Roman" w:hAnsi="Times New Roman" w:eastAsia="方正仿宋_GBK" w:cs="Times New Roman"/>
          <w:sz w:val="32"/>
          <w:szCs w:val="32"/>
        </w:rPr>
        <w:t>销号一片。</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（四）检查验收阶段（202</w:t>
      </w:r>
      <w:r>
        <w:rPr>
          <w:rFonts w:hint="eastAsia" w:ascii="Times New Roman" w:hAnsi="Times New Roman" w:eastAsia="方正楷体_GBK" w:cs="Times New Roman"/>
          <w:sz w:val="32"/>
          <w:szCs w:val="32"/>
        </w:rPr>
        <w:t>3</w:t>
      </w:r>
      <w:r>
        <w:rPr>
          <w:rFonts w:ascii="Times New Roman" w:hAnsi="Times New Roman" w:eastAsia="方正楷体_GBK" w:cs="Times New Roman"/>
          <w:sz w:val="32"/>
          <w:szCs w:val="32"/>
        </w:rPr>
        <w:t>年6月底前）</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开展“回头看”，巩固整治成果，总结清理整治工作的成效和经验，完善长效工作机制，推动乡镇规划建设走上规范化、制度化、法制化轨道。</w:t>
      </w:r>
      <w:r>
        <w:rPr>
          <w:rFonts w:hint="eastAsia" w:ascii="Times New Roman" w:hAnsi="Times New Roman" w:eastAsia="方正仿宋_GBK" w:cs="Times New Roman"/>
          <w:sz w:val="32"/>
          <w:szCs w:val="32"/>
          <w:lang w:eastAsia="zh-CN"/>
        </w:rPr>
        <w:t>街道将</w:t>
      </w:r>
      <w:r>
        <w:rPr>
          <w:rFonts w:ascii="Times New Roman" w:hAnsi="Times New Roman" w:eastAsia="方正仿宋_GBK" w:cs="Times New Roman"/>
          <w:sz w:val="32"/>
          <w:szCs w:val="32"/>
        </w:rPr>
        <w:t>组织</w:t>
      </w:r>
      <w:r>
        <w:rPr>
          <w:rFonts w:hint="eastAsia" w:ascii="Times New Roman" w:hAnsi="Times New Roman" w:eastAsia="方正仿宋_GBK" w:cs="Times New Roman"/>
          <w:sz w:val="32"/>
          <w:szCs w:val="32"/>
          <w:lang w:eastAsia="zh-CN"/>
        </w:rPr>
        <w:t>规环办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农服中心</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lang w:eastAsia="zh-CN"/>
        </w:rPr>
        <w:t>科室</w:t>
      </w:r>
      <w:r>
        <w:rPr>
          <w:rFonts w:ascii="Times New Roman" w:hAnsi="Times New Roman" w:eastAsia="方正仿宋_GBK" w:cs="Times New Roman"/>
          <w:sz w:val="32"/>
          <w:szCs w:val="32"/>
        </w:rPr>
        <w:t>对</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清理整治成效和长效管理机制等情况进行检查验收。</w:t>
      </w:r>
    </w:p>
    <w:p>
      <w:pPr>
        <w:spacing w:line="578"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五</w:t>
      </w:r>
      <w:r>
        <w:rPr>
          <w:rFonts w:ascii="Times New Roman" w:hAnsi="Times New Roman" w:eastAsia="方正黑体_GBK" w:cs="Times New Roman"/>
          <w:sz w:val="32"/>
          <w:szCs w:val="32"/>
        </w:rPr>
        <w:t>、工作要求</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（一）强化领导，压实责任。</w:t>
      </w: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要高度重视，落实属地责任，</w:t>
      </w:r>
      <w:r>
        <w:rPr>
          <w:rFonts w:hint="eastAsia" w:ascii="Times New Roman" w:hAnsi="Times New Roman" w:eastAsia="方正仿宋_GBK" w:cs="Times New Roman"/>
          <w:sz w:val="32"/>
          <w:szCs w:val="32"/>
          <w:lang w:eastAsia="zh-CN"/>
        </w:rPr>
        <w:t>支书</w:t>
      </w:r>
      <w:r>
        <w:rPr>
          <w:rFonts w:ascii="Times New Roman" w:hAnsi="Times New Roman" w:eastAsia="方正仿宋_GBK" w:cs="Times New Roman"/>
          <w:sz w:val="32"/>
          <w:szCs w:val="32"/>
        </w:rPr>
        <w:t>负总责、</w:t>
      </w:r>
      <w:r>
        <w:rPr>
          <w:rFonts w:hint="eastAsia" w:ascii="Times New Roman" w:hAnsi="Times New Roman" w:eastAsia="方正仿宋_GBK" w:cs="Times New Roman"/>
          <w:sz w:val="32"/>
          <w:szCs w:val="32"/>
          <w:lang w:eastAsia="zh-CN"/>
        </w:rPr>
        <w:t>落实工作人员</w:t>
      </w:r>
      <w:r>
        <w:rPr>
          <w:rFonts w:ascii="Times New Roman" w:hAnsi="Times New Roman" w:eastAsia="方正仿宋_GBK" w:cs="Times New Roman"/>
          <w:sz w:val="32"/>
          <w:szCs w:val="32"/>
        </w:rPr>
        <w:t>具体抓，成立专门工作班子，负责抓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清理整治工作，牵头组织实施拆除整治，牵头按照标准要求开展风貌改造，确保整治工作顺利完成；</w:t>
      </w:r>
      <w:r>
        <w:rPr>
          <w:rFonts w:hint="eastAsia" w:ascii="Times New Roman" w:hAnsi="Times New Roman" w:eastAsia="方正仿宋_GBK" w:cs="Times New Roman"/>
          <w:sz w:val="32"/>
          <w:szCs w:val="32"/>
          <w:lang w:eastAsia="zh-CN"/>
        </w:rPr>
        <w:t>其它人员</w:t>
      </w:r>
      <w:r>
        <w:rPr>
          <w:rFonts w:ascii="Times New Roman" w:hAnsi="Times New Roman" w:eastAsia="方正仿宋_GBK" w:cs="Times New Roman"/>
          <w:sz w:val="32"/>
          <w:szCs w:val="32"/>
        </w:rPr>
        <w:t>相互配合，形成合力。</w:t>
      </w:r>
    </w:p>
    <w:p>
      <w:pPr>
        <w:spacing w:line="578" w:lineRule="exact"/>
        <w:ind w:firstLine="640" w:firstLineChars="200"/>
        <w:jc w:val="left"/>
        <w:rPr>
          <w:rFonts w:ascii="Times New Roman" w:hAnsi="Times New Roman" w:eastAsia="方正仿宋_GBK" w:cs="Times New Roman"/>
          <w:sz w:val="32"/>
          <w:szCs w:val="32"/>
        </w:rPr>
      </w:pPr>
      <w:r>
        <w:rPr>
          <w:rFonts w:ascii="Times New Roman" w:hAnsi="Times New Roman" w:eastAsia="方正楷体_GBK" w:cs="Times New Roman"/>
          <w:sz w:val="32"/>
          <w:szCs w:val="32"/>
        </w:rPr>
        <w:t>（二）强化宣传，全民参与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清理整治涉及农民群众切身利益，需稳妥推进相关工作；要加大清理整治工作的宣传力度，相关政策宣传做到家喻户晓、深入人心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引导农民群众自觉参与其中，积极配合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风貌</w:t>
      </w:r>
      <w:r>
        <w:rPr>
          <w:rFonts w:hint="eastAsia" w:ascii="Times New Roman" w:hAnsi="Times New Roman" w:eastAsia="方正仿宋_GBK" w:cs="Times New Roman"/>
          <w:sz w:val="32"/>
          <w:szCs w:val="32"/>
        </w:rPr>
        <w:t>塑</w:t>
      </w:r>
      <w:r>
        <w:rPr>
          <w:rFonts w:ascii="Times New Roman" w:hAnsi="Times New Roman" w:eastAsia="方正仿宋_GBK" w:cs="Times New Roman"/>
          <w:sz w:val="32"/>
          <w:szCs w:val="32"/>
        </w:rPr>
        <w:t>造或自行拆除影响人居环境</w:t>
      </w:r>
      <w:r>
        <w:rPr>
          <w:rFonts w:hint="eastAsia" w:ascii="Times New Roman" w:hAnsi="Times New Roman" w:eastAsia="方正仿宋_GBK" w:cs="Times New Roman"/>
          <w:sz w:val="32"/>
          <w:szCs w:val="32"/>
        </w:rPr>
        <w:t>、公共安全、公共利益</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蓝棚顶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，共同营造整洁、优美、宜居的人居环境。</w:t>
      </w:r>
    </w:p>
    <w:p>
      <w:pPr>
        <w:spacing w:line="578" w:lineRule="exact"/>
        <w:ind w:firstLine="640" w:firstLineChars="200"/>
        <w:rPr>
          <w:rFonts w:ascii="方正仿宋_GBK" w:hAnsi="方正仿宋_GBK" w:eastAsia="方正仿宋_GBK" w:cs="方正仿宋_GBK"/>
          <w:sz w:val="32"/>
          <w:szCs w:val="32"/>
        </w:rPr>
      </w:pPr>
      <w:r>
        <w:rPr>
          <w:rFonts w:ascii="Times New Roman" w:hAnsi="Times New Roman" w:eastAsia="方正楷体_GBK" w:cs="Times New Roman"/>
          <w:sz w:val="32"/>
          <w:szCs w:val="32"/>
        </w:rPr>
        <w:t>（三）强化督查，严格考核。</w:t>
      </w:r>
      <w:r>
        <w:rPr>
          <w:rFonts w:ascii="Times New Roman" w:hAnsi="Times New Roman" w:eastAsia="方正仿宋_GBK" w:cs="Times New Roman"/>
          <w:sz w:val="32"/>
          <w:szCs w:val="32"/>
        </w:rPr>
        <w:t>清理整治期间，各</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每月2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日前将清理整治情况报</w:t>
      </w:r>
      <w:r>
        <w:rPr>
          <w:rFonts w:hint="eastAsia" w:ascii="Times New Roman" w:hAnsi="Times New Roman" w:eastAsia="方正仿宋_GBK" w:cs="Times New Roman"/>
          <w:sz w:val="32"/>
          <w:szCs w:val="32"/>
          <w:lang w:eastAsia="zh-CN"/>
        </w:rPr>
        <w:t>规环办</w:t>
      </w:r>
      <w:r>
        <w:rPr>
          <w:rFonts w:ascii="Times New Roman" w:hAnsi="Times New Roman" w:eastAsia="方正仿宋_GBK" w:cs="Times New Roman"/>
          <w:sz w:val="32"/>
          <w:szCs w:val="32"/>
        </w:rPr>
        <w:t>。由</w:t>
      </w:r>
      <w:r>
        <w:rPr>
          <w:rFonts w:hint="eastAsia" w:ascii="Times New Roman" w:hAnsi="Times New Roman" w:eastAsia="方正仿宋_GBK" w:cs="Times New Roman"/>
          <w:sz w:val="32"/>
          <w:szCs w:val="32"/>
          <w:lang w:eastAsia="zh-CN"/>
        </w:rPr>
        <w:t>街道</w:t>
      </w:r>
      <w:r>
        <w:rPr>
          <w:rFonts w:ascii="Times New Roman" w:hAnsi="Times New Roman" w:eastAsia="方正仿宋_GBK" w:cs="Times New Roman"/>
          <w:sz w:val="32"/>
          <w:szCs w:val="32"/>
        </w:rPr>
        <w:t>督查办牵头，组织相关</w:t>
      </w:r>
      <w:r>
        <w:rPr>
          <w:rFonts w:hint="eastAsia" w:ascii="Times New Roman" w:hAnsi="Times New Roman" w:eastAsia="方正仿宋_GBK" w:cs="Times New Roman"/>
          <w:sz w:val="32"/>
          <w:szCs w:val="32"/>
          <w:lang w:eastAsia="zh-CN"/>
        </w:rPr>
        <w:t>科室</w:t>
      </w:r>
      <w:r>
        <w:rPr>
          <w:rFonts w:ascii="Times New Roman" w:hAnsi="Times New Roman" w:eastAsia="方正仿宋_GBK" w:cs="Times New Roman"/>
          <w:sz w:val="32"/>
          <w:szCs w:val="32"/>
        </w:rPr>
        <w:t>对重点</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，对重点区域开展督导检查，对整治工作进度、整治工作质量，进行重点检查，对结果进行排名并通报，纳入</w:t>
      </w:r>
      <w:r>
        <w:rPr>
          <w:rFonts w:hint="eastAsia" w:ascii="Times New Roman" w:hAnsi="Times New Roman" w:eastAsia="方正仿宋_GBK" w:cs="Times New Roman"/>
          <w:sz w:val="32"/>
          <w:szCs w:val="32"/>
          <w:lang w:eastAsia="zh-CN"/>
        </w:rPr>
        <w:t>村（社区）</w:t>
      </w:r>
      <w:r>
        <w:rPr>
          <w:rFonts w:ascii="Times New Roman" w:hAnsi="Times New Roman" w:eastAsia="方正仿宋_GBK" w:cs="Times New Roman"/>
          <w:sz w:val="32"/>
          <w:szCs w:val="32"/>
        </w:rPr>
        <w:t>违法建筑整治考核内容。</w:t>
      </w:r>
    </w:p>
    <w:p>
      <w:pPr>
        <w:spacing w:line="578" w:lineRule="exact"/>
      </w:pPr>
    </w:p>
    <w:p>
      <w:pPr>
        <w:spacing w:line="578" w:lineRule="exact"/>
        <w:ind w:firstLine="640" w:firstLineChars="200"/>
      </w:pPr>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人和街道</w:t>
      </w:r>
      <w:r>
        <w:rPr>
          <w:rFonts w:hint="eastAsia" w:ascii="Times New Roman" w:hAnsi="Times New Roman" w:eastAsia="方正仿宋_GBK" w:cs="Times New Roman"/>
          <w:sz w:val="32"/>
          <w:szCs w:val="32"/>
        </w:rPr>
        <w:t>“蓝棚顶”摸底情况统计表</w:t>
      </w:r>
    </w:p>
    <w:p>
      <w:pPr>
        <w:spacing w:line="578" w:lineRule="exact"/>
        <w:sectPr>
          <w:footerReference r:id="rId4" w:type="first"/>
          <w:footerReference r:id="rId3" w:type="default"/>
          <w:pgSz w:w="11906" w:h="16838"/>
          <w:pgMar w:top="2098" w:right="1531" w:bottom="1984" w:left="1531" w:header="992" w:footer="1474" w:gutter="0"/>
          <w:pgNumType w:fmt="decimal"/>
          <w:cols w:space="0" w:num="1"/>
          <w:titlePg/>
          <w:docGrid w:type="lines" w:linePitch="312" w:charSpace="0"/>
        </w:sectPr>
      </w:pPr>
    </w:p>
    <w:p>
      <w:pPr>
        <w:spacing w:line="594"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黑体_GBK" w:hAnsi="方正仿宋_GBK" w:eastAsia="方正黑体_GBK" w:cs="方正仿宋_GBK"/>
          <w:sz w:val="44"/>
          <w:szCs w:val="44"/>
        </w:rPr>
      </w:pPr>
      <w:r>
        <w:rPr>
          <w:rFonts w:hint="eastAsia" w:ascii="方正小标宋_GBK" w:hAnsi="方正小标宋_GBK" w:eastAsia="方正小标宋_GBK" w:cs="方正小标宋_GBK"/>
          <w:sz w:val="44"/>
          <w:szCs w:val="44"/>
          <w:lang w:eastAsia="zh-CN"/>
        </w:rPr>
        <w:t>人和街道</w:t>
      </w:r>
      <w:r>
        <w:rPr>
          <w:rFonts w:hint="eastAsia" w:ascii="方正小标宋_GBK" w:hAnsi="方正小标宋_GBK" w:eastAsia="方正小标宋_GBK" w:cs="方正小标宋_GBK"/>
          <w:sz w:val="44"/>
          <w:szCs w:val="44"/>
        </w:rPr>
        <w:t>“蓝棚顶”调查统计台账表</w:t>
      </w:r>
    </w:p>
    <w:p>
      <w:pPr>
        <w:spacing w:line="594"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村、社区</w:t>
      </w:r>
      <w:r>
        <w:rPr>
          <w:rFonts w:hint="eastAsia" w:ascii="方正仿宋_GBK" w:hAnsi="方正仿宋_GBK" w:eastAsia="方正仿宋_GBK" w:cs="方正仿宋_GBK"/>
          <w:sz w:val="28"/>
          <w:szCs w:val="28"/>
        </w:rPr>
        <w:t>：</w:t>
      </w:r>
    </w:p>
    <w:tbl>
      <w:tblPr>
        <w:tblStyle w:val="18"/>
        <w:tblW w:w="13702" w:type="dxa"/>
        <w:jc w:val="center"/>
        <w:tblInd w:w="-2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8"/>
        <w:gridCol w:w="1257"/>
        <w:gridCol w:w="1565"/>
        <w:gridCol w:w="1380"/>
        <w:gridCol w:w="1316"/>
        <w:gridCol w:w="1638"/>
        <w:gridCol w:w="2306"/>
        <w:gridCol w:w="2159"/>
        <w:gridCol w:w="13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38"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1257"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单位（姓名）</w:t>
            </w:r>
          </w:p>
        </w:tc>
        <w:tc>
          <w:tcPr>
            <w:tcW w:w="1565"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蓝棚顶</w:t>
            </w:r>
          </w:p>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地址及环境</w:t>
            </w:r>
          </w:p>
        </w:tc>
        <w:tc>
          <w:tcPr>
            <w:tcW w:w="1380"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蓝棚顶</w:t>
            </w:r>
          </w:p>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面积（㎡）</w:t>
            </w:r>
          </w:p>
        </w:tc>
        <w:tc>
          <w:tcPr>
            <w:tcW w:w="1316"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蓝棚顶</w:t>
            </w:r>
          </w:p>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建设时间</w:t>
            </w:r>
          </w:p>
        </w:tc>
        <w:tc>
          <w:tcPr>
            <w:tcW w:w="1638"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建设原由（或批准手续）</w:t>
            </w:r>
          </w:p>
        </w:tc>
        <w:tc>
          <w:tcPr>
            <w:tcW w:w="2306"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蓝棚顶建设类别</w:t>
            </w:r>
            <w:r>
              <w:rPr>
                <w:rFonts w:hint="eastAsia" w:ascii="方正仿宋_GBK" w:hAnsi="方正仿宋_GBK" w:eastAsia="方正仿宋_GBK" w:cs="方正仿宋_GBK"/>
                <w:b/>
                <w:bCs/>
                <w:szCs w:val="21"/>
              </w:rPr>
              <w:t>（A:居民住宅类、B：公共管理服务设施类、C：乡镇企业类、D：其他类）（填入代号）</w:t>
            </w:r>
          </w:p>
        </w:tc>
        <w:tc>
          <w:tcPr>
            <w:tcW w:w="2159"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拟整治措施（风貌塑造；拆除；拆除+风貌塑造）</w:t>
            </w:r>
          </w:p>
        </w:tc>
        <w:tc>
          <w:tcPr>
            <w:tcW w:w="1343" w:type="dxa"/>
            <w:vAlign w:val="center"/>
          </w:tcPr>
          <w:p>
            <w:pPr>
              <w:spacing w:line="34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计划整治完成时间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38" w:type="dxa"/>
          </w:tcPr>
          <w:p>
            <w:pPr>
              <w:spacing w:line="594" w:lineRule="exact"/>
              <w:rPr>
                <w:rFonts w:ascii="方正黑体_GBK" w:eastAsia="方正黑体_GBK"/>
                <w:sz w:val="32"/>
                <w:szCs w:val="32"/>
              </w:rPr>
            </w:pPr>
          </w:p>
        </w:tc>
        <w:tc>
          <w:tcPr>
            <w:tcW w:w="1257" w:type="dxa"/>
          </w:tcPr>
          <w:p>
            <w:pPr>
              <w:spacing w:line="594" w:lineRule="exact"/>
              <w:rPr>
                <w:rFonts w:ascii="方正黑体_GBK" w:eastAsia="方正黑体_GBK"/>
                <w:sz w:val="32"/>
                <w:szCs w:val="32"/>
              </w:rPr>
            </w:pPr>
          </w:p>
        </w:tc>
        <w:tc>
          <w:tcPr>
            <w:tcW w:w="1565" w:type="dxa"/>
          </w:tcPr>
          <w:p>
            <w:pPr>
              <w:spacing w:line="594" w:lineRule="exact"/>
              <w:rPr>
                <w:rFonts w:ascii="方正黑体_GBK" w:eastAsia="方正黑体_GBK"/>
                <w:sz w:val="32"/>
                <w:szCs w:val="32"/>
              </w:rPr>
            </w:pPr>
          </w:p>
        </w:tc>
        <w:tc>
          <w:tcPr>
            <w:tcW w:w="1380" w:type="dxa"/>
          </w:tcPr>
          <w:p>
            <w:pPr>
              <w:spacing w:line="594" w:lineRule="exact"/>
              <w:rPr>
                <w:rFonts w:ascii="方正黑体_GBK" w:eastAsia="方正黑体_GBK"/>
                <w:sz w:val="32"/>
                <w:szCs w:val="32"/>
              </w:rPr>
            </w:pPr>
          </w:p>
        </w:tc>
        <w:tc>
          <w:tcPr>
            <w:tcW w:w="1316" w:type="dxa"/>
          </w:tcPr>
          <w:p>
            <w:pPr>
              <w:spacing w:line="594" w:lineRule="exact"/>
              <w:rPr>
                <w:rFonts w:ascii="方正黑体_GBK" w:eastAsia="方正黑体_GBK"/>
                <w:sz w:val="32"/>
                <w:szCs w:val="32"/>
              </w:rPr>
            </w:pPr>
          </w:p>
        </w:tc>
        <w:tc>
          <w:tcPr>
            <w:tcW w:w="1638" w:type="dxa"/>
          </w:tcPr>
          <w:p>
            <w:pPr>
              <w:spacing w:line="594" w:lineRule="exact"/>
              <w:rPr>
                <w:rFonts w:ascii="方正黑体_GBK" w:eastAsia="方正黑体_GBK"/>
                <w:sz w:val="32"/>
                <w:szCs w:val="32"/>
              </w:rPr>
            </w:pPr>
          </w:p>
        </w:tc>
        <w:tc>
          <w:tcPr>
            <w:tcW w:w="2306" w:type="dxa"/>
          </w:tcPr>
          <w:p>
            <w:pPr>
              <w:spacing w:line="594" w:lineRule="exact"/>
              <w:rPr>
                <w:rFonts w:ascii="方正黑体_GBK" w:eastAsia="方正黑体_GBK"/>
                <w:sz w:val="32"/>
                <w:szCs w:val="32"/>
              </w:rPr>
            </w:pPr>
          </w:p>
        </w:tc>
        <w:tc>
          <w:tcPr>
            <w:tcW w:w="2159" w:type="dxa"/>
          </w:tcPr>
          <w:p>
            <w:pPr>
              <w:spacing w:line="594" w:lineRule="exact"/>
              <w:rPr>
                <w:rFonts w:ascii="方正黑体_GBK" w:eastAsia="方正黑体_GBK"/>
                <w:sz w:val="32"/>
                <w:szCs w:val="32"/>
              </w:rPr>
            </w:pPr>
          </w:p>
        </w:tc>
        <w:tc>
          <w:tcPr>
            <w:tcW w:w="1343" w:type="dxa"/>
          </w:tcPr>
          <w:p>
            <w:pPr>
              <w:spacing w:line="594" w:lineRule="exact"/>
              <w:rPr>
                <w:rFonts w:ascii="方正黑体_GBK" w:eastAsia="方正黑体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38" w:type="dxa"/>
          </w:tcPr>
          <w:p>
            <w:pPr>
              <w:spacing w:line="594" w:lineRule="exact"/>
              <w:rPr>
                <w:rFonts w:ascii="方正黑体_GBK" w:eastAsia="方正黑体_GBK"/>
                <w:sz w:val="32"/>
                <w:szCs w:val="32"/>
              </w:rPr>
            </w:pPr>
          </w:p>
        </w:tc>
        <w:tc>
          <w:tcPr>
            <w:tcW w:w="1257" w:type="dxa"/>
          </w:tcPr>
          <w:p>
            <w:pPr>
              <w:spacing w:line="594" w:lineRule="exact"/>
              <w:rPr>
                <w:rFonts w:ascii="方正黑体_GBK" w:eastAsia="方正黑体_GBK"/>
                <w:sz w:val="32"/>
                <w:szCs w:val="32"/>
              </w:rPr>
            </w:pPr>
          </w:p>
        </w:tc>
        <w:tc>
          <w:tcPr>
            <w:tcW w:w="1565" w:type="dxa"/>
          </w:tcPr>
          <w:p>
            <w:pPr>
              <w:spacing w:line="594" w:lineRule="exact"/>
              <w:rPr>
                <w:rFonts w:ascii="方正黑体_GBK" w:eastAsia="方正黑体_GBK"/>
                <w:sz w:val="32"/>
                <w:szCs w:val="32"/>
              </w:rPr>
            </w:pPr>
          </w:p>
        </w:tc>
        <w:tc>
          <w:tcPr>
            <w:tcW w:w="1380" w:type="dxa"/>
          </w:tcPr>
          <w:p>
            <w:pPr>
              <w:spacing w:line="594" w:lineRule="exact"/>
              <w:rPr>
                <w:rFonts w:ascii="方正黑体_GBK" w:eastAsia="方正黑体_GBK"/>
                <w:sz w:val="32"/>
                <w:szCs w:val="32"/>
              </w:rPr>
            </w:pPr>
          </w:p>
        </w:tc>
        <w:tc>
          <w:tcPr>
            <w:tcW w:w="1316" w:type="dxa"/>
          </w:tcPr>
          <w:p>
            <w:pPr>
              <w:spacing w:line="594" w:lineRule="exact"/>
              <w:rPr>
                <w:rFonts w:ascii="方正黑体_GBK" w:eastAsia="方正黑体_GBK"/>
                <w:sz w:val="32"/>
                <w:szCs w:val="32"/>
              </w:rPr>
            </w:pPr>
          </w:p>
        </w:tc>
        <w:tc>
          <w:tcPr>
            <w:tcW w:w="1638" w:type="dxa"/>
          </w:tcPr>
          <w:p>
            <w:pPr>
              <w:spacing w:line="594" w:lineRule="exact"/>
              <w:rPr>
                <w:rFonts w:ascii="方正黑体_GBK" w:eastAsia="方正黑体_GBK"/>
                <w:sz w:val="32"/>
                <w:szCs w:val="32"/>
              </w:rPr>
            </w:pPr>
          </w:p>
        </w:tc>
        <w:tc>
          <w:tcPr>
            <w:tcW w:w="2306" w:type="dxa"/>
          </w:tcPr>
          <w:p>
            <w:pPr>
              <w:spacing w:line="594" w:lineRule="exact"/>
              <w:rPr>
                <w:rFonts w:ascii="方正黑体_GBK" w:eastAsia="方正黑体_GBK"/>
                <w:sz w:val="32"/>
                <w:szCs w:val="32"/>
              </w:rPr>
            </w:pPr>
          </w:p>
        </w:tc>
        <w:tc>
          <w:tcPr>
            <w:tcW w:w="2159" w:type="dxa"/>
          </w:tcPr>
          <w:p>
            <w:pPr>
              <w:spacing w:line="594" w:lineRule="exact"/>
              <w:rPr>
                <w:rFonts w:ascii="方正黑体_GBK" w:eastAsia="方正黑体_GBK"/>
                <w:sz w:val="32"/>
                <w:szCs w:val="32"/>
              </w:rPr>
            </w:pPr>
          </w:p>
        </w:tc>
        <w:tc>
          <w:tcPr>
            <w:tcW w:w="1343" w:type="dxa"/>
          </w:tcPr>
          <w:p>
            <w:pPr>
              <w:spacing w:line="594" w:lineRule="exact"/>
              <w:rPr>
                <w:rFonts w:ascii="方正黑体_GBK" w:eastAsia="方正黑体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38" w:type="dxa"/>
          </w:tcPr>
          <w:p>
            <w:pPr>
              <w:spacing w:line="594" w:lineRule="exact"/>
              <w:rPr>
                <w:rFonts w:ascii="方正黑体_GBK" w:eastAsia="方正黑体_GBK"/>
                <w:sz w:val="32"/>
                <w:szCs w:val="32"/>
              </w:rPr>
            </w:pPr>
          </w:p>
        </w:tc>
        <w:tc>
          <w:tcPr>
            <w:tcW w:w="1257" w:type="dxa"/>
          </w:tcPr>
          <w:p>
            <w:pPr>
              <w:spacing w:line="594" w:lineRule="exact"/>
              <w:rPr>
                <w:rFonts w:ascii="方正黑体_GBK" w:eastAsia="方正黑体_GBK"/>
                <w:sz w:val="32"/>
                <w:szCs w:val="32"/>
              </w:rPr>
            </w:pPr>
          </w:p>
        </w:tc>
        <w:tc>
          <w:tcPr>
            <w:tcW w:w="1565" w:type="dxa"/>
          </w:tcPr>
          <w:p>
            <w:pPr>
              <w:spacing w:line="594" w:lineRule="exact"/>
              <w:rPr>
                <w:rFonts w:ascii="方正黑体_GBK" w:eastAsia="方正黑体_GBK"/>
                <w:sz w:val="32"/>
                <w:szCs w:val="32"/>
              </w:rPr>
            </w:pPr>
          </w:p>
        </w:tc>
        <w:tc>
          <w:tcPr>
            <w:tcW w:w="1380" w:type="dxa"/>
          </w:tcPr>
          <w:p>
            <w:pPr>
              <w:spacing w:line="594" w:lineRule="exact"/>
              <w:rPr>
                <w:rFonts w:ascii="方正黑体_GBK" w:eastAsia="方正黑体_GBK"/>
                <w:sz w:val="32"/>
                <w:szCs w:val="32"/>
              </w:rPr>
            </w:pPr>
          </w:p>
        </w:tc>
        <w:tc>
          <w:tcPr>
            <w:tcW w:w="1316" w:type="dxa"/>
          </w:tcPr>
          <w:p>
            <w:pPr>
              <w:spacing w:line="594" w:lineRule="exact"/>
              <w:rPr>
                <w:rFonts w:ascii="方正黑体_GBK" w:eastAsia="方正黑体_GBK"/>
                <w:sz w:val="32"/>
                <w:szCs w:val="32"/>
              </w:rPr>
            </w:pPr>
          </w:p>
        </w:tc>
        <w:tc>
          <w:tcPr>
            <w:tcW w:w="1638" w:type="dxa"/>
          </w:tcPr>
          <w:p>
            <w:pPr>
              <w:spacing w:line="594" w:lineRule="exact"/>
              <w:rPr>
                <w:rFonts w:ascii="方正黑体_GBK" w:eastAsia="方正黑体_GBK"/>
                <w:sz w:val="32"/>
                <w:szCs w:val="32"/>
              </w:rPr>
            </w:pPr>
          </w:p>
        </w:tc>
        <w:tc>
          <w:tcPr>
            <w:tcW w:w="2306" w:type="dxa"/>
          </w:tcPr>
          <w:p>
            <w:pPr>
              <w:spacing w:line="594" w:lineRule="exact"/>
              <w:rPr>
                <w:rFonts w:ascii="方正黑体_GBK" w:eastAsia="方正黑体_GBK"/>
                <w:sz w:val="32"/>
                <w:szCs w:val="32"/>
              </w:rPr>
            </w:pPr>
          </w:p>
        </w:tc>
        <w:tc>
          <w:tcPr>
            <w:tcW w:w="2159" w:type="dxa"/>
          </w:tcPr>
          <w:p>
            <w:pPr>
              <w:spacing w:line="594" w:lineRule="exact"/>
              <w:rPr>
                <w:rFonts w:ascii="方正黑体_GBK" w:eastAsia="方正黑体_GBK"/>
                <w:sz w:val="32"/>
                <w:szCs w:val="32"/>
              </w:rPr>
            </w:pPr>
          </w:p>
        </w:tc>
        <w:tc>
          <w:tcPr>
            <w:tcW w:w="1343" w:type="dxa"/>
          </w:tcPr>
          <w:p>
            <w:pPr>
              <w:spacing w:line="594" w:lineRule="exact"/>
              <w:rPr>
                <w:rFonts w:ascii="方正黑体_GBK" w:eastAsia="方正黑体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38" w:type="dxa"/>
          </w:tcPr>
          <w:p>
            <w:pPr>
              <w:spacing w:line="594" w:lineRule="exact"/>
              <w:rPr>
                <w:rFonts w:ascii="方正黑体_GBK" w:eastAsia="方正黑体_GBK"/>
                <w:sz w:val="32"/>
                <w:szCs w:val="32"/>
              </w:rPr>
            </w:pPr>
          </w:p>
        </w:tc>
        <w:tc>
          <w:tcPr>
            <w:tcW w:w="1257" w:type="dxa"/>
          </w:tcPr>
          <w:p>
            <w:pPr>
              <w:spacing w:line="594" w:lineRule="exact"/>
              <w:rPr>
                <w:rFonts w:ascii="方正黑体_GBK" w:eastAsia="方正黑体_GBK"/>
                <w:sz w:val="32"/>
                <w:szCs w:val="32"/>
              </w:rPr>
            </w:pPr>
          </w:p>
        </w:tc>
        <w:tc>
          <w:tcPr>
            <w:tcW w:w="1565" w:type="dxa"/>
          </w:tcPr>
          <w:p>
            <w:pPr>
              <w:spacing w:line="594" w:lineRule="exact"/>
              <w:rPr>
                <w:rFonts w:ascii="方正黑体_GBK" w:eastAsia="方正黑体_GBK"/>
                <w:sz w:val="32"/>
                <w:szCs w:val="32"/>
              </w:rPr>
            </w:pPr>
          </w:p>
        </w:tc>
        <w:tc>
          <w:tcPr>
            <w:tcW w:w="1380" w:type="dxa"/>
          </w:tcPr>
          <w:p>
            <w:pPr>
              <w:spacing w:line="594" w:lineRule="exact"/>
              <w:rPr>
                <w:rFonts w:ascii="方正黑体_GBK" w:eastAsia="方正黑体_GBK"/>
                <w:sz w:val="32"/>
                <w:szCs w:val="32"/>
              </w:rPr>
            </w:pPr>
          </w:p>
        </w:tc>
        <w:tc>
          <w:tcPr>
            <w:tcW w:w="1316" w:type="dxa"/>
          </w:tcPr>
          <w:p>
            <w:pPr>
              <w:spacing w:line="594" w:lineRule="exact"/>
              <w:rPr>
                <w:rFonts w:ascii="方正黑体_GBK" w:eastAsia="方正黑体_GBK"/>
                <w:sz w:val="32"/>
                <w:szCs w:val="32"/>
              </w:rPr>
            </w:pPr>
          </w:p>
        </w:tc>
        <w:tc>
          <w:tcPr>
            <w:tcW w:w="1638" w:type="dxa"/>
          </w:tcPr>
          <w:p>
            <w:pPr>
              <w:spacing w:line="594" w:lineRule="exact"/>
              <w:rPr>
                <w:rFonts w:ascii="方正黑体_GBK" w:eastAsia="方正黑体_GBK"/>
                <w:sz w:val="32"/>
                <w:szCs w:val="32"/>
              </w:rPr>
            </w:pPr>
          </w:p>
        </w:tc>
        <w:tc>
          <w:tcPr>
            <w:tcW w:w="2306" w:type="dxa"/>
          </w:tcPr>
          <w:p>
            <w:pPr>
              <w:spacing w:line="594" w:lineRule="exact"/>
              <w:rPr>
                <w:rFonts w:ascii="方正黑体_GBK" w:eastAsia="方正黑体_GBK"/>
                <w:sz w:val="32"/>
                <w:szCs w:val="32"/>
              </w:rPr>
            </w:pPr>
          </w:p>
        </w:tc>
        <w:tc>
          <w:tcPr>
            <w:tcW w:w="2159" w:type="dxa"/>
          </w:tcPr>
          <w:p>
            <w:pPr>
              <w:spacing w:line="594" w:lineRule="exact"/>
              <w:rPr>
                <w:rFonts w:ascii="方正黑体_GBK" w:eastAsia="方正黑体_GBK"/>
                <w:sz w:val="32"/>
                <w:szCs w:val="32"/>
              </w:rPr>
            </w:pPr>
          </w:p>
        </w:tc>
        <w:tc>
          <w:tcPr>
            <w:tcW w:w="1343" w:type="dxa"/>
          </w:tcPr>
          <w:p>
            <w:pPr>
              <w:spacing w:line="594" w:lineRule="exact"/>
              <w:rPr>
                <w:rFonts w:ascii="方正黑体_GBK" w:eastAsia="方正黑体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38" w:type="dxa"/>
          </w:tcPr>
          <w:p>
            <w:pPr>
              <w:spacing w:line="594" w:lineRule="exact"/>
              <w:rPr>
                <w:rFonts w:ascii="方正黑体_GBK" w:eastAsia="方正黑体_GBK"/>
                <w:sz w:val="32"/>
                <w:szCs w:val="32"/>
              </w:rPr>
            </w:pPr>
          </w:p>
        </w:tc>
        <w:tc>
          <w:tcPr>
            <w:tcW w:w="1257" w:type="dxa"/>
          </w:tcPr>
          <w:p>
            <w:pPr>
              <w:spacing w:line="594" w:lineRule="exact"/>
              <w:rPr>
                <w:rFonts w:ascii="方正黑体_GBK" w:eastAsia="方正黑体_GBK"/>
                <w:sz w:val="32"/>
                <w:szCs w:val="32"/>
              </w:rPr>
            </w:pPr>
          </w:p>
        </w:tc>
        <w:tc>
          <w:tcPr>
            <w:tcW w:w="1565" w:type="dxa"/>
          </w:tcPr>
          <w:p>
            <w:pPr>
              <w:spacing w:line="594" w:lineRule="exact"/>
              <w:rPr>
                <w:rFonts w:ascii="方正黑体_GBK" w:eastAsia="方正黑体_GBK"/>
                <w:sz w:val="32"/>
                <w:szCs w:val="32"/>
              </w:rPr>
            </w:pPr>
          </w:p>
        </w:tc>
        <w:tc>
          <w:tcPr>
            <w:tcW w:w="1380" w:type="dxa"/>
          </w:tcPr>
          <w:p>
            <w:pPr>
              <w:spacing w:line="594" w:lineRule="exact"/>
              <w:rPr>
                <w:rFonts w:ascii="方正黑体_GBK" w:eastAsia="方正黑体_GBK"/>
                <w:sz w:val="32"/>
                <w:szCs w:val="32"/>
              </w:rPr>
            </w:pPr>
          </w:p>
        </w:tc>
        <w:tc>
          <w:tcPr>
            <w:tcW w:w="1316" w:type="dxa"/>
          </w:tcPr>
          <w:p>
            <w:pPr>
              <w:spacing w:line="594" w:lineRule="exact"/>
              <w:rPr>
                <w:rFonts w:ascii="方正黑体_GBK" w:eastAsia="方正黑体_GBK"/>
                <w:sz w:val="32"/>
                <w:szCs w:val="32"/>
              </w:rPr>
            </w:pPr>
          </w:p>
        </w:tc>
        <w:tc>
          <w:tcPr>
            <w:tcW w:w="1638" w:type="dxa"/>
          </w:tcPr>
          <w:p>
            <w:pPr>
              <w:spacing w:line="594" w:lineRule="exact"/>
              <w:rPr>
                <w:rFonts w:ascii="方正黑体_GBK" w:eastAsia="方正黑体_GBK"/>
                <w:sz w:val="32"/>
                <w:szCs w:val="32"/>
              </w:rPr>
            </w:pPr>
          </w:p>
        </w:tc>
        <w:tc>
          <w:tcPr>
            <w:tcW w:w="2306" w:type="dxa"/>
          </w:tcPr>
          <w:p>
            <w:pPr>
              <w:spacing w:line="594" w:lineRule="exact"/>
              <w:rPr>
                <w:rFonts w:ascii="方正黑体_GBK" w:eastAsia="方正黑体_GBK"/>
                <w:sz w:val="32"/>
                <w:szCs w:val="32"/>
              </w:rPr>
            </w:pPr>
          </w:p>
        </w:tc>
        <w:tc>
          <w:tcPr>
            <w:tcW w:w="2159" w:type="dxa"/>
          </w:tcPr>
          <w:p>
            <w:pPr>
              <w:spacing w:line="594" w:lineRule="exact"/>
              <w:rPr>
                <w:rFonts w:ascii="方正黑体_GBK" w:eastAsia="方正黑体_GBK"/>
                <w:sz w:val="32"/>
                <w:szCs w:val="32"/>
              </w:rPr>
            </w:pPr>
          </w:p>
        </w:tc>
        <w:tc>
          <w:tcPr>
            <w:tcW w:w="1343" w:type="dxa"/>
          </w:tcPr>
          <w:p>
            <w:pPr>
              <w:spacing w:line="594" w:lineRule="exact"/>
              <w:rPr>
                <w:rFonts w:ascii="方正黑体_GBK" w:eastAsia="方正黑体_GBK"/>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38" w:type="dxa"/>
          </w:tcPr>
          <w:p>
            <w:pPr>
              <w:spacing w:line="594" w:lineRule="exact"/>
              <w:rPr>
                <w:rFonts w:ascii="方正黑体_GBK" w:eastAsia="方正黑体_GBK"/>
                <w:sz w:val="32"/>
                <w:szCs w:val="32"/>
              </w:rPr>
            </w:pPr>
          </w:p>
        </w:tc>
        <w:tc>
          <w:tcPr>
            <w:tcW w:w="1257" w:type="dxa"/>
          </w:tcPr>
          <w:p>
            <w:pPr>
              <w:spacing w:line="594" w:lineRule="exact"/>
              <w:rPr>
                <w:rFonts w:ascii="方正黑体_GBK" w:eastAsia="方正黑体_GBK"/>
                <w:sz w:val="32"/>
                <w:szCs w:val="32"/>
              </w:rPr>
            </w:pPr>
          </w:p>
        </w:tc>
        <w:tc>
          <w:tcPr>
            <w:tcW w:w="1565" w:type="dxa"/>
          </w:tcPr>
          <w:p>
            <w:pPr>
              <w:spacing w:line="594" w:lineRule="exact"/>
              <w:rPr>
                <w:rFonts w:ascii="方正黑体_GBK" w:eastAsia="方正黑体_GBK"/>
                <w:sz w:val="32"/>
                <w:szCs w:val="32"/>
              </w:rPr>
            </w:pPr>
          </w:p>
        </w:tc>
        <w:tc>
          <w:tcPr>
            <w:tcW w:w="1380" w:type="dxa"/>
          </w:tcPr>
          <w:p>
            <w:pPr>
              <w:spacing w:line="594" w:lineRule="exact"/>
              <w:rPr>
                <w:rFonts w:ascii="方正黑体_GBK" w:eastAsia="方正黑体_GBK"/>
                <w:sz w:val="32"/>
                <w:szCs w:val="32"/>
              </w:rPr>
            </w:pPr>
          </w:p>
        </w:tc>
        <w:tc>
          <w:tcPr>
            <w:tcW w:w="1316" w:type="dxa"/>
          </w:tcPr>
          <w:p>
            <w:pPr>
              <w:spacing w:line="594" w:lineRule="exact"/>
              <w:rPr>
                <w:rFonts w:ascii="方正黑体_GBK" w:eastAsia="方正黑体_GBK"/>
                <w:sz w:val="32"/>
                <w:szCs w:val="32"/>
              </w:rPr>
            </w:pPr>
          </w:p>
        </w:tc>
        <w:tc>
          <w:tcPr>
            <w:tcW w:w="1638" w:type="dxa"/>
          </w:tcPr>
          <w:p>
            <w:pPr>
              <w:spacing w:line="594" w:lineRule="exact"/>
              <w:rPr>
                <w:rFonts w:ascii="方正黑体_GBK" w:eastAsia="方正黑体_GBK"/>
                <w:sz w:val="32"/>
                <w:szCs w:val="32"/>
              </w:rPr>
            </w:pPr>
          </w:p>
        </w:tc>
        <w:tc>
          <w:tcPr>
            <w:tcW w:w="2306" w:type="dxa"/>
          </w:tcPr>
          <w:p>
            <w:pPr>
              <w:spacing w:line="594" w:lineRule="exact"/>
              <w:rPr>
                <w:rFonts w:ascii="方正黑体_GBK" w:eastAsia="方正黑体_GBK"/>
                <w:sz w:val="32"/>
                <w:szCs w:val="32"/>
              </w:rPr>
            </w:pPr>
          </w:p>
        </w:tc>
        <w:tc>
          <w:tcPr>
            <w:tcW w:w="2159" w:type="dxa"/>
          </w:tcPr>
          <w:p>
            <w:pPr>
              <w:spacing w:line="594" w:lineRule="exact"/>
              <w:rPr>
                <w:rFonts w:ascii="方正黑体_GBK" w:eastAsia="方正黑体_GBK"/>
                <w:sz w:val="32"/>
                <w:szCs w:val="32"/>
              </w:rPr>
            </w:pPr>
          </w:p>
        </w:tc>
        <w:tc>
          <w:tcPr>
            <w:tcW w:w="1343" w:type="dxa"/>
          </w:tcPr>
          <w:p>
            <w:pPr>
              <w:spacing w:line="594" w:lineRule="exact"/>
              <w:rPr>
                <w:rFonts w:ascii="方正黑体_GBK" w:eastAsia="方正黑体_GBK"/>
                <w:sz w:val="32"/>
                <w:szCs w:val="32"/>
              </w:rPr>
            </w:pPr>
          </w:p>
        </w:tc>
      </w:tr>
    </w:tbl>
    <w:p>
      <w:pPr>
        <w:spacing w:line="594" w:lineRule="exact"/>
        <w:rPr>
          <w:rFonts w:ascii="方正仿宋_GBK" w:eastAsia="方正仿宋_GBK"/>
          <w:sz w:val="28"/>
          <w:szCs w:val="28"/>
        </w:rPr>
        <w:sectPr>
          <w:pgSz w:w="16838" w:h="11906" w:orient="landscape"/>
          <w:pgMar w:top="1418" w:right="1985" w:bottom="1276" w:left="1304" w:header="851" w:footer="1418" w:gutter="0"/>
          <w:pgNumType w:fmt="decimal"/>
          <w:cols w:space="0" w:num="1"/>
          <w:titlePg/>
          <w:docGrid w:type="linesAndChars" w:linePitch="312" w:charSpace="0"/>
        </w:sectPr>
      </w:pPr>
      <w:r>
        <w:rPr>
          <w:rFonts w:hint="eastAsia" w:ascii="方正仿宋_GBK" w:eastAsia="方正仿宋_GBK"/>
          <w:sz w:val="28"/>
          <w:szCs w:val="28"/>
          <w:lang w:eastAsia="zh-CN"/>
        </w:rPr>
        <w:t>支书</w:t>
      </w:r>
      <w:r>
        <w:rPr>
          <w:rFonts w:hint="eastAsia" w:ascii="方正仿宋_GBK" w:eastAsia="方正仿宋_GBK"/>
          <w:sz w:val="28"/>
          <w:szCs w:val="28"/>
        </w:rPr>
        <w:t xml:space="preserve">（签字）：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填表人（签字）：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年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月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日</w:t>
      </w:r>
    </w:p>
    <w:p>
      <w:pPr>
        <w:pStyle w:val="2"/>
        <w:numPr>
          <w:ilvl w:val="3"/>
          <w:numId w:val="0"/>
        </w:num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
      <w:pPr>
        <w:bidi w:val="0"/>
      </w:pPr>
    </w:p>
    <w:p>
      <w:pPr>
        <w:bidi w:val="0"/>
      </w:pPr>
    </w:p>
    <w:p>
      <w:pPr>
        <w:bidi w:val="0"/>
      </w:pPr>
    </w:p>
    <w:p>
      <w:pPr>
        <w:bidi w:val="0"/>
      </w:pPr>
    </w:p>
    <w:p>
      <w:pPr>
        <w:bidi w:val="0"/>
      </w:pPr>
    </w:p>
    <w:p>
      <w:pPr>
        <w:bidi w:val="0"/>
      </w:pPr>
    </w:p>
    <w:p>
      <w:pPr>
        <w:bidi w:val="0"/>
      </w:pPr>
    </w:p>
    <w:p/>
    <w:p>
      <w:pPr>
        <w:bidi w:val="0"/>
      </w:pPr>
    </w:p>
    <w:p/>
    <w:p/>
    <w:p>
      <w:pPr>
        <w:pStyle w:val="2"/>
        <w:numPr>
          <w:numId w:val="0"/>
        </w:numPr>
        <w:ind w:leftChars="0"/>
      </w:pPr>
    </w:p>
    <w:p/>
    <w:p>
      <w:pPr>
        <w:pBdr>
          <w:top w:val="single" w:color="000000" w:sz="12" w:space="0"/>
          <w:left w:val="none" w:color="auto" w:sz="0" w:space="4"/>
          <w:bottom w:val="single" w:color="000000" w:sz="12" w:space="1"/>
          <w:right w:val="none" w:color="auto" w:sz="0" w:space="4"/>
          <w:between w:val="single" w:color="000000" w:sz="4" w:space="0"/>
        </w:pBdr>
        <w:spacing w:line="570" w:lineRule="exact"/>
        <w:ind w:right="-485" w:rightChars="-227" w:firstLine="284" w:firstLineChars="100"/>
        <w:rPr>
          <w:rFonts w:hint="eastAsia" w:ascii="方正仿宋_GBK" w:eastAsia="方正仿宋_GBK"/>
          <w:sz w:val="32"/>
          <w:szCs w:val="32"/>
          <w:lang w:eastAsia="zh-CN"/>
        </w:rPr>
      </w:pPr>
      <w:r>
        <w:rPr>
          <w:rFonts w:hint="eastAsia" w:ascii="方正仿宋_GBK" w:hAnsi="方正仿宋_GBK" w:eastAsia="方正仿宋_GBK" w:cs="方正仿宋_GBK"/>
          <w:sz w:val="28"/>
          <w:szCs w:val="28"/>
        </w:rPr>
        <w:t>云阳县</w:t>
      </w:r>
      <w:r>
        <w:rPr>
          <w:rFonts w:hint="eastAsia" w:ascii="方正仿宋_GBK" w:hAnsi="方正仿宋_GBK" w:eastAsia="方正仿宋_GBK" w:cs="方正仿宋_GBK"/>
          <w:sz w:val="28"/>
          <w:szCs w:val="28"/>
          <w:lang w:eastAsia="zh-CN"/>
        </w:rPr>
        <w:t>人和街道党政</w:t>
      </w:r>
      <w:r>
        <w:rPr>
          <w:rFonts w:hint="eastAsia" w:ascii="方正仿宋_GBK" w:hAnsi="方正仿宋_GBK" w:eastAsia="方正仿宋_GBK" w:cs="方正仿宋_GBK"/>
          <w:sz w:val="28"/>
          <w:szCs w:val="28"/>
        </w:rPr>
        <w:t>办公室</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年</w:t>
      </w:r>
      <w:r>
        <w:rPr>
          <w:rFonts w:hint="eastAsia" w:ascii="Times New Roman" w:hAnsi="Times New Roman" w:eastAsia="方正仿宋_GBK" w:cs="Times New Roman"/>
          <w:sz w:val="28"/>
          <w:szCs w:val="28"/>
        </w:rPr>
        <w:t>5</w:t>
      </w:r>
      <w:r>
        <w:rPr>
          <w:rFonts w:hint="eastAsia" w:ascii="方正仿宋_GBK" w:hAnsi="方正仿宋_GBK" w:eastAsia="方正仿宋_GBK" w:cs="方正仿宋_GBK"/>
          <w:sz w:val="28"/>
          <w:szCs w:val="28"/>
        </w:rPr>
        <w:t>月</w:t>
      </w:r>
      <w:r>
        <w:rPr>
          <w:rFonts w:hint="eastAsia" w:ascii="Times New Roman" w:hAnsi="Times New Roman" w:eastAsia="方正仿宋_GBK" w:cs="Times New Roman"/>
          <w:sz w:val="28"/>
          <w:szCs w:val="28"/>
          <w:lang w:val="en-US" w:eastAsia="zh-CN"/>
        </w:rPr>
        <w:t>12</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lang w:eastAsia="zh-CN"/>
        </w:rPr>
        <w:t>印发</w:t>
      </w:r>
    </w:p>
    <w:sectPr>
      <w:pgSz w:w="11906" w:h="16838"/>
      <w:pgMar w:top="1984" w:right="1276" w:bottom="1304" w:left="1418" w:header="851" w:footer="1474" w:gutter="0"/>
      <w:pgNumType w:fmt="decimal"/>
      <w:cols w:space="0" w:num="1"/>
      <w:titlePg/>
      <w:docGrid w:type="linesAndChars" w:linePitch="312" w:charSpace="8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raditional Arabic">
    <w:panose1 w:val="02020603050405020304"/>
    <w:charset w:val="00"/>
    <w:family w:val="roman"/>
    <w:pitch w:val="default"/>
    <w:sig w:usb0="00006003" w:usb1="80000000" w:usb2="00000008" w:usb3="00000000" w:csb0="00000041" w:csb1="20080000"/>
  </w:font>
  <w:font w:name="方正大标宋_GBK">
    <w:altName w:val="宋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E0002AFF" w:usb1="C0007843" w:usb2="00000009" w:usb3="00000000" w:csb0="400001FF" w:csb1="FFFF0000"/>
  </w:font>
  <w:font w:name="方正大黑_GBK">
    <w:altName w:val="黑体"/>
    <w:panose1 w:val="03000509000000000000"/>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中等线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
    <w:panose1 w:val="02030600000101010101"/>
    <w:charset w:val="81"/>
    <w:family w:val="auto"/>
    <w:pitch w:val="default"/>
    <w:sig w:usb0="B00002AF" w:usb1="69D77CFB" w:usb2="00000030" w:usb3="00000000" w:csb0="4008009F" w:csb1="DFD70000"/>
  </w:font>
  <w:font w:name="方正粗圆_GBK">
    <w:altName w:val="宋体"/>
    <w:panose1 w:val="03000509000000000000"/>
    <w:charset w:val="86"/>
    <w:family w:val="auto"/>
    <w:pitch w:val="default"/>
    <w:sig w:usb0="00000000" w:usb1="0000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粗倩_GBK">
    <w:altName w:val="宋体"/>
    <w:panose1 w:val="03000509000000000000"/>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2</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 xml:space="preserve">— </w:t>
                </w: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r>
                  <w:rPr>
                    <w:rFonts w:hint="eastAsia" w:asciiTheme="minorEastAsia" w:hAnsiTheme="minorEastAsia" w:cstheme="minorEastAsia"/>
                    <w:sz w:val="28"/>
                    <w:szCs w:val="28"/>
                    <w:lang w:eastAsia="zh-CN"/>
                  </w:rPr>
                  <w:t xml:space="preserve"> —</w:t>
                </w:r>
              </w:p>
            </w:txbxContent>
          </v:textbox>
        </v:shape>
      </w:pict>
    </w:r>
    <w: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2"/>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7"/>
  <w:drawingGridVerticalSpacing w:val="156"/>
  <w:displayHorizont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125F"/>
    <w:rsid w:val="00031C85"/>
    <w:rsid w:val="00044452"/>
    <w:rsid w:val="000845C7"/>
    <w:rsid w:val="0011216F"/>
    <w:rsid w:val="001479B9"/>
    <w:rsid w:val="00184DD4"/>
    <w:rsid w:val="001F0ACE"/>
    <w:rsid w:val="00212710"/>
    <w:rsid w:val="00245D77"/>
    <w:rsid w:val="002717AE"/>
    <w:rsid w:val="00276032"/>
    <w:rsid w:val="002857B2"/>
    <w:rsid w:val="002B3D12"/>
    <w:rsid w:val="002D4AB5"/>
    <w:rsid w:val="002E260C"/>
    <w:rsid w:val="002F23FE"/>
    <w:rsid w:val="00345E42"/>
    <w:rsid w:val="003805E4"/>
    <w:rsid w:val="0038514C"/>
    <w:rsid w:val="003C662E"/>
    <w:rsid w:val="00420CDB"/>
    <w:rsid w:val="004219BD"/>
    <w:rsid w:val="00444F25"/>
    <w:rsid w:val="004562D0"/>
    <w:rsid w:val="00482E09"/>
    <w:rsid w:val="0048491D"/>
    <w:rsid w:val="004970D5"/>
    <w:rsid w:val="004B6849"/>
    <w:rsid w:val="00501BFD"/>
    <w:rsid w:val="00511F1B"/>
    <w:rsid w:val="0055772A"/>
    <w:rsid w:val="005E42FD"/>
    <w:rsid w:val="00607E4E"/>
    <w:rsid w:val="0062166A"/>
    <w:rsid w:val="006B4F70"/>
    <w:rsid w:val="00763783"/>
    <w:rsid w:val="00764B65"/>
    <w:rsid w:val="00764FD0"/>
    <w:rsid w:val="00791581"/>
    <w:rsid w:val="00794706"/>
    <w:rsid w:val="007D330D"/>
    <w:rsid w:val="008722C4"/>
    <w:rsid w:val="008C4621"/>
    <w:rsid w:val="00902032"/>
    <w:rsid w:val="00943D76"/>
    <w:rsid w:val="00987C33"/>
    <w:rsid w:val="00A804AF"/>
    <w:rsid w:val="00A960E6"/>
    <w:rsid w:val="00AC59C4"/>
    <w:rsid w:val="00AD002C"/>
    <w:rsid w:val="00AE0E16"/>
    <w:rsid w:val="00AE289D"/>
    <w:rsid w:val="00B31AD6"/>
    <w:rsid w:val="00BC4FE3"/>
    <w:rsid w:val="00BF6F09"/>
    <w:rsid w:val="00C0779E"/>
    <w:rsid w:val="00D03EB0"/>
    <w:rsid w:val="00D43F26"/>
    <w:rsid w:val="00DF2439"/>
    <w:rsid w:val="00E035DB"/>
    <w:rsid w:val="00E23A9F"/>
    <w:rsid w:val="00EB7D3C"/>
    <w:rsid w:val="00EF0882"/>
    <w:rsid w:val="00FC125F"/>
    <w:rsid w:val="00FF3ED0"/>
    <w:rsid w:val="0214115D"/>
    <w:rsid w:val="021638FF"/>
    <w:rsid w:val="03414696"/>
    <w:rsid w:val="03512138"/>
    <w:rsid w:val="03601FB3"/>
    <w:rsid w:val="039C38C9"/>
    <w:rsid w:val="042164CE"/>
    <w:rsid w:val="04E52A76"/>
    <w:rsid w:val="05F22C89"/>
    <w:rsid w:val="06106E72"/>
    <w:rsid w:val="069D5D39"/>
    <w:rsid w:val="08AA52A1"/>
    <w:rsid w:val="08E86522"/>
    <w:rsid w:val="092D24FA"/>
    <w:rsid w:val="092F0AAB"/>
    <w:rsid w:val="09ED2331"/>
    <w:rsid w:val="0A466602"/>
    <w:rsid w:val="0A8950AC"/>
    <w:rsid w:val="0AC36EF4"/>
    <w:rsid w:val="0B874659"/>
    <w:rsid w:val="0B8F188F"/>
    <w:rsid w:val="0C346708"/>
    <w:rsid w:val="0CA167B6"/>
    <w:rsid w:val="0CD73E67"/>
    <w:rsid w:val="0D0E6BBE"/>
    <w:rsid w:val="0D6F2380"/>
    <w:rsid w:val="0E2B5744"/>
    <w:rsid w:val="0EAA77E3"/>
    <w:rsid w:val="0EF406F1"/>
    <w:rsid w:val="0FE74E11"/>
    <w:rsid w:val="0FF46FC4"/>
    <w:rsid w:val="10D579A5"/>
    <w:rsid w:val="10EB1C1B"/>
    <w:rsid w:val="10FB3F55"/>
    <w:rsid w:val="11375AAE"/>
    <w:rsid w:val="115178D0"/>
    <w:rsid w:val="116B1D1A"/>
    <w:rsid w:val="11A161A8"/>
    <w:rsid w:val="126D0D9F"/>
    <w:rsid w:val="1273192D"/>
    <w:rsid w:val="129F528E"/>
    <w:rsid w:val="12C56DF3"/>
    <w:rsid w:val="13654BD8"/>
    <w:rsid w:val="14261BF3"/>
    <w:rsid w:val="14D4173E"/>
    <w:rsid w:val="163A22C9"/>
    <w:rsid w:val="17591AAE"/>
    <w:rsid w:val="176D054E"/>
    <w:rsid w:val="17AF23B1"/>
    <w:rsid w:val="18B015DB"/>
    <w:rsid w:val="18BB24AA"/>
    <w:rsid w:val="19D56C70"/>
    <w:rsid w:val="19F7516F"/>
    <w:rsid w:val="1A1A1148"/>
    <w:rsid w:val="1AC13A14"/>
    <w:rsid w:val="1B241C39"/>
    <w:rsid w:val="1B7031FD"/>
    <w:rsid w:val="1C7362A8"/>
    <w:rsid w:val="1C91006C"/>
    <w:rsid w:val="1CF9497E"/>
    <w:rsid w:val="1D850542"/>
    <w:rsid w:val="1D8C1661"/>
    <w:rsid w:val="1DF408D6"/>
    <w:rsid w:val="1FCF666A"/>
    <w:rsid w:val="201A0BA8"/>
    <w:rsid w:val="22122B33"/>
    <w:rsid w:val="241277AD"/>
    <w:rsid w:val="254D3828"/>
    <w:rsid w:val="25662736"/>
    <w:rsid w:val="25BB714A"/>
    <w:rsid w:val="25E74C2D"/>
    <w:rsid w:val="26483FF3"/>
    <w:rsid w:val="269630DD"/>
    <w:rsid w:val="27361E6A"/>
    <w:rsid w:val="27585817"/>
    <w:rsid w:val="27A7348F"/>
    <w:rsid w:val="27C453DA"/>
    <w:rsid w:val="28B54F68"/>
    <w:rsid w:val="2B260D8A"/>
    <w:rsid w:val="2B7B292D"/>
    <w:rsid w:val="2BED6A90"/>
    <w:rsid w:val="2DEA78EB"/>
    <w:rsid w:val="2E096CF2"/>
    <w:rsid w:val="2EAD6E67"/>
    <w:rsid w:val="2F7876C3"/>
    <w:rsid w:val="30285377"/>
    <w:rsid w:val="309C5F8B"/>
    <w:rsid w:val="30F85B8D"/>
    <w:rsid w:val="31B536EC"/>
    <w:rsid w:val="32E35D15"/>
    <w:rsid w:val="33142BA4"/>
    <w:rsid w:val="3334066D"/>
    <w:rsid w:val="33381B23"/>
    <w:rsid w:val="33B7199E"/>
    <w:rsid w:val="34CA103C"/>
    <w:rsid w:val="36592369"/>
    <w:rsid w:val="372515A5"/>
    <w:rsid w:val="37564C9A"/>
    <w:rsid w:val="38286182"/>
    <w:rsid w:val="38AF1DE7"/>
    <w:rsid w:val="3936513A"/>
    <w:rsid w:val="3A3F46AF"/>
    <w:rsid w:val="3A62146C"/>
    <w:rsid w:val="3B036071"/>
    <w:rsid w:val="3BDE59B9"/>
    <w:rsid w:val="3C9F38C3"/>
    <w:rsid w:val="3D3738AB"/>
    <w:rsid w:val="3D4C565C"/>
    <w:rsid w:val="3DAD7841"/>
    <w:rsid w:val="3DB610FA"/>
    <w:rsid w:val="3E005F74"/>
    <w:rsid w:val="3EAC6E5D"/>
    <w:rsid w:val="416A21AF"/>
    <w:rsid w:val="41864ACD"/>
    <w:rsid w:val="42190948"/>
    <w:rsid w:val="42967735"/>
    <w:rsid w:val="42B5212A"/>
    <w:rsid w:val="43E4769E"/>
    <w:rsid w:val="43FC3A8B"/>
    <w:rsid w:val="448D25A4"/>
    <w:rsid w:val="460574FD"/>
    <w:rsid w:val="473A427C"/>
    <w:rsid w:val="47F54570"/>
    <w:rsid w:val="48D245A1"/>
    <w:rsid w:val="49074099"/>
    <w:rsid w:val="4A1577D2"/>
    <w:rsid w:val="4A19521F"/>
    <w:rsid w:val="4B91378D"/>
    <w:rsid w:val="4B9E4863"/>
    <w:rsid w:val="4C485ACA"/>
    <w:rsid w:val="4D9A282D"/>
    <w:rsid w:val="4DC615D6"/>
    <w:rsid w:val="4E397035"/>
    <w:rsid w:val="4F201E1A"/>
    <w:rsid w:val="4F526987"/>
    <w:rsid w:val="4FA96698"/>
    <w:rsid w:val="4FF402B5"/>
    <w:rsid w:val="504209F0"/>
    <w:rsid w:val="50BE20D0"/>
    <w:rsid w:val="518478C8"/>
    <w:rsid w:val="521B6C73"/>
    <w:rsid w:val="52C73E55"/>
    <w:rsid w:val="52FD261C"/>
    <w:rsid w:val="54071C68"/>
    <w:rsid w:val="546C73A6"/>
    <w:rsid w:val="54920AE8"/>
    <w:rsid w:val="549A2382"/>
    <w:rsid w:val="54D872F0"/>
    <w:rsid w:val="55054A64"/>
    <w:rsid w:val="550A79C5"/>
    <w:rsid w:val="557A6132"/>
    <w:rsid w:val="55BE7D5A"/>
    <w:rsid w:val="567A217D"/>
    <w:rsid w:val="57E200E0"/>
    <w:rsid w:val="583E5402"/>
    <w:rsid w:val="59523AA0"/>
    <w:rsid w:val="59D8403B"/>
    <w:rsid w:val="5A8A715D"/>
    <w:rsid w:val="5ABE2F5D"/>
    <w:rsid w:val="5ACE70E5"/>
    <w:rsid w:val="5B041F62"/>
    <w:rsid w:val="5C5543D8"/>
    <w:rsid w:val="5C99246A"/>
    <w:rsid w:val="5CDE5D96"/>
    <w:rsid w:val="5D926167"/>
    <w:rsid w:val="5DDA2284"/>
    <w:rsid w:val="5E5E5881"/>
    <w:rsid w:val="5EF828A2"/>
    <w:rsid w:val="5F510159"/>
    <w:rsid w:val="5F5E29D3"/>
    <w:rsid w:val="5FA61271"/>
    <w:rsid w:val="5FD20283"/>
    <w:rsid w:val="5FD83F65"/>
    <w:rsid w:val="60122C95"/>
    <w:rsid w:val="60DA6B92"/>
    <w:rsid w:val="62591C47"/>
    <w:rsid w:val="63F6482B"/>
    <w:rsid w:val="64051A7C"/>
    <w:rsid w:val="65337956"/>
    <w:rsid w:val="66D50B36"/>
    <w:rsid w:val="671C044D"/>
    <w:rsid w:val="672B44EA"/>
    <w:rsid w:val="67565131"/>
    <w:rsid w:val="67D42D45"/>
    <w:rsid w:val="69726DEF"/>
    <w:rsid w:val="6A034C42"/>
    <w:rsid w:val="6A661E1B"/>
    <w:rsid w:val="6AAA4F4D"/>
    <w:rsid w:val="6BFB188F"/>
    <w:rsid w:val="6C3809A1"/>
    <w:rsid w:val="6C62665F"/>
    <w:rsid w:val="6C901CA3"/>
    <w:rsid w:val="6D9C100C"/>
    <w:rsid w:val="6DAF700C"/>
    <w:rsid w:val="6EC6673C"/>
    <w:rsid w:val="6ED163D8"/>
    <w:rsid w:val="6EFA30BE"/>
    <w:rsid w:val="6FE905F3"/>
    <w:rsid w:val="70AF15FE"/>
    <w:rsid w:val="72037812"/>
    <w:rsid w:val="727D3AB8"/>
    <w:rsid w:val="72BE7101"/>
    <w:rsid w:val="74A9176D"/>
    <w:rsid w:val="74AE1D51"/>
    <w:rsid w:val="751D0DBC"/>
    <w:rsid w:val="762724C3"/>
    <w:rsid w:val="765E4A78"/>
    <w:rsid w:val="76C0152F"/>
    <w:rsid w:val="773C65E5"/>
    <w:rsid w:val="77A636BF"/>
    <w:rsid w:val="77CD4D53"/>
    <w:rsid w:val="77FD4D19"/>
    <w:rsid w:val="7881764E"/>
    <w:rsid w:val="79A53CB2"/>
    <w:rsid w:val="7AB23100"/>
    <w:rsid w:val="7BBE6D0B"/>
    <w:rsid w:val="7D114E1F"/>
    <w:rsid w:val="7D39235F"/>
    <w:rsid w:val="7EF52AEF"/>
    <w:rsid w:val="7F9B6C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numPr>
        <w:ilvl w:val="2"/>
        <w:numId w:val="1"/>
      </w:numPr>
      <w:adjustRightInd w:val="0"/>
      <w:outlineLvl w:val="2"/>
    </w:pPr>
    <w:rPr>
      <w:rFonts w:ascii="方正仿宋_GBK" w:hAnsi="方正仿宋_GBK" w:eastAsia="方正仿宋_GBK" w:cs="Times New Roman"/>
      <w:bCs/>
      <w:sz w:val="32"/>
      <w:szCs w:val="32"/>
      <w:lang w:val="zh-CN"/>
    </w:rPr>
  </w:style>
  <w:style w:type="paragraph" w:styleId="2">
    <w:name w:val="heading 4"/>
    <w:basedOn w:val="1"/>
    <w:next w:val="1"/>
    <w:link w:val="24"/>
    <w:unhideWhenUsed/>
    <w:qFormat/>
    <w:uiPriority w:val="9"/>
    <w:pPr>
      <w:numPr>
        <w:ilvl w:val="3"/>
        <w:numId w:val="1"/>
      </w:numPr>
      <w:outlineLvl w:val="3"/>
    </w:pPr>
    <w:rPr>
      <w:rFonts w:ascii="方正仿宋_GBK" w:hAnsi="方正仿宋_GBK" w:eastAsia="方正仿宋_GBK" w:cs="Times New Roman"/>
      <w:bCs/>
      <w:sz w:val="32"/>
      <w:szCs w:val="32"/>
      <w:lang w:val="zh-CN"/>
    </w:rPr>
  </w:style>
  <w:style w:type="paragraph" w:styleId="6">
    <w:name w:val="heading 5"/>
    <w:basedOn w:val="1"/>
    <w:next w:val="1"/>
    <w:link w:val="25"/>
    <w:unhideWhenUsed/>
    <w:qFormat/>
    <w:uiPriority w:val="9"/>
    <w:pPr>
      <w:numPr>
        <w:ilvl w:val="4"/>
        <w:numId w:val="1"/>
      </w:numPr>
      <w:outlineLvl w:val="4"/>
    </w:pPr>
    <w:rPr>
      <w:rFonts w:ascii="方正仿宋_GBK" w:hAnsi="方正仿宋_GBK" w:eastAsia="方正仿宋_GBK" w:cs="Times New Roman"/>
      <w:bCs/>
      <w:sz w:val="32"/>
      <w:szCs w:val="32"/>
      <w:lang w:val="zh-CN"/>
    </w:rPr>
  </w:style>
  <w:style w:type="paragraph" w:styleId="7">
    <w:name w:val="heading 6"/>
    <w:basedOn w:val="1"/>
    <w:next w:val="1"/>
    <w:link w:val="26"/>
    <w:unhideWhenUsed/>
    <w:qFormat/>
    <w:uiPriority w:val="9"/>
    <w:pPr>
      <w:numPr>
        <w:ilvl w:val="5"/>
        <w:numId w:val="1"/>
      </w:numPr>
      <w:spacing w:before="240" w:after="64" w:line="319" w:lineRule="auto"/>
      <w:outlineLvl w:val="5"/>
    </w:pPr>
    <w:rPr>
      <w:rFonts w:ascii="方正仿宋_GBK" w:hAnsi="方正仿宋_GBK" w:eastAsia="方正仿宋_GBK" w:cs="Times New Roman"/>
      <w:bCs/>
      <w:sz w:val="32"/>
      <w:szCs w:val="32"/>
      <w:lang w:val="zh-CN"/>
    </w:rPr>
  </w:style>
  <w:style w:type="paragraph" w:styleId="8">
    <w:name w:val="heading 7"/>
    <w:basedOn w:val="1"/>
    <w:next w:val="1"/>
    <w:link w:val="27"/>
    <w:unhideWhenUsed/>
    <w:qFormat/>
    <w:uiPriority w:val="9"/>
    <w:pPr>
      <w:keepNext/>
      <w:keepLines/>
      <w:numPr>
        <w:ilvl w:val="6"/>
        <w:numId w:val="1"/>
      </w:numPr>
      <w:spacing w:before="240" w:after="64" w:line="320" w:lineRule="auto"/>
      <w:outlineLvl w:val="6"/>
    </w:pPr>
    <w:rPr>
      <w:rFonts w:ascii="方正仿宋_GBK" w:hAnsi="方正仿宋_GBK" w:eastAsia="方正仿宋_GBK" w:cs="Times New Roman"/>
      <w:b/>
      <w:bCs/>
      <w:sz w:val="24"/>
      <w:szCs w:val="24"/>
      <w:lang w:val="zh-CN"/>
    </w:rPr>
  </w:style>
  <w:style w:type="paragraph" w:styleId="9">
    <w:name w:val="heading 8"/>
    <w:basedOn w:val="1"/>
    <w:next w:val="1"/>
    <w:link w:val="28"/>
    <w:unhideWhenUsed/>
    <w:qFormat/>
    <w:uiPriority w:val="9"/>
    <w:pPr>
      <w:keepNext/>
      <w:keepLines/>
      <w:numPr>
        <w:ilvl w:val="7"/>
        <w:numId w:val="1"/>
      </w:numPr>
      <w:spacing w:before="240" w:after="64" w:line="320" w:lineRule="auto"/>
      <w:outlineLvl w:val="7"/>
    </w:pPr>
    <w:rPr>
      <w:rFonts w:ascii="Cambria" w:hAnsi="Cambria" w:eastAsia="宋体" w:cs="Times New Roman"/>
      <w:sz w:val="24"/>
      <w:szCs w:val="24"/>
      <w:lang w:val="zh-CN"/>
    </w:rPr>
  </w:style>
  <w:style w:type="paragraph" w:styleId="10">
    <w:name w:val="heading 9"/>
    <w:basedOn w:val="1"/>
    <w:next w:val="1"/>
    <w:link w:val="29"/>
    <w:unhideWhenUsed/>
    <w:qFormat/>
    <w:uiPriority w:val="9"/>
    <w:pPr>
      <w:keepNext/>
      <w:keepLines/>
      <w:spacing w:before="240" w:after="64" w:line="320" w:lineRule="auto"/>
      <w:ind w:left="1584" w:hanging="1584"/>
      <w:outlineLvl w:val="8"/>
    </w:pPr>
    <w:rPr>
      <w:rFonts w:ascii="Cambria" w:hAnsi="Cambria" w:eastAsia="宋体" w:cs="Times New Roman"/>
      <w:szCs w:val="21"/>
      <w:lang w:val="zh-CN"/>
    </w:rPr>
  </w:style>
  <w:style w:type="character" w:default="1" w:styleId="16">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11">
    <w:name w:val="Normal Indent"/>
    <w:basedOn w:val="1"/>
    <w:unhideWhenUsed/>
    <w:qFormat/>
    <w:uiPriority w:val="99"/>
    <w:pPr>
      <w:widowControl/>
      <w:spacing w:line="600" w:lineRule="exact"/>
      <w:ind w:firstLine="420" w:firstLineChars="200"/>
    </w:pPr>
    <w:rPr>
      <w:rFonts w:ascii="Times New Roman" w:hAnsi="Times New Roman" w:eastAsia="方正仿宋_GBK" w:cs="Times New Roman"/>
      <w:sz w:val="32"/>
    </w:rPr>
  </w:style>
  <w:style w:type="paragraph" w:styleId="12">
    <w:name w:val="Body Text"/>
    <w:basedOn w:val="1"/>
    <w:link w:val="30"/>
    <w:qFormat/>
    <w:uiPriority w:val="1"/>
    <w:pPr>
      <w:ind w:left="100" w:firstLine="559"/>
      <w:jc w:val="left"/>
    </w:pPr>
    <w:rPr>
      <w:rFonts w:ascii="宋体" w:hAnsi="宋体" w:eastAsia="宋体"/>
      <w:kern w:val="0"/>
      <w:sz w:val="28"/>
      <w:szCs w:val="28"/>
      <w:lang w:eastAsia="en-US"/>
    </w:rPr>
  </w:style>
  <w:style w:type="paragraph" w:styleId="13">
    <w:name w:val="Balloon Text"/>
    <w:basedOn w:val="1"/>
    <w:link w:val="33"/>
    <w:unhideWhenUsed/>
    <w:qFormat/>
    <w:uiPriority w:val="99"/>
    <w:rPr>
      <w:sz w:val="18"/>
      <w:szCs w:val="18"/>
    </w:rPr>
  </w:style>
  <w:style w:type="paragraph" w:styleId="14">
    <w:name w:val="footer"/>
    <w:basedOn w:val="1"/>
    <w:unhideWhenUsed/>
    <w:qFormat/>
    <w:uiPriority w:val="99"/>
    <w:pPr>
      <w:tabs>
        <w:tab w:val="center" w:pos="4153"/>
        <w:tab w:val="right" w:pos="8306"/>
      </w:tabs>
      <w:snapToGrid w:val="0"/>
      <w:jc w:val="left"/>
    </w:pPr>
    <w:rPr>
      <w:sz w:val="18"/>
    </w:rPr>
  </w:style>
  <w:style w:type="paragraph" w:styleId="1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9">
    <w:name w:val="cg公文-0"/>
    <w:basedOn w:val="1"/>
    <w:qFormat/>
    <w:uiPriority w:val="0"/>
    <w:pPr>
      <w:widowControl/>
      <w:spacing w:line="300" w:lineRule="auto"/>
      <w:ind w:firstLine="560" w:firstLineChars="200"/>
    </w:pPr>
    <w:rPr>
      <w:rFonts w:ascii="仿宋" w:hAnsi="仿宋" w:eastAsia="仿宋" w:cs="宋体"/>
      <w:color w:val="000000"/>
      <w:kern w:val="0"/>
      <w:sz w:val="28"/>
      <w:szCs w:val="28"/>
    </w:rPr>
  </w:style>
  <w:style w:type="paragraph" w:customStyle="1" w:styleId="20">
    <w:name w:val="Table Paragraph"/>
    <w:basedOn w:val="1"/>
    <w:qFormat/>
    <w:uiPriority w:val="1"/>
    <w:pPr>
      <w:jc w:val="left"/>
    </w:pPr>
    <w:rPr>
      <w:kern w:val="0"/>
      <w:sz w:val="22"/>
      <w:lang w:eastAsia="en-US"/>
    </w:rPr>
  </w:style>
  <w:style w:type="character" w:customStyle="1" w:styleId="21">
    <w:name w:val="标题 1 Char"/>
    <w:basedOn w:val="16"/>
    <w:link w:val="3"/>
    <w:qFormat/>
    <w:uiPriority w:val="9"/>
    <w:rPr>
      <w:b/>
      <w:bCs/>
      <w:kern w:val="44"/>
      <w:sz w:val="44"/>
      <w:szCs w:val="44"/>
    </w:rPr>
  </w:style>
  <w:style w:type="character" w:customStyle="1" w:styleId="22">
    <w:name w:val="标题 2 Char"/>
    <w:basedOn w:val="16"/>
    <w:link w:val="4"/>
    <w:qFormat/>
    <w:uiPriority w:val="9"/>
    <w:rPr>
      <w:rFonts w:asciiTheme="majorHAnsi" w:hAnsiTheme="majorHAnsi" w:eastAsiaTheme="majorEastAsia" w:cstheme="majorBidi"/>
      <w:b/>
      <w:bCs/>
      <w:sz w:val="32"/>
      <w:szCs w:val="32"/>
    </w:rPr>
  </w:style>
  <w:style w:type="character" w:customStyle="1" w:styleId="23">
    <w:name w:val="标题 3 Char"/>
    <w:basedOn w:val="16"/>
    <w:link w:val="5"/>
    <w:qFormat/>
    <w:uiPriority w:val="9"/>
    <w:rPr>
      <w:rFonts w:ascii="方正仿宋_GBK" w:hAnsi="方正仿宋_GBK" w:eastAsia="方正仿宋_GBK" w:cs="Times New Roman"/>
      <w:bCs/>
      <w:sz w:val="32"/>
      <w:szCs w:val="32"/>
      <w:lang w:val="zh-CN" w:eastAsia="zh-CN"/>
    </w:rPr>
  </w:style>
  <w:style w:type="character" w:customStyle="1" w:styleId="24">
    <w:name w:val="标题 4 Char"/>
    <w:basedOn w:val="16"/>
    <w:link w:val="2"/>
    <w:qFormat/>
    <w:uiPriority w:val="9"/>
    <w:rPr>
      <w:rFonts w:ascii="方正仿宋_GBK" w:hAnsi="方正仿宋_GBK" w:eastAsia="方正仿宋_GBK" w:cs="Times New Roman"/>
      <w:bCs/>
      <w:sz w:val="32"/>
      <w:szCs w:val="32"/>
      <w:lang w:val="zh-CN" w:eastAsia="zh-CN"/>
    </w:rPr>
  </w:style>
  <w:style w:type="character" w:customStyle="1" w:styleId="25">
    <w:name w:val="标题 5 Char"/>
    <w:basedOn w:val="16"/>
    <w:link w:val="6"/>
    <w:qFormat/>
    <w:uiPriority w:val="9"/>
    <w:rPr>
      <w:rFonts w:ascii="方正仿宋_GBK" w:hAnsi="方正仿宋_GBK" w:eastAsia="方正仿宋_GBK" w:cs="Times New Roman"/>
      <w:bCs/>
      <w:sz w:val="32"/>
      <w:szCs w:val="32"/>
      <w:lang w:val="zh-CN" w:eastAsia="zh-CN"/>
    </w:rPr>
  </w:style>
  <w:style w:type="character" w:customStyle="1" w:styleId="26">
    <w:name w:val="标题 6 Char"/>
    <w:basedOn w:val="16"/>
    <w:link w:val="7"/>
    <w:qFormat/>
    <w:uiPriority w:val="9"/>
    <w:rPr>
      <w:rFonts w:ascii="方正仿宋_GBK" w:hAnsi="方正仿宋_GBK" w:eastAsia="方正仿宋_GBK" w:cs="Times New Roman"/>
      <w:bCs/>
      <w:sz w:val="32"/>
      <w:szCs w:val="32"/>
      <w:lang w:val="zh-CN" w:eastAsia="zh-CN"/>
    </w:rPr>
  </w:style>
  <w:style w:type="character" w:customStyle="1" w:styleId="27">
    <w:name w:val="标题 7 Char"/>
    <w:basedOn w:val="16"/>
    <w:link w:val="8"/>
    <w:semiHidden/>
    <w:qFormat/>
    <w:uiPriority w:val="9"/>
    <w:rPr>
      <w:rFonts w:ascii="方正仿宋_GBK" w:hAnsi="方正仿宋_GBK" w:eastAsia="方正仿宋_GBK" w:cs="Times New Roman"/>
      <w:b/>
      <w:bCs/>
      <w:sz w:val="24"/>
      <w:szCs w:val="24"/>
      <w:lang w:val="zh-CN" w:eastAsia="zh-CN"/>
    </w:rPr>
  </w:style>
  <w:style w:type="character" w:customStyle="1" w:styleId="28">
    <w:name w:val="标题 8 Char"/>
    <w:basedOn w:val="16"/>
    <w:link w:val="9"/>
    <w:semiHidden/>
    <w:qFormat/>
    <w:uiPriority w:val="9"/>
    <w:rPr>
      <w:rFonts w:ascii="Cambria" w:hAnsi="Cambria" w:eastAsia="宋体" w:cs="Times New Roman"/>
      <w:sz w:val="24"/>
      <w:szCs w:val="24"/>
      <w:lang w:val="zh-CN" w:eastAsia="zh-CN"/>
    </w:rPr>
  </w:style>
  <w:style w:type="character" w:customStyle="1" w:styleId="29">
    <w:name w:val="标题 9 Char"/>
    <w:basedOn w:val="16"/>
    <w:link w:val="10"/>
    <w:semiHidden/>
    <w:qFormat/>
    <w:uiPriority w:val="9"/>
    <w:rPr>
      <w:rFonts w:ascii="Cambria" w:hAnsi="Cambria" w:eastAsia="宋体" w:cs="Times New Roman"/>
      <w:szCs w:val="21"/>
      <w:lang w:val="zh-CN" w:eastAsia="zh-CN"/>
    </w:rPr>
  </w:style>
  <w:style w:type="character" w:customStyle="1" w:styleId="30">
    <w:name w:val="正文文本 Char"/>
    <w:basedOn w:val="16"/>
    <w:link w:val="12"/>
    <w:qFormat/>
    <w:uiPriority w:val="1"/>
    <w:rPr>
      <w:rFonts w:ascii="宋体" w:hAnsi="宋体" w:eastAsia="宋体"/>
      <w:kern w:val="0"/>
      <w:sz w:val="28"/>
      <w:szCs w:val="28"/>
      <w:lang w:eastAsia="en-US"/>
    </w:rPr>
  </w:style>
  <w:style w:type="paragraph" w:customStyle="1" w:styleId="31">
    <w:name w:val="List Paragraph"/>
    <w:basedOn w:val="1"/>
    <w:qFormat/>
    <w:uiPriority w:val="1"/>
    <w:pPr>
      <w:ind w:firstLine="420" w:firstLineChars="200"/>
    </w:pPr>
  </w:style>
  <w:style w:type="paragraph" w:customStyle="1" w:styleId="32">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33">
    <w:name w:val="批注框文本 Char"/>
    <w:basedOn w:val="16"/>
    <w:link w:val="1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9"/>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6E927-0446-4810-B55D-8783A691620D}">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9</Pages>
  <Words>545</Words>
  <Characters>3110</Characters>
  <Lines>25</Lines>
  <Paragraphs>7</Paragraphs>
  <ScaleCrop>false</ScaleCrop>
  <LinksUpToDate>false</LinksUpToDate>
  <CharactersWithSpaces>3648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2021-04-11T09:14:00Z</dcterms:created>
  <dc:creator>万斯奇</dc:creator>
  <cp:lastModifiedBy>senxp</cp:lastModifiedBy>
  <cp:lastPrinted>2021-05-06T02:54:00Z</cp:lastPrinted>
  <dcterms:modified xsi:type="dcterms:W3CDTF">2021-05-12T07:06:54Z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