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vertAnchor="page" w:horzAnchor="page" w:tblpX="1593" w:tblpY="2088"/>
        <w:tblW w:w="0" w:type="auto"/>
        <w:jc w:val="center"/>
        <w:tblLayout w:type="fixed"/>
        <w:tblCellMar>
          <w:top w:w="0" w:type="dxa"/>
          <w:left w:w="108" w:type="dxa"/>
          <w:bottom w:w="0" w:type="dxa"/>
          <w:right w:w="108" w:type="dxa"/>
        </w:tblCellMar>
      </w:tblPr>
      <w:tblGrid>
        <w:gridCol w:w="8893"/>
      </w:tblGrid>
      <w:tr w14:paraId="307A92DE">
        <w:tblPrEx>
          <w:tblCellMar>
            <w:top w:w="0" w:type="dxa"/>
            <w:left w:w="108" w:type="dxa"/>
            <w:bottom w:w="0" w:type="dxa"/>
            <w:right w:w="108" w:type="dxa"/>
          </w:tblCellMar>
        </w:tblPrEx>
        <w:trPr>
          <w:trHeight w:val="545" w:hRule="atLeast"/>
          <w:jc w:val="center"/>
        </w:trPr>
        <w:tc>
          <w:tcPr>
            <w:tcW w:w="8893" w:type="dxa"/>
            <w:noWrap w:val="0"/>
            <w:vAlign w:val="top"/>
          </w:tcPr>
          <w:p w14:paraId="143F08F0">
            <w:pPr>
              <w:spacing w:line="600" w:lineRule="exact"/>
              <w:rPr>
                <w:rFonts w:eastAsia="仿宋_GB2312"/>
                <w:szCs w:val="32"/>
              </w:rPr>
            </w:pPr>
          </w:p>
        </w:tc>
      </w:tr>
      <w:tr w14:paraId="5974993F">
        <w:tblPrEx>
          <w:tblCellMar>
            <w:top w:w="0" w:type="dxa"/>
            <w:left w:w="108" w:type="dxa"/>
            <w:bottom w:w="0" w:type="dxa"/>
            <w:right w:w="108" w:type="dxa"/>
          </w:tblCellMar>
        </w:tblPrEx>
        <w:trPr>
          <w:trHeight w:val="545" w:hRule="atLeast"/>
          <w:jc w:val="center"/>
        </w:trPr>
        <w:tc>
          <w:tcPr>
            <w:tcW w:w="8893" w:type="dxa"/>
            <w:noWrap w:val="0"/>
            <w:vAlign w:val="top"/>
          </w:tcPr>
          <w:p w14:paraId="05F7D9E4">
            <w:pPr>
              <w:spacing w:line="600" w:lineRule="exact"/>
              <w:rPr>
                <w:rFonts w:eastAsia="方正黑体_GBK"/>
                <w:szCs w:val="32"/>
              </w:rPr>
            </w:pPr>
          </w:p>
        </w:tc>
      </w:tr>
      <w:tr w14:paraId="7E5CD7CE">
        <w:tblPrEx>
          <w:tblCellMar>
            <w:top w:w="0" w:type="dxa"/>
            <w:left w:w="108" w:type="dxa"/>
            <w:bottom w:w="0" w:type="dxa"/>
            <w:right w:w="108" w:type="dxa"/>
          </w:tblCellMar>
        </w:tblPrEx>
        <w:trPr>
          <w:trHeight w:val="773" w:hRule="exact"/>
          <w:jc w:val="center"/>
        </w:trPr>
        <w:tc>
          <w:tcPr>
            <w:tcW w:w="8893" w:type="dxa"/>
            <w:noWrap w:val="0"/>
            <w:vAlign w:val="center"/>
          </w:tcPr>
          <w:p w14:paraId="23036CA6">
            <w:pPr>
              <w:jc w:val="center"/>
              <w:rPr>
                <w:rFonts w:eastAsia="方正小标宋简体"/>
                <w:color w:val="FF0000"/>
                <w:w w:val="80"/>
              </w:rPr>
            </w:pPr>
          </w:p>
        </w:tc>
      </w:tr>
      <w:tr w14:paraId="3A0E5B3F">
        <w:tblPrEx>
          <w:tblCellMar>
            <w:top w:w="0" w:type="dxa"/>
            <w:left w:w="108" w:type="dxa"/>
            <w:bottom w:w="0" w:type="dxa"/>
            <w:right w:w="108" w:type="dxa"/>
          </w:tblCellMar>
        </w:tblPrEx>
        <w:trPr>
          <w:trHeight w:val="2266" w:hRule="exact"/>
          <w:jc w:val="center"/>
        </w:trPr>
        <w:tc>
          <w:tcPr>
            <w:tcW w:w="8893" w:type="dxa"/>
            <w:noWrap w:val="0"/>
            <w:vAlign w:val="center"/>
          </w:tcPr>
          <w:p w14:paraId="3B5A2D3A">
            <w:pPr>
              <w:jc w:val="center"/>
              <w:rPr>
                <w:rFonts w:hint="eastAsia" w:eastAsia="方正小标宋_GBK"/>
                <w:b/>
                <w:color w:val="FF0000"/>
                <w:w w:val="55"/>
                <w:sz w:val="130"/>
                <w:szCs w:val="130"/>
                <w:lang w:eastAsia="zh-CN"/>
              </w:rPr>
            </w:pPr>
            <w:r>
              <w:rPr>
                <w:rFonts w:eastAsia="方正小标宋_GBK"/>
                <w:b/>
                <w:color w:val="FF0000"/>
                <w:spacing w:val="1"/>
                <w:w w:val="55"/>
                <w:kern w:val="0"/>
                <w:sz w:val="130"/>
                <w:szCs w:val="130"/>
                <w:fitText w:val="7897" w:id="717370559"/>
              </w:rPr>
              <w:t>中共云阳县</w:t>
            </w:r>
            <w:r>
              <w:rPr>
                <w:rFonts w:hint="eastAsia" w:eastAsia="方正小标宋_GBK"/>
                <w:b/>
                <w:color w:val="FF0000"/>
                <w:spacing w:val="1"/>
                <w:w w:val="55"/>
                <w:kern w:val="0"/>
                <w:sz w:val="130"/>
                <w:szCs w:val="130"/>
                <w:fitText w:val="7897" w:id="717370559"/>
                <w:lang w:eastAsia="zh-CN"/>
              </w:rPr>
              <w:t>栖霞镇委员</w:t>
            </w:r>
            <w:r>
              <w:rPr>
                <w:rFonts w:hint="eastAsia" w:eastAsia="方正小标宋_GBK"/>
                <w:b/>
                <w:color w:val="FF0000"/>
                <w:spacing w:val="0"/>
                <w:w w:val="55"/>
                <w:kern w:val="0"/>
                <w:sz w:val="130"/>
                <w:szCs w:val="130"/>
                <w:fitText w:val="7897" w:id="717370559"/>
                <w:lang w:eastAsia="zh-CN"/>
              </w:rPr>
              <w:t>会</w:t>
            </w:r>
          </w:p>
        </w:tc>
      </w:tr>
      <w:tr w14:paraId="6B89B16B">
        <w:tblPrEx>
          <w:tblCellMar>
            <w:top w:w="0" w:type="dxa"/>
            <w:left w:w="108" w:type="dxa"/>
            <w:bottom w:w="0" w:type="dxa"/>
            <w:right w:w="108" w:type="dxa"/>
          </w:tblCellMar>
        </w:tblPrEx>
        <w:trPr>
          <w:trHeight w:val="1236" w:hRule="exact"/>
          <w:jc w:val="center"/>
        </w:trPr>
        <w:tc>
          <w:tcPr>
            <w:tcW w:w="8893" w:type="dxa"/>
            <w:noWrap w:val="0"/>
            <w:vAlign w:val="bottom"/>
          </w:tcPr>
          <w:p w14:paraId="6C760897">
            <w:pPr>
              <w:spacing w:line="540" w:lineRule="exact"/>
              <w:jc w:val="center"/>
              <w:rPr>
                <w:rFonts w:eastAsia="方正仿宋_GBK"/>
                <w:szCs w:val="32"/>
              </w:rPr>
            </w:pPr>
            <w:r>
              <w:rPr>
                <w:rFonts w:hint="eastAsia" w:ascii="方正仿宋_GBK" w:eastAsia="方正仿宋_GBK"/>
                <w:sz w:val="32"/>
                <w:szCs w:val="32"/>
              </w:rPr>
              <w:t>栖霞委文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方正仿宋_GBK" w:eastAsia="方正仿宋_GBK"/>
                <w:sz w:val="32"/>
                <w:szCs w:val="32"/>
              </w:rPr>
              <w:t xml:space="preserve">号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签发人：</w:t>
            </w:r>
            <w:r>
              <w:rPr>
                <w:rFonts w:hint="eastAsia" w:ascii="方正楷体_GBK" w:eastAsia="方正楷体_GBK"/>
                <w:sz w:val="32"/>
                <w:szCs w:val="32"/>
                <w:lang w:eastAsia="zh-CN"/>
              </w:rPr>
              <w:t>周志高</w:t>
            </w:r>
            <w:r>
              <w:rPr>
                <w:rFonts w:hint="eastAsia" w:ascii="方正楷体_GBK" w:eastAsia="方正楷体_GBK"/>
                <w:sz w:val="32"/>
                <w:szCs w:val="32"/>
                <w:lang w:val="en-US" w:eastAsia="zh-CN"/>
              </w:rPr>
              <w:t xml:space="preserve">  </w:t>
            </w:r>
          </w:p>
          <w:p w14:paraId="4AA550AD">
            <w:pPr>
              <w:spacing w:line="540" w:lineRule="exact"/>
              <w:jc w:val="center"/>
              <w:rPr>
                <w:rFonts w:eastAsia="仿宋_GB2312"/>
                <w:sz w:val="52"/>
                <w:szCs w:val="52"/>
              </w:rPr>
            </w:pPr>
            <w:r>
              <w:rPr>
                <w:rFonts w:eastAsia="仿宋_GB2312"/>
                <w:sz w:val="21"/>
                <w:szCs w:val="22"/>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161925</wp:posOffset>
                      </wp:positionV>
                      <wp:extent cx="2536190" cy="0"/>
                      <wp:effectExtent l="0" t="13970" r="16510" b="24130"/>
                      <wp:wrapNone/>
                      <wp:docPr id="3" name="直接连接符 3"/>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pt;margin-top:12.75pt;height:0pt;width:199.7pt;z-index:251659264;mso-width-relative:page;mso-height-relative:page;" filled="f" stroked="t" coordsize="21600,21600" o:gfxdata="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GcVmPWAAAACQEAAA8AAAAAAAAAAQAgAAAAIgAAAGRycy9kb3ducmV2LnhtbFBL&#10;AQIUABQAAAAIAIdO4kCf3vBX+AEAAOUDAAAOAAAAAAAAAAEAIAAAACUBAABkcnMvZTJvRG9jLnht&#10;bFBLBQYAAAAABgAGAFkBAACPBQAAAAA=&#10;">
                      <v:fill on="f" focussize="0,0"/>
                      <v:stroke weight="2.25pt" color="#FF0000" joinstyle="round"/>
                      <v:imagedata o:title=""/>
                      <o:lock v:ext="edit" aspectratio="f"/>
                    </v:line>
                  </w:pict>
                </mc:Fallback>
              </mc:AlternateContent>
            </w:r>
            <w:r>
              <w:rPr>
                <w:rFonts w:eastAsia="仿宋_GB2312"/>
                <w:sz w:val="21"/>
                <w:szCs w:val="22"/>
              </w:rPr>
              <mc:AlternateContent>
                <mc:Choice Requires="wps">
                  <w:drawing>
                    <wp:anchor distT="0" distB="0" distL="114300" distR="114300" simplePos="0" relativeHeight="251660288" behindDoc="0" locked="0" layoutInCell="1" allowOverlap="1">
                      <wp:simplePos x="0" y="0"/>
                      <wp:positionH relativeFrom="column">
                        <wp:posOffset>3073400</wp:posOffset>
                      </wp:positionH>
                      <wp:positionV relativeFrom="paragraph">
                        <wp:posOffset>165735</wp:posOffset>
                      </wp:positionV>
                      <wp:extent cx="2535555" cy="3810"/>
                      <wp:effectExtent l="0" t="0" r="0" b="0"/>
                      <wp:wrapNone/>
                      <wp:docPr id="4" name="直接连接符 4"/>
                      <wp:cNvGraphicFramePr/>
                      <a:graphic xmlns:a="http://schemas.openxmlformats.org/drawingml/2006/main">
                        <a:graphicData uri="http://schemas.microsoft.com/office/word/2010/wordprocessingShape">
                          <wps:wsp>
                            <wps:cNvCnPr/>
                            <wps:spPr>
                              <a:xfrm>
                                <a:off x="0" y="0"/>
                                <a:ext cx="2535555" cy="381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pt;margin-top:13.05pt;height:0.3pt;width:199.65pt;z-index:251660288;mso-width-relative:page;mso-height-relative:page;" filled="f" stroked="t" coordsize="21600,21600" o:gfxdata="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MkxR2AAAAAkBAAAPAAAAAAAAAAEAIAAAACIAAABkcnMvZG93bnJldi54&#10;bWxQSwECFAAUAAAACACHTuJArAbCdPoBAADoAwAADgAAAAAAAAABACAAAAAnAQAAZHJzL2Uyb0Rv&#10;Yy54bWxQSwUGAAAAAAYABgBZAQAAkwUAAAAA&#10;">
                      <v:fill on="f" focussize="0,0"/>
                      <v:stroke weight="2.25pt" color="#FF0000" joinstyle="round"/>
                      <v:imagedata o:title=""/>
                      <o:lock v:ext="edit" aspectratio="f"/>
                    </v:line>
                  </w:pict>
                </mc:Fallback>
              </mc:AlternateContent>
            </w:r>
            <w:r>
              <w:rPr>
                <w:rFonts w:hAnsi="宋体" w:eastAsia="仿宋_GB2312"/>
                <w:b/>
                <w:color w:val="FF0000"/>
                <w:sz w:val="52"/>
                <w:szCs w:val="52"/>
              </w:rPr>
              <w:t>★</w:t>
            </w:r>
          </w:p>
        </w:tc>
      </w:tr>
    </w:tbl>
    <w:p w14:paraId="478425F8">
      <w:pPr>
        <w:keepNext w:val="0"/>
        <w:keepLines w:val="0"/>
        <w:pageBreakBefore w:val="0"/>
        <w:widowControl w:val="0"/>
        <w:kinsoku/>
        <w:wordWrap/>
        <w:overflowPunct/>
        <w:topLinePunct w:val="0"/>
        <w:autoSpaceDE/>
        <w:autoSpaceDN/>
        <w:bidi w:val="0"/>
        <w:adjustRightInd w:val="0"/>
        <w:snapToGrid w:val="0"/>
        <w:spacing w:line="580" w:lineRule="exact"/>
        <w:ind w:firstLine="880" w:firstLineChars="200"/>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p>
    <w:p w14:paraId="015ABC5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中共云阳县栖霞镇委员会</w:t>
      </w:r>
    </w:p>
    <w:p w14:paraId="607EF2E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24"/>
          <w:kern w:val="0"/>
          <w:sz w:val="44"/>
          <w:szCs w:val="44"/>
          <w:fitText w:val="4840" w:id="2011189727"/>
          <w:lang w:val="en-US" w:eastAsia="zh-CN"/>
          <w14:textFill>
            <w14:solidFill>
              <w14:schemeClr w14:val="tx1"/>
            </w14:solidFill>
          </w14:textFill>
        </w:rPr>
        <w:t>云阳县栖霞镇人民政</w:t>
      </w:r>
      <w:r>
        <w:rPr>
          <w:rFonts w:hint="eastAsia" w:ascii="方正小标宋_GBK" w:hAnsi="方正小标宋_GBK" w:eastAsia="方正小标宋_GBK" w:cs="方正小标宋_GBK"/>
          <w:color w:val="000000" w:themeColor="text1"/>
          <w:spacing w:val="4"/>
          <w:kern w:val="0"/>
          <w:sz w:val="44"/>
          <w:szCs w:val="44"/>
          <w:fitText w:val="4840" w:id="2011189727"/>
          <w:lang w:val="en-US" w:eastAsia="zh-CN"/>
          <w14:textFill>
            <w14:solidFill>
              <w14:schemeClr w14:val="tx1"/>
            </w14:solidFill>
          </w14:textFill>
        </w:rPr>
        <w:t>府</w:t>
      </w:r>
    </w:p>
    <w:p w14:paraId="7F16D64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年度法治政府建设情况</w:t>
      </w:r>
      <w:r>
        <w:rPr>
          <w:rFonts w:hint="default" w:ascii="Times New Roman" w:hAnsi="Times New Roman" w:eastAsia="方正小标宋_GBK" w:cs="Times New Roman"/>
          <w:color w:val="000000" w:themeColor="text1"/>
          <w:sz w:val="44"/>
          <w:szCs w:val="44"/>
          <w14:textFill>
            <w14:solidFill>
              <w14:schemeClr w14:val="tx1"/>
            </w14:solidFill>
          </w14:textFill>
        </w:rPr>
        <w:t>的报</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告</w:t>
      </w:r>
    </w:p>
    <w:p w14:paraId="4BA8CC4E">
      <w:pPr>
        <w:spacing w:line="578" w:lineRule="exact"/>
        <w:ind w:firstLine="420" w:firstLineChars="200"/>
        <w:rPr>
          <w:rFonts w:ascii="方正黑体_GBK" w:hAnsi="方正黑体_GBK" w:eastAsia="方正黑体_GBK" w:cs="方正黑体_GBK"/>
          <w:color w:val="000000" w:themeColor="text1"/>
          <w14:textFill>
            <w14:solidFill>
              <w14:schemeClr w14:val="tx1"/>
            </w14:solidFill>
          </w14:textFill>
        </w:rPr>
      </w:pPr>
    </w:p>
    <w:p w14:paraId="33854EA6">
      <w:pPr>
        <w:keepNext w:val="0"/>
        <w:keepLines w:val="0"/>
        <w:pageBreakBefore w:val="0"/>
        <w:kinsoku/>
        <w:wordWrap/>
        <w:overflowPunct/>
        <w:topLinePunct w:val="0"/>
        <w:autoSpaceDE/>
        <w:autoSpaceDN/>
        <w:bidi w:val="0"/>
        <w:adjustRightInd w:val="0"/>
        <w:snapToGrid w:val="0"/>
        <w:spacing w:line="578" w:lineRule="exact"/>
        <w:textAlignment w:val="auto"/>
        <w:rPr>
          <w:rFonts w:ascii="方正仿宋_GBK" w:hAnsi="方正小标宋_GBK" w:eastAsia="方正仿宋_GBK" w:cs="方正小标宋_GBK"/>
          <w:color w:val="000000" w:themeColor="text1"/>
          <w:sz w:val="32"/>
          <w:szCs w:val="32"/>
          <w14:textFill>
            <w14:solidFill>
              <w14:schemeClr w14:val="tx1"/>
            </w14:solidFill>
          </w14:textFill>
        </w:rPr>
      </w:pPr>
      <w:r>
        <w:rPr>
          <w:rFonts w:hint="eastAsia" w:ascii="方正仿宋_GBK" w:hAnsi="方正小标宋_GBK" w:eastAsia="方正仿宋_GBK" w:cs="方正小标宋_GBK"/>
          <w:color w:val="000000" w:themeColor="text1"/>
          <w:sz w:val="32"/>
          <w:szCs w:val="32"/>
          <w14:textFill>
            <w14:solidFill>
              <w14:schemeClr w14:val="tx1"/>
            </w14:solidFill>
          </w14:textFill>
        </w:rPr>
        <w:t>县委、县政府：</w:t>
      </w:r>
    </w:p>
    <w:p w14:paraId="3AE97BD2">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sz w:val="32"/>
          <w:szCs w:val="32"/>
          <w:lang w:bidi="zh-TW"/>
        </w:rPr>
        <w:t>为</w:t>
      </w:r>
      <w:r>
        <w:rPr>
          <w:rFonts w:hint="default" w:ascii="Times New Roman" w:hAnsi="Times New Roman" w:eastAsia="方正仿宋_GBK" w:cs="Times New Roman"/>
          <w:color w:val="000000"/>
          <w:sz w:val="32"/>
          <w:szCs w:val="32"/>
          <w:lang w:val="zh-TW" w:eastAsia="zh-TW" w:bidi="zh-TW"/>
        </w:rPr>
        <w:t>全面贯彻党的</w:t>
      </w:r>
      <w:r>
        <w:rPr>
          <w:rFonts w:hint="default" w:ascii="Times New Roman" w:hAnsi="Times New Roman" w:eastAsia="方正仿宋_GBK" w:cs="Times New Roman"/>
          <w:color w:val="000000"/>
          <w:sz w:val="32"/>
          <w:szCs w:val="32"/>
          <w:lang w:bidi="zh-TW"/>
        </w:rPr>
        <w:t>二十</w:t>
      </w:r>
      <w:r>
        <w:rPr>
          <w:rFonts w:hint="default" w:ascii="Times New Roman" w:hAnsi="Times New Roman" w:eastAsia="方正仿宋_GBK" w:cs="Times New Roman"/>
          <w:color w:val="000000"/>
          <w:sz w:val="32"/>
          <w:szCs w:val="32"/>
          <w:lang w:val="zh-TW" w:eastAsia="zh-TW" w:bidi="zh-TW"/>
        </w:rPr>
        <w:t>大精神及中央全面依法治国工作会议精神，</w:t>
      </w:r>
      <w:r>
        <w:rPr>
          <w:rFonts w:hint="default" w:ascii="Times New Roman" w:hAnsi="Times New Roman" w:eastAsia="方正仿宋_GBK" w:cs="Times New Roman"/>
          <w:color w:val="000000"/>
          <w:sz w:val="32"/>
          <w:szCs w:val="32"/>
          <w:lang w:bidi="zh-TW"/>
        </w:rPr>
        <w:t>为</w:t>
      </w:r>
      <w:r>
        <w:rPr>
          <w:rFonts w:hint="default" w:ascii="Times New Roman" w:hAnsi="Times New Roman" w:eastAsia="方正仿宋_GBK" w:cs="Times New Roman"/>
          <w:color w:val="000000"/>
          <w:sz w:val="32"/>
          <w:szCs w:val="32"/>
          <w:lang w:val="zh-TW" w:eastAsia="zh-TW" w:bidi="zh-TW"/>
        </w:rPr>
        <w:t>全面贯彻落实党中央、国务院《法治政府建设实施纲要（2021—2025年）》</w:t>
      </w:r>
      <w:r>
        <w:rPr>
          <w:rFonts w:hint="eastAsia" w:ascii="Times New Roman" w:hAnsi="Times New Roman" w:eastAsia="方正仿宋_GBK" w:cs="Times New Roman"/>
          <w:color w:val="000000"/>
          <w:sz w:val="32"/>
          <w:szCs w:val="32"/>
          <w:lang w:val="zh-TW" w:eastAsia="zh-CN" w:bidi="zh-TW"/>
        </w:rPr>
        <w:t>，对照</w:t>
      </w:r>
      <w:r>
        <w:rPr>
          <w:rFonts w:hint="eastAsia" w:ascii="Times New Roman" w:hAnsi="Times New Roman" w:eastAsia="方正仿宋_GBK" w:cs="Times New Roman"/>
          <w:color w:val="000000"/>
          <w:sz w:val="32"/>
          <w:szCs w:val="32"/>
          <w:lang w:val="zh-TW" w:eastAsia="zh-TW" w:bidi="zh-TW"/>
        </w:rPr>
        <w:t>《云阳县法治政府建设实施方案》（云阳委发〔2022〕15号）《2023年全县法治政府建设工作要点》（云阳府办发〔2023〕37号）</w:t>
      </w:r>
      <w:r>
        <w:rPr>
          <w:rFonts w:hint="default" w:ascii="Times New Roman" w:hAnsi="Times New Roman" w:eastAsia="方正仿宋_GBK" w:cs="Times New Roman"/>
          <w:color w:val="000000"/>
          <w:sz w:val="32"/>
          <w:szCs w:val="32"/>
          <w:lang w:val="zh-TW" w:eastAsia="zh-TW" w:bidi="zh-TW"/>
        </w:rPr>
        <w:t>的具体要求，我镇切实抓好全面推进</w:t>
      </w:r>
      <w:r>
        <w:rPr>
          <w:rFonts w:hint="eastAsia" w:ascii="Times New Roman" w:hAnsi="Times New Roman" w:eastAsia="方正仿宋_GBK" w:cs="Times New Roman"/>
          <w:color w:val="000000"/>
          <w:sz w:val="32"/>
          <w:szCs w:val="32"/>
          <w:lang w:val="zh-TW" w:eastAsia="zh-TW" w:bidi="zh-TW"/>
        </w:rPr>
        <w:t>法治政府建设</w:t>
      </w:r>
      <w:r>
        <w:rPr>
          <w:rFonts w:hint="default" w:ascii="Times New Roman" w:hAnsi="Times New Roman" w:eastAsia="方正仿宋_GBK" w:cs="Times New Roman"/>
          <w:color w:val="000000"/>
          <w:sz w:val="32"/>
          <w:szCs w:val="32"/>
          <w:lang w:val="zh-TW" w:eastAsia="zh-TW" w:bidi="zh-TW"/>
        </w:rPr>
        <w:t>工作的落实，努力提升依法行政水平，加快建设法治政府，推动法治政府建设迈上新台阶。我镇较好地完成了全年法治政府建设的工作任务，为构建和谐稳定社会提供了法治保障。现将202</w:t>
      </w:r>
      <w:r>
        <w:rPr>
          <w:rFonts w:hint="eastAsia" w:ascii="Times New Roman" w:hAnsi="Times New Roman" w:eastAsia="方正仿宋_GBK" w:cs="Times New Roman"/>
          <w:color w:val="000000"/>
          <w:sz w:val="32"/>
          <w:szCs w:val="32"/>
          <w:lang w:val="en-US" w:eastAsia="zh-CN" w:bidi="zh-TW"/>
        </w:rPr>
        <w:t>3</w:t>
      </w:r>
      <w:r>
        <w:rPr>
          <w:rFonts w:hint="default" w:ascii="Times New Roman" w:hAnsi="Times New Roman" w:eastAsia="方正仿宋_GBK" w:cs="Times New Roman"/>
          <w:color w:val="000000"/>
          <w:sz w:val="32"/>
          <w:szCs w:val="32"/>
          <w:lang w:val="zh-TW" w:eastAsia="zh-TW" w:bidi="zh-TW"/>
        </w:rPr>
        <w:t>年法治政府建设工作情况报告总</w:t>
      </w:r>
      <w:r>
        <w:rPr>
          <w:rFonts w:hint="default" w:ascii="Times New Roman" w:hAnsi="Times New Roman" w:eastAsia="方正仿宋_GBK" w:cs="Times New Roman"/>
          <w:color w:val="000000" w:themeColor="text1"/>
          <w:sz w:val="32"/>
          <w:szCs w:val="32"/>
          <w14:textFill>
            <w14:solidFill>
              <w14:schemeClr w14:val="tx1"/>
            </w14:solidFill>
          </w14:textFill>
        </w:rPr>
        <w:t>结如下：</w:t>
      </w:r>
    </w:p>
    <w:p w14:paraId="5B8D663A">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themeColor="text1"/>
          <w:sz w:val="32"/>
          <w:szCs w:val="32"/>
          <w14:textFill>
            <w14:solidFill>
              <w14:schemeClr w14:val="tx1"/>
            </w14:solidFill>
          </w14:textFill>
        </w:rPr>
        <w:t>一、</w:t>
      </w:r>
      <w:r>
        <w:rPr>
          <w:rFonts w:hint="default" w:ascii="Times New Roman" w:hAnsi="Times New Roman" w:eastAsia="方正黑体_GBK" w:cs="Times New Roman"/>
          <w:sz w:val="32"/>
          <w:szCs w:val="32"/>
        </w:rPr>
        <w:t>202</w:t>
      </w:r>
      <w:r>
        <w:rPr>
          <w:rFonts w:hint="eastAsia"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rPr>
        <w:t>年推进法治</w:t>
      </w:r>
      <w:r>
        <w:rPr>
          <w:rFonts w:hint="eastAsia" w:ascii="Times New Roman" w:hAnsi="Times New Roman" w:eastAsia="方正黑体_GBK" w:cs="Times New Roman"/>
          <w:sz w:val="32"/>
          <w:szCs w:val="32"/>
          <w:lang w:eastAsia="zh-CN"/>
        </w:rPr>
        <w:t>政府</w:t>
      </w:r>
      <w:r>
        <w:rPr>
          <w:rFonts w:hint="default" w:ascii="Times New Roman" w:hAnsi="Times New Roman" w:eastAsia="方正黑体_GBK" w:cs="Times New Roman"/>
          <w:sz w:val="32"/>
          <w:szCs w:val="32"/>
        </w:rPr>
        <w:t>建设的主要举措和成效</w:t>
      </w:r>
    </w:p>
    <w:p w14:paraId="0C9E49B7">
      <w:pPr>
        <w:keepNext w:val="0"/>
        <w:keepLines w:val="0"/>
        <w:pageBreakBefore w:val="0"/>
        <w:numPr>
          <w:ilvl w:val="0"/>
          <w:numId w:val="1"/>
        </w:numPr>
        <w:kinsoku/>
        <w:wordWrap/>
        <w:overflowPunct/>
        <w:topLinePunct w:val="0"/>
        <w:autoSpaceDE/>
        <w:autoSpaceDN/>
        <w:bidi w:val="0"/>
        <w:adjustRightInd w:val="0"/>
        <w:snapToGrid w:val="0"/>
        <w:spacing w:line="578" w:lineRule="exact"/>
        <w:ind w:left="-10" w:leftChars="0" w:firstLine="640" w:firstLineChars="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深入学习贯彻习近平法治思想</w:t>
      </w:r>
      <w:r>
        <w:rPr>
          <w:rFonts w:hint="eastAsia" w:ascii="Times New Roman" w:hAnsi="Times New Roman" w:eastAsia="方正楷体_GBK" w:cs="Times New Roman"/>
          <w:sz w:val="32"/>
          <w:szCs w:val="32"/>
          <w:lang w:eastAsia="zh-CN"/>
        </w:rPr>
        <w:t>。</w:t>
      </w:r>
    </w:p>
    <w:p w14:paraId="13150A8B">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color w:val="000000"/>
          <w:sz w:val="32"/>
          <w:szCs w:val="32"/>
          <w:lang w:eastAsia="zh-CN" w:bidi="zh-TW"/>
        </w:rPr>
      </w:pPr>
      <w:r>
        <w:rPr>
          <w:rFonts w:hint="default" w:ascii="Times New Roman" w:hAnsi="Times New Roman" w:eastAsia="方正仿宋_GBK" w:cs="Times New Roman"/>
          <w:color w:val="000000"/>
          <w:sz w:val="32"/>
          <w:szCs w:val="32"/>
          <w:lang w:val="zh-TW" w:eastAsia="zh-TW" w:bidi="zh-TW"/>
        </w:rPr>
        <w:t>坚持以习近平新时代中国特色社会主义思想为指导，深入学习宣传贯彻习近平法治思想，全面贯彻落实党中央、国务院和</w:t>
      </w:r>
      <w:r>
        <w:rPr>
          <w:rFonts w:hint="default" w:ascii="Times New Roman" w:hAnsi="Times New Roman" w:eastAsia="方正仿宋_GBK" w:cs="Times New Roman"/>
          <w:color w:val="000000"/>
          <w:sz w:val="32"/>
          <w:szCs w:val="32"/>
          <w:lang w:val="zh-TW" w:bidi="zh-TW"/>
        </w:rPr>
        <w:t>市县</w:t>
      </w:r>
      <w:r>
        <w:rPr>
          <w:rFonts w:hint="eastAsia" w:ascii="Times New Roman" w:hAnsi="Times New Roman" w:eastAsia="方正仿宋_GBK" w:cs="Times New Roman"/>
          <w:color w:val="000000"/>
          <w:sz w:val="32"/>
          <w:szCs w:val="32"/>
          <w:lang w:val="zh-TW" w:eastAsia="zh-CN" w:bidi="zh-TW"/>
        </w:rPr>
        <w:t>工作目标和要求</w:t>
      </w:r>
      <w:r>
        <w:rPr>
          <w:rFonts w:hint="default" w:ascii="Times New Roman" w:hAnsi="Times New Roman" w:eastAsia="方正仿宋_GBK" w:cs="Times New Roman"/>
          <w:color w:val="000000"/>
          <w:sz w:val="32"/>
          <w:szCs w:val="32"/>
          <w:lang w:val="zh-TW" w:eastAsia="zh-TW" w:bidi="zh-TW"/>
        </w:rPr>
        <w:t>，推动法治政府建设迈上新台阶</w:t>
      </w:r>
      <w:r>
        <w:rPr>
          <w:rFonts w:hint="default" w:ascii="Times New Roman" w:hAnsi="Times New Roman" w:eastAsia="方正仿宋_GBK" w:cs="Times New Roman"/>
          <w:color w:val="000000"/>
          <w:sz w:val="32"/>
          <w:szCs w:val="32"/>
          <w:lang w:val="zh-TW" w:bidi="zh-TW"/>
        </w:rPr>
        <w:t>。把法治政府建设放在党委</w:t>
      </w:r>
      <w:r>
        <w:rPr>
          <w:rFonts w:hint="eastAsia" w:ascii="Times New Roman" w:hAnsi="Times New Roman" w:eastAsia="方正仿宋_GBK" w:cs="Times New Roman"/>
          <w:color w:val="000000"/>
          <w:sz w:val="32"/>
          <w:szCs w:val="32"/>
          <w:lang w:val="zh-TW" w:eastAsia="zh-CN" w:bidi="zh-TW"/>
        </w:rPr>
        <w:t>、</w:t>
      </w:r>
      <w:r>
        <w:rPr>
          <w:rFonts w:hint="default" w:ascii="Times New Roman" w:hAnsi="Times New Roman" w:eastAsia="方正仿宋_GBK" w:cs="Times New Roman"/>
          <w:color w:val="000000"/>
          <w:sz w:val="32"/>
          <w:szCs w:val="32"/>
          <w:lang w:val="zh-TW" w:bidi="zh-TW"/>
        </w:rPr>
        <w:t>政府全局工作中统筹谋划，全面建设职能科学、权责法定、执法严明、公开公正、智能高效、廉洁诚信、人民满意的法治政府。</w:t>
      </w:r>
      <w:r>
        <w:rPr>
          <w:rFonts w:hint="default" w:ascii="Times New Roman" w:hAnsi="Times New Roman" w:eastAsia="方正仿宋_GBK" w:cs="Times New Roman"/>
          <w:color w:val="000000"/>
          <w:sz w:val="32"/>
          <w:szCs w:val="32"/>
          <w:lang w:bidi="zh-TW"/>
        </w:rPr>
        <w:t>政府</w:t>
      </w:r>
      <w:r>
        <w:rPr>
          <w:rFonts w:hint="eastAsia" w:ascii="Times New Roman" w:hAnsi="Times New Roman" w:eastAsia="方正仿宋_GBK" w:cs="Times New Roman"/>
          <w:color w:val="000000"/>
          <w:sz w:val="32"/>
          <w:szCs w:val="32"/>
          <w:lang w:eastAsia="zh-CN" w:bidi="zh-TW"/>
        </w:rPr>
        <w:t>行政逐年逐步</w:t>
      </w:r>
      <w:r>
        <w:rPr>
          <w:rFonts w:hint="default" w:ascii="Times New Roman" w:hAnsi="Times New Roman" w:eastAsia="方正仿宋_GBK" w:cs="Times New Roman"/>
          <w:color w:val="000000"/>
          <w:sz w:val="32"/>
          <w:szCs w:val="32"/>
          <w:lang w:bidi="zh-TW"/>
        </w:rPr>
        <w:t>全面纳入法治轨道，职责明确、依法行政的政府治理体系日益健全，行政执法体制机制</w:t>
      </w:r>
      <w:r>
        <w:rPr>
          <w:rFonts w:hint="eastAsia" w:ascii="Times New Roman" w:hAnsi="Times New Roman" w:eastAsia="方正仿宋_GBK" w:cs="Times New Roman"/>
          <w:color w:val="000000"/>
          <w:sz w:val="32"/>
          <w:szCs w:val="32"/>
          <w:lang w:eastAsia="zh-CN" w:bidi="zh-TW"/>
        </w:rPr>
        <w:t>逐步</w:t>
      </w:r>
      <w:r>
        <w:rPr>
          <w:rFonts w:hint="default" w:ascii="Times New Roman" w:hAnsi="Times New Roman" w:eastAsia="方正仿宋_GBK" w:cs="Times New Roman"/>
          <w:color w:val="000000"/>
          <w:sz w:val="32"/>
          <w:szCs w:val="32"/>
          <w:lang w:bidi="zh-TW"/>
        </w:rPr>
        <w:t>完善，行政执法质量和效能大幅提升，突发事件应对能力显著增强</w:t>
      </w:r>
      <w:r>
        <w:rPr>
          <w:rFonts w:hint="eastAsia" w:ascii="Times New Roman" w:hAnsi="Times New Roman" w:eastAsia="方正仿宋_GBK" w:cs="Times New Roman"/>
          <w:color w:val="000000"/>
          <w:sz w:val="32"/>
          <w:szCs w:val="32"/>
          <w:lang w:eastAsia="zh-CN" w:bidi="zh-TW"/>
        </w:rPr>
        <w:t>。</w:t>
      </w:r>
    </w:p>
    <w:p w14:paraId="5656DFBA">
      <w:pPr>
        <w:keepNext w:val="0"/>
        <w:keepLines w:val="0"/>
        <w:pageBreakBefore w:val="0"/>
        <w:numPr>
          <w:ilvl w:val="0"/>
          <w:numId w:val="1"/>
        </w:numPr>
        <w:kinsoku/>
        <w:wordWrap/>
        <w:overflowPunct/>
        <w:topLinePunct w:val="0"/>
        <w:autoSpaceDE/>
        <w:autoSpaceDN/>
        <w:bidi w:val="0"/>
        <w:adjustRightInd w:val="0"/>
        <w:snapToGrid w:val="0"/>
        <w:spacing w:line="578" w:lineRule="exact"/>
        <w:ind w:left="-10" w:leftChars="0" w:firstLine="64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深入开展示范创建活动</w:t>
      </w:r>
      <w:r>
        <w:rPr>
          <w:rFonts w:hint="eastAsia" w:ascii="Times New Roman" w:hAnsi="Times New Roman" w:eastAsia="方正楷体_GBK" w:cs="Times New Roman"/>
          <w:sz w:val="32"/>
          <w:szCs w:val="32"/>
          <w:lang w:eastAsia="zh-CN"/>
        </w:rPr>
        <w:t>。</w:t>
      </w:r>
    </w:p>
    <w:p w14:paraId="70F05092">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color w:val="000000"/>
          <w:sz w:val="32"/>
          <w:szCs w:val="32"/>
          <w:lang w:val="zh-TW" w:eastAsia="zh-CN" w:bidi="zh-TW"/>
        </w:rPr>
      </w:pPr>
      <w:r>
        <w:rPr>
          <w:rFonts w:hint="eastAsia" w:ascii="Times New Roman" w:hAnsi="Times New Roman" w:eastAsia="方正仿宋_GBK" w:cs="Times New Roman"/>
          <w:color w:val="000000"/>
          <w:sz w:val="32"/>
          <w:szCs w:val="32"/>
          <w:lang w:val="zh-TW" w:eastAsia="zh-CN" w:bidi="zh-TW"/>
        </w:rPr>
        <w:t>全年积极参与</w:t>
      </w:r>
      <w:r>
        <w:rPr>
          <w:rFonts w:hint="eastAsia" w:ascii="Times New Roman" w:hAnsi="Times New Roman" w:eastAsia="方正仿宋_GBK" w:cs="Times New Roman"/>
          <w:color w:val="000000"/>
          <w:sz w:val="32"/>
          <w:szCs w:val="32"/>
          <w:lang w:val="zh-TW" w:bidi="zh-TW"/>
        </w:rPr>
        <w:t>全市第二批法治政府建设示范创建活动，</w:t>
      </w:r>
      <w:r>
        <w:rPr>
          <w:rFonts w:hint="eastAsia" w:ascii="Times New Roman" w:hAnsi="Times New Roman" w:eastAsia="方正仿宋_GBK" w:cs="Times New Roman"/>
          <w:color w:val="000000"/>
          <w:sz w:val="32"/>
          <w:szCs w:val="32"/>
          <w:lang w:val="zh-TW" w:eastAsia="zh-CN" w:bidi="zh-TW"/>
        </w:rPr>
        <w:t>栖霞镇党委、政府积极履行法治政府建设各项职责，并在创建活动中，主动自查自纠，补缺查漏，改进提升。</w:t>
      </w:r>
    </w:p>
    <w:p w14:paraId="637D61AD">
      <w:pPr>
        <w:keepNext w:val="0"/>
        <w:keepLines w:val="0"/>
        <w:pageBreakBefore w:val="0"/>
        <w:numPr>
          <w:ilvl w:val="0"/>
          <w:numId w:val="1"/>
        </w:numPr>
        <w:kinsoku/>
        <w:wordWrap/>
        <w:overflowPunct/>
        <w:topLinePunct w:val="0"/>
        <w:autoSpaceDE/>
        <w:autoSpaceDN/>
        <w:bidi w:val="0"/>
        <w:adjustRightInd w:val="0"/>
        <w:snapToGrid w:val="0"/>
        <w:spacing w:line="578" w:lineRule="exact"/>
        <w:ind w:left="-10" w:leftChars="0" w:firstLine="640" w:firstLineChars="0"/>
        <w:textAlignment w:val="auto"/>
        <w:rPr>
          <w:rFonts w:hint="default"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扎实</w:t>
      </w:r>
      <w:r>
        <w:rPr>
          <w:rFonts w:hint="default" w:ascii="Times New Roman" w:hAnsi="Times New Roman" w:eastAsia="方正楷体_GBK" w:cs="Times New Roman"/>
          <w:sz w:val="32"/>
          <w:szCs w:val="32"/>
        </w:rPr>
        <w:t>开展专项整治</w:t>
      </w:r>
      <w:r>
        <w:rPr>
          <w:rFonts w:hint="eastAsia" w:ascii="Times New Roman" w:hAnsi="Times New Roman" w:eastAsia="方正楷体_GBK" w:cs="Times New Roman"/>
          <w:sz w:val="32"/>
          <w:szCs w:val="32"/>
          <w:lang w:eastAsia="zh-CN"/>
        </w:rPr>
        <w:t>。</w:t>
      </w:r>
    </w:p>
    <w:p w14:paraId="6E263402">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color w:val="000000"/>
          <w:sz w:val="32"/>
          <w:szCs w:val="32"/>
          <w:lang w:val="zh-TW" w:eastAsia="zh-CN" w:bidi="zh-TW"/>
        </w:rPr>
      </w:pPr>
      <w:r>
        <w:rPr>
          <w:rFonts w:hint="eastAsia" w:ascii="Times New Roman" w:hAnsi="Times New Roman" w:eastAsia="方正仿宋_GBK" w:cs="Times New Roman"/>
          <w:color w:val="000000"/>
          <w:sz w:val="32"/>
          <w:szCs w:val="32"/>
          <w:lang w:val="zh-TW" w:bidi="zh-TW"/>
        </w:rPr>
        <w:t>按照中央依法治国办安排部署，</w:t>
      </w:r>
      <w:r>
        <w:rPr>
          <w:rFonts w:hint="eastAsia" w:ascii="Times New Roman" w:hAnsi="Times New Roman" w:eastAsia="方正仿宋_GBK" w:cs="Times New Roman"/>
          <w:color w:val="000000"/>
          <w:sz w:val="32"/>
          <w:szCs w:val="32"/>
          <w:lang w:val="zh-TW" w:eastAsia="zh-CN" w:bidi="zh-TW"/>
        </w:rPr>
        <w:t>我镇</w:t>
      </w:r>
      <w:r>
        <w:rPr>
          <w:rFonts w:hint="eastAsia" w:ascii="Times New Roman" w:hAnsi="Times New Roman" w:eastAsia="方正仿宋_GBK" w:cs="Times New Roman"/>
          <w:color w:val="000000"/>
          <w:sz w:val="32"/>
          <w:szCs w:val="32"/>
          <w:lang w:val="zh-TW" w:bidi="zh-TW"/>
        </w:rPr>
        <w:t>扎实开展道路交通安全和运输执法领域突出问题专项整治，通过安排部署、线索收集、自查自纠、督察整改、全面总结5个阶段的工作，深入整治“逐利执法”、执法粗暴、执法“寻租”等突出问题，并完成阶段性专项整治任务，着力解决人民群众反映强烈的热点、制约规范公正文明执法的堵点问题。综合运用突击检查、实地暗访、随机抽查等方式，组织开展专项整治工作督</w:t>
      </w:r>
      <w:r>
        <w:rPr>
          <w:rFonts w:hint="eastAsia" w:ascii="Times New Roman" w:hAnsi="Times New Roman" w:eastAsia="方正仿宋_GBK" w:cs="Times New Roman"/>
          <w:color w:val="000000"/>
          <w:sz w:val="32"/>
          <w:szCs w:val="32"/>
          <w:lang w:val="en-US" w:eastAsia="zh-CN" w:bidi="zh-TW"/>
        </w:rPr>
        <w:t>查</w:t>
      </w:r>
      <w:r>
        <w:rPr>
          <w:rFonts w:hint="eastAsia" w:ascii="Times New Roman" w:hAnsi="Times New Roman" w:eastAsia="方正仿宋_GBK" w:cs="Times New Roman"/>
          <w:color w:val="000000"/>
          <w:sz w:val="32"/>
          <w:szCs w:val="32"/>
          <w:lang w:val="zh-TW" w:bidi="zh-TW"/>
        </w:rPr>
        <w:t>，</w:t>
      </w:r>
      <w:r>
        <w:rPr>
          <w:rFonts w:hint="eastAsia" w:ascii="Times New Roman" w:hAnsi="Times New Roman" w:eastAsia="方正仿宋_GBK" w:cs="Times New Roman"/>
          <w:color w:val="000000"/>
          <w:sz w:val="32"/>
          <w:szCs w:val="32"/>
          <w:lang w:val="zh-TW" w:eastAsia="zh-CN" w:bidi="zh-TW"/>
        </w:rPr>
        <w:t>取得一定</w:t>
      </w:r>
      <w:r>
        <w:rPr>
          <w:rFonts w:hint="eastAsia" w:ascii="Times New Roman" w:hAnsi="Times New Roman" w:eastAsia="方正仿宋_GBK" w:cs="Times New Roman"/>
          <w:color w:val="000000"/>
          <w:sz w:val="32"/>
          <w:szCs w:val="32"/>
          <w:lang w:val="zh-TW" w:bidi="zh-TW"/>
        </w:rPr>
        <w:t>实效。</w:t>
      </w:r>
    </w:p>
    <w:p w14:paraId="5CCE85F6">
      <w:pPr>
        <w:keepNext w:val="0"/>
        <w:keepLines w:val="0"/>
        <w:pageBreakBefore w:val="0"/>
        <w:numPr>
          <w:ilvl w:val="0"/>
          <w:numId w:val="1"/>
        </w:numPr>
        <w:kinsoku/>
        <w:wordWrap/>
        <w:overflowPunct/>
        <w:topLinePunct w:val="0"/>
        <w:autoSpaceDE/>
        <w:autoSpaceDN/>
        <w:bidi w:val="0"/>
        <w:adjustRightInd w:val="0"/>
        <w:snapToGrid w:val="0"/>
        <w:spacing w:line="578" w:lineRule="exact"/>
        <w:ind w:left="-10" w:leftChars="0" w:firstLine="64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健全政府机构职能体系，更好发挥政府作用</w:t>
      </w:r>
      <w:r>
        <w:rPr>
          <w:rFonts w:hint="eastAsia" w:ascii="Times New Roman" w:hAnsi="Times New Roman" w:eastAsia="方正楷体_GBK" w:cs="Times New Roman"/>
          <w:sz w:val="32"/>
          <w:szCs w:val="32"/>
          <w:lang w:eastAsia="zh-CN"/>
        </w:rPr>
        <w:t>。</w:t>
      </w:r>
    </w:p>
    <w:p w14:paraId="1AAFA1D5">
      <w:pPr>
        <w:keepNext w:val="0"/>
        <w:keepLines w:val="0"/>
        <w:pageBreakBefore w:val="0"/>
        <w:numPr>
          <w:ilvl w:val="0"/>
          <w:numId w:val="2"/>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依法履行政府职能，构建简约高效的基层管理体制，实行扁平化和网格化管理。</w:t>
      </w:r>
    </w:p>
    <w:p w14:paraId="3126C09D">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履行</w:t>
      </w:r>
      <w:r>
        <w:rPr>
          <w:rFonts w:hint="default" w:ascii="Times New Roman" w:hAnsi="Times New Roman" w:eastAsia="方正仿宋_GBK" w:cs="Times New Roman"/>
          <w:sz w:val="32"/>
          <w:szCs w:val="32"/>
        </w:rPr>
        <w:t>政府权责清单制度，规范统一运行程序和事项要素，落实公开发布、动态调整、考核评估、衔接规范等配套机制。</w:t>
      </w:r>
    </w:p>
    <w:p w14:paraId="5D262C1F">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深化行政审批制度改革。全面普及行政审批服务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马上办、网上办、就近办、一次办、自助办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审批事项在法定期限内完成并不断压缩办理时限。非行政许可审批事项全部取消，不存在以备案、登记、行政确认、征求意见等任何方式设置的变相许可事项。做好上级政府取消、下放行政审批事项的落实和承接工作。</w:t>
      </w:r>
    </w:p>
    <w:p w14:paraId="656393C9">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建立政企沟通</w:t>
      </w:r>
      <w:r>
        <w:rPr>
          <w:rFonts w:hint="eastAsia" w:ascii="Times New Roman" w:hAnsi="Times New Roman" w:eastAsia="方正仿宋_GBK" w:cs="Times New Roman"/>
          <w:sz w:val="32"/>
          <w:szCs w:val="32"/>
          <w:lang w:eastAsia="zh-CN"/>
        </w:rPr>
        <w:t>渠道</w:t>
      </w:r>
      <w:r>
        <w:rPr>
          <w:rFonts w:hint="default" w:ascii="Times New Roman" w:hAnsi="Times New Roman" w:eastAsia="方正仿宋_GBK" w:cs="Times New Roman"/>
          <w:sz w:val="32"/>
          <w:szCs w:val="32"/>
        </w:rPr>
        <w:t>。对法人权利义务有重大影响的行政规范性文件，涉及企业和特定群体、行业利益的，</w:t>
      </w:r>
      <w:r>
        <w:rPr>
          <w:rFonts w:hint="eastAsia" w:ascii="Times New Roman" w:hAnsi="Times New Roman" w:eastAsia="方正仿宋_GBK" w:cs="Times New Roman"/>
          <w:sz w:val="32"/>
          <w:szCs w:val="32"/>
          <w:lang w:eastAsia="zh-CN"/>
        </w:rPr>
        <w:t>开展会议，</w:t>
      </w:r>
      <w:r>
        <w:rPr>
          <w:rFonts w:hint="default" w:ascii="Times New Roman" w:hAnsi="Times New Roman" w:eastAsia="方正仿宋_GBK" w:cs="Times New Roman"/>
          <w:sz w:val="32"/>
          <w:szCs w:val="32"/>
        </w:rPr>
        <w:t>充分听取企业、人民团体、行业协会商会的意见。</w:t>
      </w:r>
    </w:p>
    <w:p w14:paraId="4ADE5ED7">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eastAsia="zh-CN"/>
        </w:rPr>
        <w:t>五</w:t>
      </w:r>
      <w:r>
        <w:rPr>
          <w:rFonts w:hint="default" w:ascii="Times New Roman" w:hAnsi="Times New Roman" w:eastAsia="方正楷体_GBK" w:cs="Times New Roman"/>
          <w:color w:val="000000"/>
          <w:sz w:val="32"/>
          <w:szCs w:val="32"/>
        </w:rPr>
        <w:t>）健全依法行政制度体系，加快推进政府治理规范化程序化法治化</w:t>
      </w:r>
      <w:r>
        <w:rPr>
          <w:rFonts w:hint="default" w:ascii="Times New Roman" w:hAnsi="Times New Roman" w:eastAsia="方正楷体_GBK" w:cs="Times New Roman"/>
          <w:color w:val="000000"/>
          <w:sz w:val="32"/>
          <w:szCs w:val="32"/>
          <w:lang w:eastAsia="zh-CN"/>
        </w:rPr>
        <w:t>。</w:t>
      </w:r>
    </w:p>
    <w:p w14:paraId="36C7CCCC">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坚持</w:t>
      </w:r>
      <w:r>
        <w:rPr>
          <w:rFonts w:hint="default" w:ascii="Times New Roman" w:hAnsi="Times New Roman" w:eastAsia="方正仿宋_GBK" w:cs="Times New Roman"/>
          <w:color w:val="000000"/>
          <w:sz w:val="32"/>
          <w:szCs w:val="32"/>
        </w:rPr>
        <w:t>依法决策。行政机关负责人严格遵循法定权限、执行程序作出决策，确保决策内容符合法律法规和国家政策的规定。</w:t>
      </w:r>
    </w:p>
    <w:p w14:paraId="3963DB8E">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落实决策机制。严格落实《重庆市重大行政决策程序规定》。推行重大行政决策事项年度目录公开制度，除依法不公开的决策事项外，重大行政决策事项年度目录清单应通过政府门户网站向社会公布。落实决策过程记录和材料归档制度，履行决策程序形成的记录、材料及时完整归档，依法规范管理。</w:t>
      </w:r>
    </w:p>
    <w:p w14:paraId="1511EFE9">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加强</w:t>
      </w:r>
      <w:r>
        <w:rPr>
          <w:rFonts w:hint="default" w:ascii="Times New Roman" w:hAnsi="Times New Roman" w:eastAsia="方正仿宋_GBK" w:cs="Times New Roman"/>
          <w:color w:val="000000"/>
          <w:sz w:val="32"/>
          <w:szCs w:val="32"/>
        </w:rPr>
        <w:t>公众参与。重大行政决策</w:t>
      </w:r>
      <w:r>
        <w:rPr>
          <w:rFonts w:hint="eastAsia" w:ascii="Times New Roman" w:hAnsi="Times New Roman" w:eastAsia="方正仿宋_GBK" w:cs="Times New Roman"/>
          <w:color w:val="000000"/>
          <w:sz w:val="32"/>
          <w:szCs w:val="32"/>
          <w:lang w:eastAsia="zh-CN"/>
        </w:rPr>
        <w:t>对外</w:t>
      </w:r>
      <w:r>
        <w:rPr>
          <w:rFonts w:hint="default" w:ascii="Times New Roman" w:hAnsi="Times New Roman" w:eastAsia="方正仿宋_GBK" w:cs="Times New Roman"/>
          <w:color w:val="000000"/>
          <w:sz w:val="32"/>
          <w:szCs w:val="32"/>
        </w:rPr>
        <w:t>公开，除依法应当保密的外，决策事项、依据和结果全部公开，并为公众查阅提供服务，对社会关注度高的决策事项，进行解释说明。除依法不予公开的外，重大行政决策事项充分听取社会公众意见</w:t>
      </w:r>
      <w:r>
        <w:rPr>
          <w:rFonts w:hint="default" w:ascii="Times New Roman" w:hAnsi="Times New Roman" w:eastAsia="方正仿宋_GBK" w:cs="Times New Roman"/>
          <w:sz w:val="32"/>
          <w:szCs w:val="32"/>
        </w:rPr>
        <w:t>，及时、准确地向社会公开行政事务，充分保障群众知情权，接受群众监督。</w:t>
      </w:r>
      <w:r>
        <w:rPr>
          <w:rFonts w:hint="default" w:ascii="Times New Roman" w:hAnsi="Times New Roman" w:eastAsia="方正仿宋_GBK" w:cs="Times New Roman"/>
          <w:color w:val="000000" w:themeColor="text1"/>
          <w:sz w:val="32"/>
          <w:szCs w:val="32"/>
          <w14:textFill>
            <w14:solidFill>
              <w14:schemeClr w14:val="tx1"/>
            </w14:solidFill>
          </w14:textFill>
        </w:rPr>
        <w:t>在增强公众参与实效方面，</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w:t>
      </w:r>
      <w:r>
        <w:rPr>
          <w:rFonts w:hint="default" w:ascii="Times New Roman" w:hAnsi="Times New Roman" w:eastAsia="方正仿宋_GBK" w:cs="Times New Roman"/>
          <w:color w:val="000000" w:themeColor="text1"/>
          <w:sz w:val="32"/>
          <w:szCs w:val="32"/>
          <w14:textFill>
            <w14:solidFill>
              <w14:schemeClr w14:val="tx1"/>
            </w14:solidFill>
          </w14:textFill>
        </w:rPr>
        <w:t>召开人民代表大会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次，实地走访调研，收集代表意见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0多条，通过召开院坝会，党委、政府也广泛听取人民群众意见，为决策的作出提供了有力的社会支持。</w:t>
      </w:r>
    </w:p>
    <w:p w14:paraId="2D6132DA">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eastAsia="zh-CN"/>
        </w:rPr>
        <w:t>六</w:t>
      </w:r>
      <w:r>
        <w:rPr>
          <w:rFonts w:hint="default" w:ascii="Times New Roman" w:hAnsi="Times New Roman" w:eastAsia="方正楷体_GBK" w:cs="Times New Roman"/>
          <w:color w:val="000000"/>
          <w:sz w:val="32"/>
          <w:szCs w:val="32"/>
        </w:rPr>
        <w:t>）健全行政执法工作体系，全面推进严格规范公正文明执法</w:t>
      </w:r>
      <w:r>
        <w:rPr>
          <w:rFonts w:hint="default" w:ascii="Times New Roman" w:hAnsi="Times New Roman" w:eastAsia="方正楷体_GBK" w:cs="Times New Roman"/>
          <w:color w:val="000000"/>
          <w:sz w:val="32"/>
          <w:szCs w:val="32"/>
          <w:lang w:eastAsia="zh-CN"/>
        </w:rPr>
        <w:t>。</w:t>
      </w:r>
    </w:p>
    <w:p w14:paraId="0EB1F7BA">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继续</w:t>
      </w:r>
      <w:r>
        <w:rPr>
          <w:rFonts w:hint="default" w:ascii="Times New Roman" w:hAnsi="Times New Roman" w:eastAsia="方正仿宋_GBK" w:cs="Times New Roman"/>
          <w:color w:val="000000"/>
          <w:sz w:val="32"/>
          <w:szCs w:val="32"/>
        </w:rPr>
        <w:t>推进我镇综合行政执法改革，整合我镇执法力量和资源，</w:t>
      </w:r>
      <w:r>
        <w:rPr>
          <w:rFonts w:hint="eastAsia" w:ascii="Times New Roman" w:hAnsi="Times New Roman" w:eastAsia="方正仿宋_GBK" w:cs="Times New Roman"/>
          <w:color w:val="000000"/>
          <w:sz w:val="32"/>
          <w:szCs w:val="32"/>
          <w:lang w:eastAsia="zh-CN"/>
        </w:rPr>
        <w:t>进一步完善</w:t>
      </w:r>
      <w:r>
        <w:rPr>
          <w:rFonts w:hint="default" w:ascii="Times New Roman" w:hAnsi="Times New Roman" w:eastAsia="方正仿宋_GBK" w:cs="Times New Roman"/>
          <w:color w:val="000000"/>
          <w:sz w:val="32"/>
          <w:szCs w:val="32"/>
        </w:rPr>
        <w:t>“一张清单管权责、一支队伍管执法、一套机制管运行”的基层综合行政执法体系。</w:t>
      </w:r>
    </w:p>
    <w:p w14:paraId="6807FB25">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持续</w:t>
      </w:r>
      <w:r>
        <w:rPr>
          <w:rFonts w:hint="default" w:ascii="Times New Roman" w:hAnsi="Times New Roman" w:eastAsia="方正仿宋_GBK" w:cs="Times New Roman"/>
          <w:color w:val="000000"/>
          <w:sz w:val="32"/>
          <w:szCs w:val="32"/>
        </w:rPr>
        <w:t>加大重点领域执法力度，及时查处食品药品、公共卫生、自然资源、生态环境、安全生产、劳动保障、城市管理、交通运输、金融服务、教育培训等关系群众切身利益的重点领域的违法行为。对人民群众反映强烈的问题，开展集中专项整治。对潜在风险大、可能造成严重不良后果的，加强日常监管和执法巡查，从源头上预防和化解违法风险。</w:t>
      </w:r>
    </w:p>
    <w:p w14:paraId="00A7DD4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全面落实行政执法公示制度。推动执法信息统一在县政府公众信息网站进行公示。建立健全行政执法的事前、事中、事后公开机制，及时依法向社会公开行政执法基本信息、结果信息。我镇全年没有发生一</w:t>
      </w:r>
      <w:r>
        <w:rPr>
          <w:rFonts w:hint="eastAsia" w:ascii="Times New Roman" w:hAnsi="Times New Roman" w:eastAsia="方正仿宋_GBK" w:cs="Times New Roman"/>
          <w:color w:val="000000"/>
          <w:sz w:val="32"/>
          <w:szCs w:val="32"/>
          <w:lang w:eastAsia="zh-CN"/>
        </w:rPr>
        <w:t>例</w:t>
      </w:r>
      <w:r>
        <w:rPr>
          <w:rFonts w:hint="default" w:ascii="Times New Roman" w:hAnsi="Times New Roman" w:eastAsia="方正仿宋_GBK" w:cs="Times New Roman"/>
          <w:color w:val="000000"/>
          <w:sz w:val="32"/>
          <w:szCs w:val="32"/>
        </w:rPr>
        <w:t>重大执法过错。</w:t>
      </w:r>
    </w:p>
    <w:p w14:paraId="31ED69B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完善执法案卷管理制度。</w:t>
      </w:r>
      <w:r>
        <w:rPr>
          <w:rFonts w:hint="eastAsia" w:ascii="Times New Roman" w:hAnsi="Times New Roman" w:eastAsia="方正仿宋_GBK" w:cs="Times New Roman"/>
          <w:color w:val="000000"/>
          <w:sz w:val="32"/>
          <w:szCs w:val="32"/>
          <w:lang w:eastAsia="zh-CN"/>
        </w:rPr>
        <w:t>开展自查自纠，严格</w:t>
      </w:r>
      <w:r>
        <w:rPr>
          <w:rFonts w:hint="default" w:ascii="Times New Roman" w:hAnsi="Times New Roman" w:eastAsia="方正仿宋_GBK" w:cs="Times New Roman"/>
          <w:color w:val="000000"/>
          <w:sz w:val="32"/>
          <w:szCs w:val="32"/>
        </w:rPr>
        <w:t>对执法台账和法律文书的制作、使用</w:t>
      </w:r>
      <w:r>
        <w:rPr>
          <w:rFonts w:hint="eastAsia"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管理，完善行政执法全过程记录制度。</w:t>
      </w:r>
      <w:r>
        <w:rPr>
          <w:rFonts w:hint="default" w:ascii="Times New Roman" w:hAnsi="Times New Roman" w:eastAsia="方正仿宋_GBK" w:cs="Times New Roman"/>
          <w:color w:val="000000" w:themeColor="text1"/>
          <w:sz w:val="32"/>
          <w:szCs w:val="32"/>
          <w14:textFill>
            <w14:solidFill>
              <w14:schemeClr w14:val="tx1"/>
            </w14:solidFill>
          </w14:textFill>
        </w:rPr>
        <w:t>今年我镇完善规范性文件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件的起草、审核、公布、备案等工作，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及时报送县政府法制办、司法局备案。</w:t>
      </w:r>
    </w:p>
    <w:p w14:paraId="14547A62">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严格落实</w:t>
      </w:r>
      <w:r>
        <w:rPr>
          <w:rFonts w:hint="eastAsia" w:ascii="Times New Roman" w:hAnsi="Times New Roman" w:eastAsia="方正仿宋_GBK" w:cs="Times New Roman"/>
          <w:color w:val="000000"/>
          <w:sz w:val="32"/>
          <w:szCs w:val="32"/>
          <w:lang w:eastAsia="zh-CN"/>
        </w:rPr>
        <w:t>规范</w:t>
      </w:r>
      <w:r>
        <w:rPr>
          <w:rFonts w:hint="default" w:ascii="Times New Roman" w:hAnsi="Times New Roman" w:eastAsia="方正仿宋_GBK" w:cs="Times New Roman"/>
          <w:color w:val="000000"/>
          <w:sz w:val="32"/>
          <w:szCs w:val="32"/>
        </w:rPr>
        <w:t>执法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规范适用行政执法依据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规范涉企行政检查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解决涉企现场检查事项多、频次高、随意检查、重复检查等问题，除</w:t>
      </w:r>
      <w:bookmarkStart w:id="0" w:name="_GoBack"/>
      <w:bookmarkEnd w:id="0"/>
      <w:r>
        <w:rPr>
          <w:rFonts w:hint="eastAsia" w:ascii="Times New Roman" w:hAnsi="Times New Roman" w:eastAsia="方正仿宋_GBK" w:cs="Times New Roman"/>
          <w:color w:val="000000"/>
          <w:sz w:val="32"/>
          <w:szCs w:val="32"/>
          <w:lang w:eastAsia="zh-CN"/>
        </w:rPr>
        <w:t>涉及</w:t>
      </w:r>
      <w:r>
        <w:rPr>
          <w:rFonts w:hint="default" w:ascii="Times New Roman" w:hAnsi="Times New Roman" w:eastAsia="方正仿宋_GBK" w:cs="Times New Roman"/>
          <w:color w:val="000000"/>
          <w:sz w:val="32"/>
          <w:szCs w:val="32"/>
        </w:rPr>
        <w:t>重点领域外，所有日常涉企行政检查都纳入执法检查计划。</w:t>
      </w:r>
    </w:p>
    <w:p w14:paraId="1CD9D9E1">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开展柔性执法</w:t>
      </w:r>
      <w:r>
        <w:rPr>
          <w:rFonts w:hint="default" w:ascii="Times New Roman" w:hAnsi="Times New Roman" w:eastAsia="方正仿宋_GBK" w:cs="Times New Roman"/>
          <w:color w:val="000000"/>
          <w:sz w:val="32"/>
          <w:szCs w:val="32"/>
        </w:rPr>
        <w:t>。依法落实轻微违法免罚和初次违法慎罚制度，加强说服教育、劝导示范、警示告诫、指导约谈等非强制性执法手段的运用，尽可能减少对市场主体正常生产经营活动的影响。</w:t>
      </w:r>
    </w:p>
    <w:p w14:paraId="4C28E2BE">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行政监督。加强对职能科室的行政执法监督，及时纠正行政违法行为，提升街道整体依法行政的水平。我镇202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年1月1日至12月31日行政复议案件0件、行政诉讼案件0件。</w:t>
      </w:r>
    </w:p>
    <w:p w14:paraId="539CD9B5">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eastAsia="zh-CN"/>
        </w:rPr>
        <w:t>七</w:t>
      </w:r>
      <w:r>
        <w:rPr>
          <w:rFonts w:hint="default" w:ascii="Times New Roman" w:hAnsi="Times New Roman" w:eastAsia="方正楷体_GBK" w:cs="Times New Roman"/>
          <w:color w:val="000000"/>
          <w:sz w:val="32"/>
          <w:szCs w:val="32"/>
        </w:rPr>
        <w:t>）健全突发事件应对体系，</w:t>
      </w:r>
      <w:r>
        <w:rPr>
          <w:rFonts w:hint="eastAsia" w:ascii="Times New Roman" w:hAnsi="Times New Roman" w:eastAsia="方正楷体_GBK" w:cs="Times New Roman"/>
          <w:color w:val="000000"/>
          <w:sz w:val="32"/>
          <w:szCs w:val="32"/>
          <w:lang w:eastAsia="zh-CN"/>
        </w:rPr>
        <w:t>积极</w:t>
      </w:r>
      <w:r>
        <w:rPr>
          <w:rFonts w:hint="default" w:ascii="Times New Roman" w:hAnsi="Times New Roman" w:eastAsia="方正楷体_GBK" w:cs="Times New Roman"/>
          <w:color w:val="000000"/>
          <w:sz w:val="32"/>
          <w:szCs w:val="32"/>
        </w:rPr>
        <w:t>预防处置重大突发事件</w:t>
      </w:r>
      <w:r>
        <w:rPr>
          <w:rFonts w:hint="default" w:ascii="Times New Roman" w:hAnsi="Times New Roman" w:eastAsia="方正楷体_GBK" w:cs="Times New Roman"/>
          <w:color w:val="000000"/>
          <w:sz w:val="32"/>
          <w:szCs w:val="32"/>
          <w:lang w:eastAsia="zh-CN"/>
        </w:rPr>
        <w:t>。</w:t>
      </w:r>
    </w:p>
    <w:p w14:paraId="368F486A">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完善</w:t>
      </w:r>
      <w:r>
        <w:rPr>
          <w:rFonts w:hint="default" w:ascii="Times New Roman" w:hAnsi="Times New Roman" w:eastAsia="方正仿宋_GBK" w:cs="Times New Roman"/>
          <w:color w:val="000000"/>
          <w:sz w:val="32"/>
          <w:szCs w:val="32"/>
        </w:rPr>
        <w:t>健全应急</w:t>
      </w:r>
      <w:r>
        <w:rPr>
          <w:rFonts w:hint="eastAsia" w:ascii="Times New Roman" w:hAnsi="Times New Roman" w:eastAsia="方正仿宋_GBK" w:cs="Times New Roman"/>
          <w:color w:val="000000"/>
          <w:sz w:val="32"/>
          <w:szCs w:val="32"/>
          <w:lang w:eastAsia="zh-CN"/>
        </w:rPr>
        <w:t>处置</w:t>
      </w:r>
      <w:r>
        <w:rPr>
          <w:rFonts w:hint="default" w:ascii="Times New Roman" w:hAnsi="Times New Roman" w:eastAsia="方正仿宋_GBK" w:cs="Times New Roman"/>
          <w:color w:val="000000"/>
          <w:sz w:val="32"/>
          <w:szCs w:val="32"/>
        </w:rPr>
        <w:t>预案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完善突发公共事件总体和专项应急预案，以及突发事件应急预案管理实施办法和编制</w:t>
      </w:r>
      <w:r>
        <w:rPr>
          <w:rFonts w:hint="eastAsia" w:ascii="Times New Roman" w:hAnsi="Times New Roman" w:eastAsia="方正仿宋_GBK" w:cs="Times New Roman"/>
          <w:color w:val="000000"/>
          <w:sz w:val="32"/>
          <w:szCs w:val="32"/>
          <w:lang w:eastAsia="zh-CN"/>
        </w:rPr>
        <w:t>行动</w:t>
      </w:r>
      <w:r>
        <w:rPr>
          <w:rFonts w:hint="default" w:ascii="Times New Roman" w:hAnsi="Times New Roman" w:eastAsia="方正仿宋_GBK" w:cs="Times New Roman"/>
          <w:color w:val="000000"/>
          <w:sz w:val="32"/>
          <w:szCs w:val="32"/>
        </w:rPr>
        <w:t>指南。</w:t>
      </w:r>
    </w:p>
    <w:p w14:paraId="2E443F5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开展常态化应急演练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重点加强“双盲”演练。完善公共舆情应对、突发事件信息发布等机制，强化突发事件行政公开及危机沟通。</w:t>
      </w:r>
      <w:r>
        <w:rPr>
          <w:rFonts w:hint="default" w:ascii="Times New Roman" w:hAnsi="Times New Roman" w:eastAsia="方正仿宋_GBK" w:cs="Times New Roman"/>
          <w:color w:val="000000" w:themeColor="text1"/>
          <w:sz w:val="32"/>
          <w:szCs w:val="32"/>
          <w14:textFill>
            <w14:solidFill>
              <w14:schemeClr w14:val="tx1"/>
            </w14:solidFill>
          </w14:textFill>
        </w:rPr>
        <w:t>全年完成消防、地灾等演练8次，提高了依法应对和处置群体事件的能力；各村（社区）选拔一批有影响、有能力的调解员充实到调解队伍中来，全年共化解各类矛盾纠纷400余件，真正做到小事不出村、大事不出镇、重点人员稳控在当地的要求。</w:t>
      </w:r>
    </w:p>
    <w:p w14:paraId="0263C121">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整合</w:t>
      </w:r>
      <w:r>
        <w:rPr>
          <w:rFonts w:hint="default" w:ascii="Times New Roman" w:hAnsi="Times New Roman" w:eastAsia="方正仿宋_GBK" w:cs="Times New Roman"/>
          <w:color w:val="000000"/>
          <w:sz w:val="32"/>
          <w:szCs w:val="32"/>
        </w:rPr>
        <w:t>基层组织和社会力量参与突发事件应对。完善我镇应急处置组织体系，结合实际组建多种类应急处置队伍。</w:t>
      </w:r>
      <w:r>
        <w:rPr>
          <w:rFonts w:hint="eastAsia" w:ascii="Times New Roman" w:hAnsi="Times New Roman" w:eastAsia="方正仿宋_GBK" w:cs="Times New Roman"/>
          <w:color w:val="000000"/>
          <w:sz w:val="32"/>
          <w:szCs w:val="32"/>
          <w:lang w:eastAsia="zh-CN"/>
        </w:rPr>
        <w:t>加强</w:t>
      </w:r>
      <w:r>
        <w:rPr>
          <w:rFonts w:hint="default" w:ascii="Times New Roman" w:hAnsi="Times New Roman" w:eastAsia="方正仿宋_GBK" w:cs="Times New Roman"/>
          <w:color w:val="000000"/>
          <w:sz w:val="32"/>
          <w:szCs w:val="32"/>
        </w:rPr>
        <w:t>基层网格员资源，明确应急管理网格工作内容。完善安全隐患和灾害信息直报、定期发布机制，打通应急管理“神经末梢”。</w:t>
      </w:r>
    </w:p>
    <w:p w14:paraId="46EFF5D2">
      <w:pPr>
        <w:keepNext w:val="0"/>
        <w:keepLines w:val="0"/>
        <w:pageBreakBefore w:val="0"/>
        <w:numPr>
          <w:ilvl w:val="0"/>
          <w:numId w:val="0"/>
        </w:numPr>
        <w:kinsoku/>
        <w:wordWrap/>
        <w:overflowPunct/>
        <w:topLinePunct w:val="0"/>
        <w:autoSpaceDE/>
        <w:autoSpaceDN/>
        <w:bidi w:val="0"/>
        <w:adjustRightInd w:val="0"/>
        <w:snapToGrid w:val="0"/>
        <w:spacing w:line="578" w:lineRule="exact"/>
        <w:ind w:left="630" w:leftChars="0"/>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（八）</w:t>
      </w:r>
      <w:r>
        <w:rPr>
          <w:rFonts w:hint="default" w:ascii="Times New Roman" w:hAnsi="Times New Roman" w:eastAsia="方正楷体_GBK" w:cs="Times New Roman"/>
          <w:color w:val="000000"/>
          <w:sz w:val="32"/>
          <w:szCs w:val="32"/>
        </w:rPr>
        <w:t>健全加强行政调解，不断促进社会公平正义</w:t>
      </w:r>
      <w:r>
        <w:rPr>
          <w:rFonts w:hint="default" w:ascii="Times New Roman" w:hAnsi="Times New Roman" w:eastAsia="方正楷体_GBK" w:cs="Times New Roman"/>
          <w:color w:val="000000"/>
          <w:sz w:val="32"/>
          <w:szCs w:val="32"/>
          <w:lang w:eastAsia="zh-CN"/>
        </w:rPr>
        <w:t>。</w:t>
      </w:r>
    </w:p>
    <w:p w14:paraId="120DEF0E">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加强消费者权益保护、交通损害赔偿、治安管理、环境污染、社会保障、房屋土地征收、知识产权等领域的行政调解。</w:t>
      </w:r>
      <w:r>
        <w:rPr>
          <w:rFonts w:hint="eastAsia" w:ascii="Times New Roman" w:hAnsi="Times New Roman" w:eastAsia="方正仿宋_GBK" w:cs="Times New Roman"/>
          <w:color w:val="000000"/>
          <w:sz w:val="32"/>
          <w:szCs w:val="32"/>
          <w:lang w:val="en-US" w:eastAsia="zh-CN"/>
        </w:rPr>
        <w:t>2023年我镇未发生行政调解。</w:t>
      </w:r>
    </w:p>
    <w:p w14:paraId="41283792">
      <w:pPr>
        <w:keepNext w:val="0"/>
        <w:keepLines w:val="0"/>
        <w:pageBreakBefore w:val="0"/>
        <w:numPr>
          <w:ilvl w:val="0"/>
          <w:numId w:val="0"/>
        </w:numPr>
        <w:kinsoku/>
        <w:wordWrap/>
        <w:overflowPunct/>
        <w:topLinePunct w:val="0"/>
        <w:autoSpaceDE/>
        <w:autoSpaceDN/>
        <w:bidi w:val="0"/>
        <w:adjustRightInd w:val="0"/>
        <w:snapToGrid w:val="0"/>
        <w:spacing w:line="578" w:lineRule="exact"/>
        <w:ind w:left="630" w:leftChars="0"/>
        <w:textAlignment w:val="auto"/>
        <w:rPr>
          <w:rFonts w:hint="eastAsia" w:ascii="Times New Roman" w:hAnsi="Times New Roman" w:eastAsia="方正楷体_GBK" w:cs="Times New Roman"/>
          <w:color w:val="000000"/>
          <w:sz w:val="32"/>
          <w:szCs w:val="32"/>
          <w:lang w:eastAsia="zh-CN"/>
        </w:rPr>
      </w:pPr>
      <w:r>
        <w:rPr>
          <w:rFonts w:hint="eastAsia" w:ascii="Times New Roman" w:hAnsi="Times New Roman" w:eastAsia="方正楷体_GBK" w:cs="Times New Roman"/>
          <w:color w:val="000000"/>
          <w:sz w:val="32"/>
          <w:szCs w:val="32"/>
          <w:lang w:eastAsia="zh-CN"/>
        </w:rPr>
        <w:t>（九）</w:t>
      </w:r>
      <w:r>
        <w:rPr>
          <w:rFonts w:hint="default" w:ascii="Times New Roman" w:hAnsi="Times New Roman" w:eastAsia="方正楷体_GBK" w:cs="Times New Roman"/>
          <w:color w:val="000000"/>
          <w:sz w:val="32"/>
          <w:szCs w:val="32"/>
        </w:rPr>
        <w:t>加强党的领导</w:t>
      </w:r>
      <w:r>
        <w:rPr>
          <w:rFonts w:hint="eastAsia" w:ascii="Times New Roman" w:hAnsi="Times New Roman" w:eastAsia="方正楷体_GBK" w:cs="Times New Roman"/>
          <w:color w:val="000000"/>
          <w:sz w:val="32"/>
          <w:szCs w:val="32"/>
          <w:lang w:eastAsia="zh-CN"/>
        </w:rPr>
        <w:t>。</w:t>
      </w:r>
    </w:p>
    <w:p w14:paraId="2EF884C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加强党对法治政府建设的领导。深入学习领会习近平法治思想，把习近平法治思想贯彻落实到法治政府建设全过程和各方面。我镇党委切实履行推进法治政府建设领导职责，及时研究解决制约法治政府建设的重大问题。</w:t>
      </w:r>
    </w:p>
    <w:p w14:paraId="73C692A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将</w:t>
      </w:r>
      <w:r>
        <w:rPr>
          <w:rFonts w:hint="eastAsia" w:ascii="Times New Roman" w:hAnsi="Times New Roman" w:eastAsia="方正仿宋_GBK" w:cs="Times New Roman"/>
          <w:color w:val="000000"/>
          <w:sz w:val="32"/>
          <w:szCs w:val="32"/>
          <w:lang w:eastAsia="zh-CN"/>
        </w:rPr>
        <w:t>法治政府建设</w:t>
      </w:r>
      <w:r>
        <w:rPr>
          <w:rFonts w:hint="default" w:ascii="Times New Roman" w:hAnsi="Times New Roman" w:eastAsia="方正仿宋_GBK" w:cs="Times New Roman"/>
          <w:color w:val="000000"/>
          <w:sz w:val="32"/>
          <w:szCs w:val="32"/>
        </w:rPr>
        <w:t>履行职责情况纳入</w:t>
      </w:r>
      <w:r>
        <w:rPr>
          <w:rFonts w:hint="eastAsia" w:ascii="Times New Roman" w:hAnsi="Times New Roman" w:eastAsia="方正仿宋_GBK" w:cs="Times New Roman"/>
          <w:color w:val="000000"/>
          <w:sz w:val="32"/>
          <w:szCs w:val="32"/>
          <w:lang w:eastAsia="zh-CN"/>
        </w:rPr>
        <w:t>干部</w:t>
      </w:r>
      <w:r>
        <w:rPr>
          <w:rFonts w:hint="default" w:ascii="Times New Roman" w:hAnsi="Times New Roman" w:eastAsia="方正仿宋_GBK" w:cs="Times New Roman"/>
          <w:color w:val="000000"/>
          <w:sz w:val="32"/>
          <w:szCs w:val="32"/>
        </w:rPr>
        <w:t>年终述职内容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我镇各部门主要负责人积极履行推进法治政府建设第一责任人职责，定期部署推动，</w:t>
      </w:r>
      <w:r>
        <w:rPr>
          <w:rFonts w:hint="eastAsia" w:ascii="Times New Roman" w:hAnsi="Times New Roman" w:eastAsia="方正仿宋_GBK" w:cs="Times New Roman"/>
          <w:color w:val="000000"/>
          <w:sz w:val="32"/>
          <w:szCs w:val="32"/>
          <w:lang w:eastAsia="zh-CN"/>
        </w:rPr>
        <w:t>主动</w:t>
      </w:r>
      <w:r>
        <w:rPr>
          <w:rFonts w:hint="default" w:ascii="Times New Roman" w:hAnsi="Times New Roman" w:eastAsia="方正仿宋_GBK" w:cs="Times New Roman"/>
          <w:color w:val="000000"/>
          <w:sz w:val="32"/>
          <w:szCs w:val="32"/>
        </w:rPr>
        <w:t>发挥依法行政的示范带动作用。</w:t>
      </w:r>
    </w:p>
    <w:p w14:paraId="7887BC6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充分发挥领导干部带头尊法学法守法用法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对全社会</w:t>
      </w:r>
      <w:r>
        <w:rPr>
          <w:rFonts w:hint="eastAsia" w:ascii="Times New Roman" w:hAnsi="Times New Roman" w:eastAsia="方正仿宋_GBK" w:cs="Times New Roman"/>
          <w:color w:val="000000"/>
          <w:sz w:val="32"/>
          <w:szCs w:val="32"/>
          <w:lang w:eastAsia="zh-CN"/>
        </w:rPr>
        <w:t>起</w:t>
      </w:r>
      <w:r>
        <w:rPr>
          <w:rFonts w:hint="default" w:ascii="Times New Roman" w:hAnsi="Times New Roman" w:eastAsia="方正仿宋_GBK" w:cs="Times New Roman"/>
          <w:color w:val="000000"/>
          <w:sz w:val="32"/>
          <w:szCs w:val="32"/>
        </w:rPr>
        <w:t>示范带动作用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落实行政机关工作人员应知应会法律法规清单制度，健全领导干部学法用法机制。坚持把民法典作为行政决策、行政管理、行政监督的重要标尺</w:t>
      </w:r>
      <w:r>
        <w:rPr>
          <w:rFonts w:hint="eastAsia" w:ascii="Times New Roman" w:hAnsi="Times New Roman" w:eastAsia="方正仿宋_GBK" w:cs="Times New Roman"/>
          <w:color w:val="000000"/>
          <w:sz w:val="32"/>
          <w:szCs w:val="32"/>
          <w:lang w:eastAsia="zh-CN"/>
        </w:rPr>
        <w:t>，并定期开展学习交流。</w:t>
      </w:r>
    </w:p>
    <w:p w14:paraId="51132828">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开展法律知识培训。我镇领导班子每年举办2期以上法治专题讲座。承担行政执法职能的部门负责人任期内接受一次以上法治专题脱产培训。</w:t>
      </w:r>
      <w:r>
        <w:rPr>
          <w:rFonts w:hint="default" w:ascii="Times New Roman" w:hAnsi="Times New Roman" w:eastAsia="方正仿宋_GBK" w:cs="Times New Roman"/>
          <w:color w:val="000000" w:themeColor="text1"/>
          <w:sz w:val="32"/>
          <w:szCs w:val="32"/>
          <w14:textFill>
            <w14:solidFill>
              <w14:schemeClr w14:val="tx1"/>
            </w14:solidFill>
          </w14:textFill>
        </w:rPr>
        <w:t>全体机关职工坚持每月1次的集中学习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各项</w:t>
      </w:r>
      <w:r>
        <w:rPr>
          <w:rFonts w:hint="default" w:ascii="Times New Roman" w:hAnsi="Times New Roman" w:eastAsia="方正仿宋_GBK" w:cs="Times New Roman"/>
          <w:color w:val="000000" w:themeColor="text1"/>
          <w:sz w:val="32"/>
          <w:szCs w:val="32"/>
          <w14:textFill>
            <w14:solidFill>
              <w14:schemeClr w14:val="tx1"/>
            </w14:solidFill>
          </w14:textFill>
        </w:rPr>
        <w:t>法律法规，交流学法用法守法和办公室业务情况。大力开展行政法规宣传教育，积极推进依法行政和依法治县工作。全面提高广大干部的法律素质，提高依法办事能力和社会化管理水平，全面推进建设法治政府进程。</w:t>
      </w:r>
    </w:p>
    <w:p w14:paraId="3797CEE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sz w:val="32"/>
          <w:szCs w:val="32"/>
        </w:rPr>
        <w:t>订阅各类法治报刊10余份，组织机关职工、卫生院职工参与法治培训考试，参与率、通过率都达到100%，有效的提高了工作人员的法律素养。</w:t>
      </w:r>
    </w:p>
    <w:p w14:paraId="594A2EBA">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加强舆论宣传。</w:t>
      </w:r>
      <w:r>
        <w:rPr>
          <w:rFonts w:hint="eastAsia" w:ascii="Times New Roman" w:hAnsi="Times New Roman" w:eastAsia="方正仿宋_GBK" w:cs="Times New Roman"/>
          <w:color w:val="000000"/>
          <w:sz w:val="32"/>
          <w:szCs w:val="32"/>
          <w:lang w:eastAsia="zh-CN"/>
        </w:rPr>
        <w:t>加</w:t>
      </w:r>
      <w:r>
        <w:rPr>
          <w:rFonts w:hint="default" w:ascii="Times New Roman" w:hAnsi="Times New Roman" w:eastAsia="方正仿宋_GBK" w:cs="Times New Roman"/>
          <w:color w:val="000000"/>
          <w:sz w:val="32"/>
          <w:szCs w:val="32"/>
        </w:rPr>
        <w:t>强法治政府建设宣传报道，统筹各类媒体资源，大力宣传贯彻落实习近平法治思想、法治政府建设的经验、做法和成效，选树宣传一批法治政府建设先进典型。</w:t>
      </w:r>
    </w:p>
    <w:p w14:paraId="13CE1F16">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完善工作队伍。结合工作实际，及时调整</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民主法治村</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创建工作领导小组、普法工作领导小组等工作组织。建立健全法律顾问队伍建设，加大行政执法人员的队伍建设，开展行政执法人员</w:t>
      </w:r>
      <w:r>
        <w:rPr>
          <w:rFonts w:hint="eastAsia"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培训</w:t>
      </w:r>
      <w:r>
        <w:rPr>
          <w:rFonts w:hint="eastAsia"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w:t>
      </w:r>
    </w:p>
    <w:p w14:paraId="7E60D036">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认真落实普法工作，扎实开展法制宣传教育工作。组织开展村（社区）、学校等普法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大宣讲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10余次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，悬挂横幅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10多条，张贴宣传海报40余张，发放宣传单页2000余份。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并积极利用民法典宣传月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12·4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宪法宣传日活动，组织开展各项主题宣传活动，整合法制宣传、法律服务、人民调解、法律援助等职能，针对群众关心的社会热点难点问题，开展有针对性的专项法制宣传教育，努力扩大农村普法的覆盖面，让群众合理运用12348法律咨询热线，为民解难题，深化普法惠农服务。</w:t>
      </w:r>
    </w:p>
    <w:p w14:paraId="7088068B">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2023年</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党政主要负责人履行推进法治建设第一责任人职责</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，加强法治政府建设的有关情况</w:t>
      </w:r>
    </w:p>
    <w:p w14:paraId="54A683C6">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我镇</w:t>
      </w:r>
      <w:r>
        <w:rPr>
          <w:rFonts w:hint="default" w:ascii="Times New Roman" w:hAnsi="Times New Roman" w:eastAsia="方正仿宋_GBK" w:cs="Times New Roman"/>
          <w:color w:val="000000" w:themeColor="text1"/>
          <w:sz w:val="32"/>
          <w:szCs w:val="32"/>
          <w14:textFill>
            <w14:solidFill>
              <w14:schemeClr w14:val="tx1"/>
            </w14:solidFill>
          </w14:textFill>
        </w:rPr>
        <w:t>党政主要负责人作为推进法治建设第一责任人，坚持党的领导，</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坚决</w:t>
      </w:r>
      <w:r>
        <w:rPr>
          <w:rFonts w:hint="default" w:ascii="Times New Roman" w:hAnsi="Times New Roman" w:eastAsia="方正仿宋_GBK" w:cs="Times New Roman"/>
          <w:color w:val="000000" w:themeColor="text1"/>
          <w:sz w:val="32"/>
          <w:szCs w:val="32"/>
          <w14:textFill>
            <w14:solidFill>
              <w14:schemeClr w14:val="tx1"/>
            </w14:solidFill>
          </w14:textFill>
        </w:rPr>
        <w:t>贯彻落实党中央关于法治建设的重大决策部署，对法治建设工作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坚持</w:t>
      </w:r>
      <w:r>
        <w:rPr>
          <w:rFonts w:hint="default" w:ascii="Times New Roman" w:hAnsi="Times New Roman" w:eastAsia="方正仿宋_GBK" w:cs="Times New Roman"/>
          <w:color w:val="000000" w:themeColor="text1"/>
          <w:sz w:val="32"/>
          <w:szCs w:val="32"/>
          <w14:textFill>
            <w14:solidFill>
              <w14:schemeClr w14:val="tx1"/>
            </w14:solidFill>
          </w14:textFill>
        </w:rPr>
        <w:t>亲自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问</w:t>
      </w:r>
      <w:r>
        <w:rPr>
          <w:rFonts w:hint="default" w:ascii="Times New Roman" w:hAnsi="Times New Roman" w:eastAsia="方正仿宋_GBK" w:cs="Times New Roman"/>
          <w:color w:val="000000" w:themeColor="text1"/>
          <w:sz w:val="32"/>
          <w:szCs w:val="32"/>
          <w14:textFill>
            <w14:solidFill>
              <w14:schemeClr w14:val="tx1"/>
            </w14:solidFill>
          </w14:textFill>
        </w:rPr>
        <w:t>、亲自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抓</w:t>
      </w:r>
      <w:r>
        <w:rPr>
          <w:rFonts w:hint="default" w:ascii="Times New Roman" w:hAnsi="Times New Roman" w:eastAsia="方正仿宋_GBK" w:cs="Times New Roman"/>
          <w:color w:val="000000" w:themeColor="text1"/>
          <w:sz w:val="32"/>
          <w:szCs w:val="32"/>
          <w14:textFill>
            <w14:solidFill>
              <w14:schemeClr w14:val="tx1"/>
            </w14:solidFill>
          </w14:textFill>
        </w:rPr>
        <w:t>，把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我镇</w:t>
      </w:r>
      <w:r>
        <w:rPr>
          <w:rFonts w:hint="default" w:ascii="Times New Roman" w:hAnsi="Times New Roman" w:eastAsia="方正仿宋_GBK" w:cs="Times New Roman"/>
          <w:color w:val="000000" w:themeColor="text1"/>
          <w:sz w:val="32"/>
          <w:szCs w:val="32"/>
          <w14:textFill>
            <w14:solidFill>
              <w14:schemeClr w14:val="tx1"/>
            </w14:solidFill>
          </w14:textFill>
        </w:rPr>
        <w:t>各项工作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有序</w:t>
      </w:r>
      <w:r>
        <w:rPr>
          <w:rFonts w:hint="default" w:ascii="Times New Roman" w:hAnsi="Times New Roman" w:eastAsia="方正仿宋_GBK" w:cs="Times New Roman"/>
          <w:color w:val="000000" w:themeColor="text1"/>
          <w:sz w:val="32"/>
          <w:szCs w:val="32"/>
          <w14:textFill>
            <w14:solidFill>
              <w14:schemeClr w14:val="tx1"/>
            </w14:solidFill>
          </w14:textFill>
        </w:rPr>
        <w:t>纳入法治化轨道。</w:t>
      </w:r>
    </w:p>
    <w:p w14:paraId="1E0DAA36">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一是</w:t>
      </w:r>
      <w:r>
        <w:rPr>
          <w:rFonts w:hint="default" w:ascii="Times New Roman" w:hAnsi="Times New Roman" w:eastAsia="方正仿宋_GBK" w:cs="Times New Roman"/>
          <w:color w:val="000000" w:themeColor="text1"/>
          <w:sz w:val="32"/>
          <w:szCs w:val="32"/>
          <w14:textFill>
            <w14:solidFill>
              <w14:schemeClr w14:val="tx1"/>
            </w14:solidFill>
          </w14:textFill>
        </w:rPr>
        <w:t>高度重视，自觉把法治建设摆在全镇工作全局的重要位置，落实制度建设、人员保障、责任分工。加强基层法治建设，围绕扫黑除恶、防范化解重大风险，推进禁毒工作深入开展。</w:t>
      </w:r>
      <w:r>
        <w:rPr>
          <w:rFonts w:hint="default" w:ascii="Times New Roman" w:hAnsi="Times New Roman" w:eastAsia="方正仿宋_GBK" w:cs="Times New Roman"/>
          <w:b/>
          <w:bCs/>
          <w:color w:val="000000" w:themeColor="text1"/>
          <w:sz w:val="32"/>
          <w:szCs w:val="32"/>
          <w14:textFill>
            <w14:solidFill>
              <w14:schemeClr w14:val="tx1"/>
            </w14:solidFill>
          </w14:textFill>
        </w:rPr>
        <w:t>二是</w:t>
      </w:r>
      <w:r>
        <w:rPr>
          <w:rFonts w:hint="default" w:ascii="Times New Roman" w:hAnsi="Times New Roman" w:eastAsia="方正仿宋_GBK" w:cs="Times New Roman"/>
          <w:color w:val="000000" w:themeColor="text1"/>
          <w:sz w:val="32"/>
          <w:szCs w:val="32"/>
          <w14:textFill>
            <w14:solidFill>
              <w14:schemeClr w14:val="tx1"/>
            </w14:solidFill>
          </w14:textFill>
        </w:rPr>
        <w:t>强化党政主要负责人履行推进法治建设第一责任人职责，按时向县依法治县办报送书面述法报告，并开展相关述法工作。</w:t>
      </w:r>
      <w:r>
        <w:rPr>
          <w:rFonts w:hint="default" w:ascii="Times New Roman" w:hAnsi="Times New Roman" w:eastAsia="方正仿宋_GBK" w:cs="Times New Roman"/>
          <w:b/>
          <w:bCs/>
          <w:color w:val="000000" w:themeColor="text1"/>
          <w:sz w:val="32"/>
          <w:szCs w:val="32"/>
          <w14:textFill>
            <w14:solidFill>
              <w14:schemeClr w14:val="tx1"/>
            </w14:solidFill>
          </w14:textFill>
        </w:rPr>
        <w:t>三是</w:t>
      </w:r>
      <w:r>
        <w:rPr>
          <w:rFonts w:hint="default" w:ascii="Times New Roman" w:hAnsi="Times New Roman" w:eastAsia="方正仿宋_GBK" w:cs="Times New Roman"/>
          <w:color w:val="000000" w:themeColor="text1"/>
          <w:sz w:val="32"/>
          <w:szCs w:val="32"/>
          <w14:textFill>
            <w14:solidFill>
              <w14:schemeClr w14:val="tx1"/>
            </w14:solidFill>
          </w14:textFill>
        </w:rPr>
        <w:t>建立健全党委带头学法机制，确保学习常态化。每月组织全体领导班子集中学习1次，进一步完善重大事项决策制度，重大事项提交镇党委会讨论通过，坚持议事流程，正确行使在集体决策中的民主权利，动员班子充分发表意见，提高决策的能力和水平。</w:t>
      </w:r>
      <w:r>
        <w:rPr>
          <w:rFonts w:hint="default" w:ascii="Times New Roman" w:hAnsi="Times New Roman" w:eastAsia="方正仿宋_GBK" w:cs="Times New Roman"/>
          <w:b/>
          <w:bCs/>
          <w:color w:val="000000" w:themeColor="text1"/>
          <w:sz w:val="32"/>
          <w:szCs w:val="32"/>
          <w14:textFill>
            <w14:solidFill>
              <w14:schemeClr w14:val="tx1"/>
            </w14:solidFill>
          </w14:textFill>
        </w:rPr>
        <w:t>四是</w:t>
      </w:r>
      <w:r>
        <w:rPr>
          <w:rFonts w:hint="default" w:ascii="Times New Roman" w:hAnsi="Times New Roman" w:eastAsia="方正仿宋_GBK" w:cs="Times New Roman"/>
          <w:color w:val="000000" w:themeColor="text1"/>
          <w:sz w:val="32"/>
          <w:szCs w:val="32"/>
          <w14:textFill>
            <w14:solidFill>
              <w14:schemeClr w14:val="tx1"/>
            </w14:solidFill>
          </w14:textFill>
        </w:rPr>
        <w:t>落实党风廉政建设和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全面</w:t>
      </w:r>
      <w:r>
        <w:rPr>
          <w:rFonts w:hint="default" w:ascii="Times New Roman" w:hAnsi="Times New Roman" w:eastAsia="方正仿宋_GBK" w:cs="Times New Roman"/>
          <w:color w:val="000000" w:themeColor="text1"/>
          <w:sz w:val="32"/>
          <w:szCs w:val="32"/>
          <w14:textFill>
            <w14:solidFill>
              <w14:schemeClr w14:val="tx1"/>
            </w14:solidFill>
          </w14:textFill>
        </w:rPr>
        <w:t>从严治党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主体</w:t>
      </w:r>
      <w:r>
        <w:rPr>
          <w:rFonts w:hint="default" w:ascii="Times New Roman" w:hAnsi="Times New Roman" w:eastAsia="方正仿宋_GBK" w:cs="Times New Roman"/>
          <w:color w:val="000000" w:themeColor="text1"/>
          <w:sz w:val="32"/>
          <w:szCs w:val="32"/>
          <w14:textFill>
            <w14:solidFill>
              <w14:schemeClr w14:val="tx1"/>
            </w14:solidFill>
          </w14:textFill>
        </w:rPr>
        <w:t>责任。支持镇纪检部门开展工作，畅通纪检监察案件受理渠道，多种形式自觉接受广大群众监督。</w:t>
      </w:r>
      <w:r>
        <w:rPr>
          <w:rFonts w:hint="default" w:ascii="Times New Roman" w:hAnsi="Times New Roman" w:eastAsia="方正仿宋_GBK" w:cs="Times New Roman"/>
          <w:b/>
          <w:bCs/>
          <w:color w:val="000000" w:themeColor="text1"/>
          <w:sz w:val="32"/>
          <w:szCs w:val="32"/>
          <w14:textFill>
            <w14:solidFill>
              <w14:schemeClr w14:val="tx1"/>
            </w14:solidFill>
          </w14:textFill>
        </w:rPr>
        <w:t>五是</w:t>
      </w:r>
      <w:r>
        <w:rPr>
          <w:rFonts w:hint="default" w:ascii="Times New Roman" w:hAnsi="Times New Roman" w:eastAsia="方正仿宋_GBK" w:cs="Times New Roman"/>
          <w:color w:val="000000" w:themeColor="text1"/>
          <w:sz w:val="32"/>
          <w:szCs w:val="32"/>
          <w14:textFill>
            <w14:solidFill>
              <w14:schemeClr w14:val="tx1"/>
            </w14:solidFill>
          </w14:textFill>
        </w:rPr>
        <w:t>强化制度执行。把法治纳入班子领导、干部考核的一项主要内容，与绩效考评工作挂钩。</w:t>
      </w:r>
      <w:r>
        <w:rPr>
          <w:rFonts w:hint="default" w:ascii="Times New Roman" w:hAnsi="Times New Roman" w:eastAsia="方正仿宋_GBK" w:cs="Times New Roman"/>
          <w:b/>
          <w:bCs/>
          <w:color w:val="000000" w:themeColor="text1"/>
          <w:sz w:val="32"/>
          <w:szCs w:val="32"/>
          <w14:textFill>
            <w14:solidFill>
              <w14:schemeClr w14:val="tx1"/>
            </w14:solidFill>
          </w14:textFill>
        </w:rPr>
        <w:t>六是</w:t>
      </w:r>
      <w:r>
        <w:rPr>
          <w:rFonts w:hint="default" w:ascii="Times New Roman" w:hAnsi="Times New Roman" w:eastAsia="方正仿宋_GBK" w:cs="Times New Roman"/>
          <w:color w:val="000000" w:themeColor="text1"/>
          <w:sz w:val="32"/>
          <w:szCs w:val="32"/>
          <w14:textFill>
            <w14:solidFill>
              <w14:schemeClr w14:val="tx1"/>
            </w14:solidFill>
          </w14:textFill>
        </w:rPr>
        <w:t>加强法治工作队伍建设，镇组建了普法队伍，每个村（社区）由综治专干担任普法员，通过院坝会、党员大会等方式，深入开展农民法制宣传教育专项活动。将法治宣传教育工作纳入考核的内容，加强法律法规的学习，指导实际工作，提高行政执法人员业务素质和依法行政能力。</w:t>
      </w:r>
    </w:p>
    <w:p w14:paraId="48E969EE">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w:t>
      </w:r>
      <w:r>
        <w:rPr>
          <w:rFonts w:hint="eastAsia" w:ascii="Times New Roman" w:hAnsi="Times New Roman" w:eastAsia="方正黑体_GBK" w:cs="Times New Roman"/>
          <w:color w:val="000000" w:themeColor="text1"/>
          <w:sz w:val="32"/>
          <w:szCs w:val="32"/>
          <w14:textFill>
            <w14:solidFill>
              <w14:schemeClr w14:val="tx1"/>
            </w14:solidFill>
          </w14:textFill>
        </w:rPr>
        <w:t>2023年推进法治政府建设存在的不足和原因</w:t>
      </w:r>
    </w:p>
    <w:p w14:paraId="250EF955">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我镇法治政府建设存在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的不足</w:t>
      </w:r>
      <w:r>
        <w:rPr>
          <w:rFonts w:hint="default" w:ascii="Times New Roman" w:hAnsi="Times New Roman" w:eastAsia="方正仿宋_GBK" w:cs="Times New Roman"/>
          <w:color w:val="000000" w:themeColor="text1"/>
          <w:sz w:val="32"/>
          <w:szCs w:val="32"/>
          <w14:textFill>
            <w14:solidFill>
              <w14:schemeClr w14:val="tx1"/>
            </w14:solidFill>
          </w14:textFill>
        </w:rPr>
        <w:t>，主要是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自己开展的法律知识培训、行政执法培训和其他各项法治建设定期培训等质量不高</w:t>
      </w:r>
      <w:r>
        <w:rPr>
          <w:rFonts w:hint="default" w:ascii="Times New Roman" w:hAnsi="Times New Roman" w:eastAsia="方正仿宋_GBK" w:cs="Times New Roman"/>
          <w:color w:val="000000" w:themeColor="text1"/>
          <w:sz w:val="32"/>
          <w:szCs w:val="32"/>
          <w14:textFill>
            <w14:solidFill>
              <w14:schemeClr w14:val="tx1"/>
            </w14:solidFill>
          </w14:textFill>
        </w:rPr>
        <w:t>；主要原因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是缺少相应的专业人才指导和缺少相应的培训资料。</w:t>
      </w:r>
    </w:p>
    <w:p w14:paraId="1AC75360">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四、2024年推进法治政府建设的工作安排</w:t>
      </w:r>
    </w:p>
    <w:p w14:paraId="53D028BA">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年，栖霞镇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坚持</w:t>
      </w:r>
      <w:r>
        <w:rPr>
          <w:rFonts w:hint="default"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以习近平新时代中国特色社会主义思想为指导，进一步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推进</w:t>
      </w:r>
      <w:r>
        <w:rPr>
          <w:rFonts w:hint="default" w:ascii="Times New Roman" w:hAnsi="Times New Roman" w:eastAsia="方正仿宋_GBK" w:cs="Times New Roman"/>
          <w:color w:val="000000" w:themeColor="text1"/>
          <w:sz w:val="32"/>
          <w:szCs w:val="32"/>
          <w14:textFill>
            <w14:solidFill>
              <w14:schemeClr w14:val="tx1"/>
            </w14:solidFill>
          </w14:textFill>
        </w:rPr>
        <w:t>法治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政府</w:t>
      </w:r>
      <w:r>
        <w:rPr>
          <w:rFonts w:hint="default" w:ascii="Times New Roman" w:hAnsi="Times New Roman" w:eastAsia="方正仿宋_GBK" w:cs="Times New Roman"/>
          <w:color w:val="000000" w:themeColor="text1"/>
          <w:sz w:val="32"/>
          <w:szCs w:val="32"/>
          <w14:textFill>
            <w14:solidFill>
              <w14:schemeClr w14:val="tx1"/>
            </w14:solidFill>
          </w14:textFill>
        </w:rPr>
        <w:t>建设，推动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14:textFill>
            <w14:solidFill>
              <w14:schemeClr w14:val="tx1"/>
            </w14:solidFill>
          </w14:textFill>
        </w:rPr>
        <w:t>镇市民法治素养和守法意识显著提升，法治和德治观念牢固树立，守法光荣、违法可耻的社会法治氛围更加浓厚，风险防控特别是公共安全风险防控工作社会化、法治化水平不断提高。</w:t>
      </w:r>
    </w:p>
    <w:p w14:paraId="40AC10E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方正仿宋_GBK" w:cs="Times New Roman"/>
          <w:color w:val="000000" w:themeColor="text1"/>
          <w:sz w:val="32"/>
          <w:szCs w:val="32"/>
          <w14:textFill>
            <w14:solidFill>
              <w14:schemeClr w14:val="tx1"/>
            </w14:solidFill>
          </w14:textFill>
        </w:rPr>
        <w:t>继续深入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宣传贯彻</w:t>
      </w:r>
      <w:r>
        <w:rPr>
          <w:rFonts w:hint="default" w:ascii="Times New Roman" w:hAnsi="Times New Roman" w:eastAsia="方正仿宋_GBK" w:cs="Times New Roman"/>
          <w:color w:val="000000" w:themeColor="text1"/>
          <w:sz w:val="32"/>
          <w:szCs w:val="32"/>
          <w14:textFill>
            <w14:solidFill>
              <w14:schemeClr w14:val="tx1"/>
            </w14:solidFill>
          </w14:textFill>
        </w:rPr>
        <w:t>习近平新时代中国特色社会主义思想和党的二十大精神，深入推进宪法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、民法典等法律法规</w:t>
      </w:r>
      <w:r>
        <w:rPr>
          <w:rFonts w:hint="default" w:ascii="Times New Roman" w:hAnsi="Times New Roman" w:eastAsia="方正仿宋_GBK" w:cs="Times New Roman"/>
          <w:color w:val="000000" w:themeColor="text1"/>
          <w:sz w:val="32"/>
          <w:szCs w:val="32"/>
          <w14:textFill>
            <w14:solidFill>
              <w14:schemeClr w14:val="tx1"/>
            </w14:solidFill>
          </w14:textFill>
        </w:rPr>
        <w:t>宣传贯彻，持续强化法治建设第一责任人职责，不断增强党领导法治政府建设的能力和水平。</w:t>
      </w:r>
    </w:p>
    <w:p w14:paraId="5AF7FA2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firstLine="643"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持续深化政务公开。</w:t>
      </w:r>
      <w:r>
        <w:rPr>
          <w:rFonts w:hint="eastAsia" w:ascii="Times New Roman" w:hAnsi="Times New Roman" w:eastAsia="方正仿宋_GBK" w:cs="Times New Roman"/>
          <w:color w:val="000000" w:themeColor="text1"/>
          <w:sz w:val="32"/>
          <w:szCs w:val="32"/>
          <w:lang w:val="en-US" w:eastAsia="zh-TW"/>
          <w14:textFill>
            <w14:solidFill>
              <w14:schemeClr w14:val="tx1"/>
            </w14:solidFill>
          </w14:textFill>
        </w:rPr>
        <w:t>坚持以公开为常态、不公开为例外，</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有效提升公开政府信息的完整性、及时性、准确性。推进政务公开制度化、标准化、规范化、信息化建设。推进基层政务、惠民惠农资金等领域公开，推动政务公开标准化规范化建设。持续提高公务人员知网、懂网、用网能力，大力推进网上政府建设。</w:t>
      </w:r>
    </w:p>
    <w:p w14:paraId="2D77F007">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8" w:lineRule="exact"/>
        <w:ind w:firstLine="643"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是</w:t>
      </w:r>
      <w:r>
        <w:rPr>
          <w:rFonts w:hint="eastAsia" w:ascii="Times New Roman" w:hAnsi="Times New Roman" w:eastAsia="方正仿宋_GBK" w:cs="Times New Roman"/>
          <w:color w:val="000000" w:themeColor="text1"/>
          <w:sz w:val="32"/>
          <w:szCs w:val="32"/>
          <w14:textFill>
            <w14:solidFill>
              <w14:schemeClr w14:val="tx1"/>
            </w14:solidFill>
          </w14:textFill>
        </w:rPr>
        <w:t>推进数智赋能法治化改革。坚持改革求变，加快数字政府和法治政府融合，广泛应用数字技术，深层次推动数据共享、流程再造、机制重塑，大幅提升整体智治水平。</w:t>
      </w:r>
    </w:p>
    <w:p w14:paraId="2668CD65">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特此报告</w:t>
      </w:r>
    </w:p>
    <w:p w14:paraId="01934C71">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63EFA25">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32"/>
          <w:szCs w:val="32"/>
          <w:fitText w:val="3520" w:id="-1859391232"/>
          <w14:textFill>
            <w14:solidFill>
              <w14:schemeClr w14:val="tx1"/>
            </w14:solidFill>
          </w14:textFill>
        </w:rPr>
        <w:t>中共云阳县栖霞镇委员会</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p>
    <w:p w14:paraId="533ED124">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17"/>
          <w:kern w:val="0"/>
          <w:sz w:val="32"/>
          <w:szCs w:val="32"/>
          <w:fitText w:val="3520" w:id="-1859391231"/>
          <w14:textFill>
            <w14:solidFill>
              <w14:schemeClr w14:val="tx1"/>
            </w14:solidFill>
          </w14:textFill>
        </w:rPr>
        <w:t>云阳县栖霞镇人民政</w:t>
      </w:r>
      <w:r>
        <w:rPr>
          <w:rFonts w:hint="default" w:ascii="Times New Roman" w:hAnsi="Times New Roman" w:eastAsia="方正仿宋_GBK" w:cs="Times New Roman"/>
          <w:color w:val="000000" w:themeColor="text1"/>
          <w:spacing w:val="7"/>
          <w:kern w:val="0"/>
          <w:sz w:val="32"/>
          <w:szCs w:val="32"/>
          <w:fitText w:val="3520" w:id="-1859391231"/>
          <w14:textFill>
            <w14:solidFill>
              <w14:schemeClr w14:val="tx1"/>
            </w14:solidFill>
          </w14:textFill>
        </w:rPr>
        <w:t>府</w:t>
      </w:r>
    </w:p>
    <w:p w14:paraId="47755F9F">
      <w:pPr>
        <w:keepNext w:val="0"/>
        <w:keepLines w:val="0"/>
        <w:pageBreakBefore w:val="0"/>
        <w:kinsoku/>
        <w:wordWrap/>
        <w:overflowPunct/>
        <w:topLinePunct w:val="0"/>
        <w:autoSpaceDE/>
        <w:autoSpaceDN/>
        <w:bidi w:val="0"/>
        <w:spacing w:line="578"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月1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771A40A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2C810D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66F12B1E">
      <w:pPr>
        <w:widowControl/>
        <w:pBdr>
          <w:top w:val="single" w:color="auto" w:sz="12" w:space="1"/>
        </w:pBdr>
        <w:spacing w:line="578" w:lineRule="exact"/>
        <w:ind w:firstLine="280" w:firstLineChars="1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抄送：</w:t>
      </w:r>
      <w:r>
        <w:rPr>
          <w:rFonts w:hint="eastAsia" w:ascii="方正仿宋_GBK" w:hAnsi="Calibri" w:eastAsia="方正仿宋_GBK" w:cs="Times New Roman"/>
          <w:color w:val="000000" w:themeColor="text1"/>
          <w:sz w:val="28"/>
          <w:szCs w:val="28"/>
          <w14:textFill>
            <w14:solidFill>
              <w14:schemeClr w14:val="tx1"/>
            </w14:solidFill>
          </w14:textFill>
        </w:rPr>
        <w:t>县委依法治县办</w:t>
      </w:r>
    </w:p>
    <w:p w14:paraId="7EF82989">
      <w:pPr>
        <w:widowControl/>
        <w:pBdr>
          <w:top w:val="single" w:color="auto" w:sz="6" w:space="1"/>
          <w:bottom w:val="single" w:color="auto" w:sz="12" w:space="1"/>
        </w:pBdr>
        <w:spacing w:line="578" w:lineRule="exact"/>
        <w:ind w:firstLine="280" w:firstLineChars="100"/>
        <w:rPr>
          <w:rFonts w:hint="default" w:ascii="方正仿宋_GBK" w:hAnsi="Calibri"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sz w:val="28"/>
          <w:szCs w:val="28"/>
        </w:rPr>
        <w:t>云阳县</w:t>
      </w:r>
      <w:r>
        <w:rPr>
          <w:rFonts w:hint="eastAsia" w:ascii="Times New Roman" w:hAnsi="Times New Roman" w:eastAsia="方正仿宋_GBK"/>
          <w:color w:val="000000"/>
          <w:sz w:val="28"/>
          <w:szCs w:val="28"/>
          <w:lang w:val="en-US" w:eastAsia="zh-CN"/>
        </w:rPr>
        <w:t>栖霞镇党政</w:t>
      </w:r>
      <w:r>
        <w:rPr>
          <w:rFonts w:hint="eastAsia" w:ascii="Times New Roman" w:hAnsi="Times New Roman" w:eastAsia="方正仿宋_GBK"/>
          <w:color w:val="000000"/>
          <w:sz w:val="28"/>
          <w:szCs w:val="28"/>
        </w:rPr>
        <w:t>办公室</w:t>
      </w:r>
      <w:r>
        <w:rPr>
          <w:rFonts w:ascii="Times New Roman" w:hAnsi="Times New Roman" w:eastAsia="方正仿宋_GBK"/>
          <w:color w:val="000000"/>
          <w:sz w:val="28"/>
          <w:szCs w:val="28"/>
        </w:rPr>
        <w:t xml:space="preserve">                  202</w:t>
      </w:r>
      <w:r>
        <w:rPr>
          <w:rFonts w:hint="eastAsia" w:ascii="Times New Roman" w:hAnsi="Times New Roman" w:eastAsia="方正仿宋_GBK"/>
          <w:color w:val="000000"/>
          <w:sz w:val="28"/>
          <w:szCs w:val="28"/>
          <w:lang w:val="en-US" w:eastAsia="zh-CN"/>
        </w:rPr>
        <w:t>4</w:t>
      </w:r>
      <w:r>
        <w:rPr>
          <w:rFonts w:hint="eastAsia"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w:t>
      </w:r>
      <w:r>
        <w:rPr>
          <w:rFonts w:hint="eastAsia"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11</w:t>
      </w:r>
      <w:r>
        <w:rPr>
          <w:rFonts w:hint="eastAsia" w:ascii="Times New Roman" w:hAnsi="Times New Roman" w:eastAsia="方正仿宋_GBK"/>
          <w:color w:val="000000"/>
          <w:sz w:val="28"/>
          <w:szCs w:val="28"/>
        </w:rPr>
        <w:t>日印发</w:t>
      </w:r>
      <w:r>
        <w:rPr>
          <w:rFonts w:hint="eastAsia" w:ascii="Times New Roman" w:hAnsi="Times New Roman" w:eastAsia="方正仿宋_GBK"/>
          <w:color w:val="000000"/>
          <w:sz w:val="28"/>
          <w:szCs w:val="28"/>
          <w:lang w:val="en-US" w:eastAsia="zh-CN"/>
        </w:rPr>
        <w:t xml:space="preserve">  </w:t>
      </w:r>
    </w:p>
    <w:sectPr>
      <w:footerReference r:id="rId3" w:type="default"/>
      <w:footerReference r:id="rId4" w:type="even"/>
      <w:pgSz w:w="11906" w:h="16838"/>
      <w:pgMar w:top="2098" w:right="1531" w:bottom="1985"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2D1F">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4742815</wp:posOffset>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03FD656">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73.45pt;margin-top:-6pt;height:144pt;width:144pt;mso-position-horizontal-relative:margin;mso-wrap-style:none;z-index:251660288;mso-width-relative:page;mso-height-relative:page;" filled="f" stroked="f" coordsize="21600,21600" o:gfxdata="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EAKs9cA&#10;AAAMAQAADwAAAAAAAAABACAAAAAiAAAAZHJzL2Rvd25yZXYueG1sUEsBAhQAFAAAAAgAh07iQLOI&#10;fgXnAQAAxwMAAA4AAAAAAAAAAQAgAAAAJgEAAGRycy9lMm9Eb2MueG1sUEsFBgAAAAAGAAYAWQEA&#10;AH8FAAAAAA==&#10;">
              <v:fill on="f" focussize="0,0"/>
              <v:stroke on="f"/>
              <v:imagedata o:title=""/>
              <o:lock v:ext="edit" aspectratio="f"/>
              <v:textbox inset="0mm,0mm,0mm,0mm" style="mso-fit-shape-to-text:t;">
                <w:txbxContent>
                  <w:p w14:paraId="003FD656">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F740">
    <w:pPr>
      <w:pStyle w:val="3"/>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2F85670">
                          <w:pPr>
                            <w:pStyle w:val="3"/>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22F85670">
                    <w:pPr>
                      <w:pStyle w:val="3"/>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6AB2C"/>
    <w:multiLevelType w:val="singleLevel"/>
    <w:tmpl w:val="BA86AB2C"/>
    <w:lvl w:ilvl="0" w:tentative="0">
      <w:start w:val="1"/>
      <w:numFmt w:val="decimal"/>
      <w:suff w:val="space"/>
      <w:lvlText w:val="%1."/>
      <w:lvlJc w:val="left"/>
    </w:lvl>
  </w:abstractNum>
  <w:abstractNum w:abstractNumId="1">
    <w:nsid w:val="3E529B67"/>
    <w:multiLevelType w:val="singleLevel"/>
    <w:tmpl w:val="3E529B67"/>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YWNhNmVhZjMzNmI3MDk3ZmMwMjMzMjQ5YzlhYjYifQ=="/>
  </w:docVars>
  <w:rsids>
    <w:rsidRoot w:val="001A2568"/>
    <w:rsid w:val="00001EC4"/>
    <w:rsid w:val="00011A84"/>
    <w:rsid w:val="00023EED"/>
    <w:rsid w:val="0003086E"/>
    <w:rsid w:val="000A7C67"/>
    <w:rsid w:val="000D70AA"/>
    <w:rsid w:val="00116343"/>
    <w:rsid w:val="00122000"/>
    <w:rsid w:val="001672D3"/>
    <w:rsid w:val="001A2568"/>
    <w:rsid w:val="00256E2C"/>
    <w:rsid w:val="00272D5F"/>
    <w:rsid w:val="00274915"/>
    <w:rsid w:val="002A4793"/>
    <w:rsid w:val="002B01DF"/>
    <w:rsid w:val="002B1737"/>
    <w:rsid w:val="002D1498"/>
    <w:rsid w:val="00323394"/>
    <w:rsid w:val="00374BCB"/>
    <w:rsid w:val="00387258"/>
    <w:rsid w:val="003971C7"/>
    <w:rsid w:val="003C76EF"/>
    <w:rsid w:val="00407DA1"/>
    <w:rsid w:val="0044245E"/>
    <w:rsid w:val="00532B36"/>
    <w:rsid w:val="00536862"/>
    <w:rsid w:val="00557735"/>
    <w:rsid w:val="00560E87"/>
    <w:rsid w:val="005D50F4"/>
    <w:rsid w:val="005D7D11"/>
    <w:rsid w:val="00666D44"/>
    <w:rsid w:val="006675AD"/>
    <w:rsid w:val="006856A9"/>
    <w:rsid w:val="006F29E9"/>
    <w:rsid w:val="0070355A"/>
    <w:rsid w:val="00705D24"/>
    <w:rsid w:val="00711AFC"/>
    <w:rsid w:val="00714A0B"/>
    <w:rsid w:val="00730A6B"/>
    <w:rsid w:val="00766BD8"/>
    <w:rsid w:val="00781C45"/>
    <w:rsid w:val="00795FE3"/>
    <w:rsid w:val="007C2CDB"/>
    <w:rsid w:val="007E498F"/>
    <w:rsid w:val="007E5731"/>
    <w:rsid w:val="008373F8"/>
    <w:rsid w:val="00845D7A"/>
    <w:rsid w:val="0085163D"/>
    <w:rsid w:val="00852629"/>
    <w:rsid w:val="00892948"/>
    <w:rsid w:val="008D0F86"/>
    <w:rsid w:val="008D26AD"/>
    <w:rsid w:val="008E5669"/>
    <w:rsid w:val="008F209A"/>
    <w:rsid w:val="00906865"/>
    <w:rsid w:val="0093476D"/>
    <w:rsid w:val="00951C7D"/>
    <w:rsid w:val="00955736"/>
    <w:rsid w:val="00973C12"/>
    <w:rsid w:val="009A32BE"/>
    <w:rsid w:val="009C7347"/>
    <w:rsid w:val="009D2DAE"/>
    <w:rsid w:val="009D674B"/>
    <w:rsid w:val="009F7022"/>
    <w:rsid w:val="00A032BF"/>
    <w:rsid w:val="00A07F65"/>
    <w:rsid w:val="00A236A0"/>
    <w:rsid w:val="00A35AAD"/>
    <w:rsid w:val="00A77A03"/>
    <w:rsid w:val="00A87CA3"/>
    <w:rsid w:val="00AA1782"/>
    <w:rsid w:val="00B22D53"/>
    <w:rsid w:val="00B47061"/>
    <w:rsid w:val="00B87D22"/>
    <w:rsid w:val="00B919EC"/>
    <w:rsid w:val="00BD3149"/>
    <w:rsid w:val="00BD7180"/>
    <w:rsid w:val="00BF008A"/>
    <w:rsid w:val="00C31C2A"/>
    <w:rsid w:val="00C43818"/>
    <w:rsid w:val="00C56368"/>
    <w:rsid w:val="00C721E2"/>
    <w:rsid w:val="00CE6E85"/>
    <w:rsid w:val="00D25223"/>
    <w:rsid w:val="00D57003"/>
    <w:rsid w:val="00D67269"/>
    <w:rsid w:val="00D9702B"/>
    <w:rsid w:val="00DB1A01"/>
    <w:rsid w:val="00DC4444"/>
    <w:rsid w:val="00DE5E60"/>
    <w:rsid w:val="00E136B1"/>
    <w:rsid w:val="00E23762"/>
    <w:rsid w:val="00E81B2E"/>
    <w:rsid w:val="00ED534F"/>
    <w:rsid w:val="00EE5A21"/>
    <w:rsid w:val="00F04BF1"/>
    <w:rsid w:val="00F14396"/>
    <w:rsid w:val="00F32E05"/>
    <w:rsid w:val="00F9256C"/>
    <w:rsid w:val="00FA00A3"/>
    <w:rsid w:val="017E2A82"/>
    <w:rsid w:val="01C20751"/>
    <w:rsid w:val="01D46B46"/>
    <w:rsid w:val="027D2D3A"/>
    <w:rsid w:val="028B483E"/>
    <w:rsid w:val="02A45395"/>
    <w:rsid w:val="02FB1590"/>
    <w:rsid w:val="03CC5D27"/>
    <w:rsid w:val="04191764"/>
    <w:rsid w:val="04BF588C"/>
    <w:rsid w:val="04D56E5D"/>
    <w:rsid w:val="04ED064B"/>
    <w:rsid w:val="054F6C10"/>
    <w:rsid w:val="0564104F"/>
    <w:rsid w:val="05692CEB"/>
    <w:rsid w:val="057706B0"/>
    <w:rsid w:val="0581047D"/>
    <w:rsid w:val="06F37A6F"/>
    <w:rsid w:val="07034156"/>
    <w:rsid w:val="0721638A"/>
    <w:rsid w:val="07375BAD"/>
    <w:rsid w:val="0757624F"/>
    <w:rsid w:val="07881918"/>
    <w:rsid w:val="07F10452"/>
    <w:rsid w:val="07F910B5"/>
    <w:rsid w:val="0A326B00"/>
    <w:rsid w:val="0A51342A"/>
    <w:rsid w:val="0B4B7E79"/>
    <w:rsid w:val="0B6D4294"/>
    <w:rsid w:val="0B835865"/>
    <w:rsid w:val="0C05627A"/>
    <w:rsid w:val="0C074ADA"/>
    <w:rsid w:val="0C7B2DBF"/>
    <w:rsid w:val="0E9D4E90"/>
    <w:rsid w:val="0FDC3796"/>
    <w:rsid w:val="10120F66"/>
    <w:rsid w:val="10674B4C"/>
    <w:rsid w:val="107247AD"/>
    <w:rsid w:val="10D02B80"/>
    <w:rsid w:val="115B4B8E"/>
    <w:rsid w:val="11C91AF8"/>
    <w:rsid w:val="12A14823"/>
    <w:rsid w:val="12D270D2"/>
    <w:rsid w:val="134A6E34"/>
    <w:rsid w:val="13D34EB0"/>
    <w:rsid w:val="13FA068E"/>
    <w:rsid w:val="141D612B"/>
    <w:rsid w:val="14F055ED"/>
    <w:rsid w:val="15915022"/>
    <w:rsid w:val="15EE0571"/>
    <w:rsid w:val="17836BED"/>
    <w:rsid w:val="178B5D67"/>
    <w:rsid w:val="17AF353E"/>
    <w:rsid w:val="18DF42F7"/>
    <w:rsid w:val="19DC54C3"/>
    <w:rsid w:val="1ABC48F0"/>
    <w:rsid w:val="1B3A5814"/>
    <w:rsid w:val="1C874A89"/>
    <w:rsid w:val="1D1C1676"/>
    <w:rsid w:val="1D6B7F07"/>
    <w:rsid w:val="1DEA1579"/>
    <w:rsid w:val="1DFB7B23"/>
    <w:rsid w:val="1E29229C"/>
    <w:rsid w:val="1F070103"/>
    <w:rsid w:val="1F882FF2"/>
    <w:rsid w:val="20293E63"/>
    <w:rsid w:val="20541126"/>
    <w:rsid w:val="20762E27"/>
    <w:rsid w:val="20E24984"/>
    <w:rsid w:val="20F00AC0"/>
    <w:rsid w:val="218477E9"/>
    <w:rsid w:val="219862A3"/>
    <w:rsid w:val="21A67760"/>
    <w:rsid w:val="222039B6"/>
    <w:rsid w:val="23CB16FF"/>
    <w:rsid w:val="26373F8F"/>
    <w:rsid w:val="264439EB"/>
    <w:rsid w:val="267C13D7"/>
    <w:rsid w:val="270F7B55"/>
    <w:rsid w:val="27214B9E"/>
    <w:rsid w:val="27452D6D"/>
    <w:rsid w:val="27C923FA"/>
    <w:rsid w:val="27D112AE"/>
    <w:rsid w:val="28810F26"/>
    <w:rsid w:val="29906C99"/>
    <w:rsid w:val="29A22753"/>
    <w:rsid w:val="29F13C4B"/>
    <w:rsid w:val="2A027E45"/>
    <w:rsid w:val="2A5306A1"/>
    <w:rsid w:val="2A71098D"/>
    <w:rsid w:val="2AB32EED"/>
    <w:rsid w:val="2B151925"/>
    <w:rsid w:val="2BA76CED"/>
    <w:rsid w:val="2BB84C5F"/>
    <w:rsid w:val="2BC607E0"/>
    <w:rsid w:val="2BC64B80"/>
    <w:rsid w:val="2C071743"/>
    <w:rsid w:val="2CF0667B"/>
    <w:rsid w:val="2D984D48"/>
    <w:rsid w:val="2DD16006"/>
    <w:rsid w:val="2E3C3312"/>
    <w:rsid w:val="2E497DF1"/>
    <w:rsid w:val="2EB02E8C"/>
    <w:rsid w:val="2EF7784D"/>
    <w:rsid w:val="307A24E3"/>
    <w:rsid w:val="32F522F5"/>
    <w:rsid w:val="33294694"/>
    <w:rsid w:val="338F1CCF"/>
    <w:rsid w:val="33EF31E8"/>
    <w:rsid w:val="34337579"/>
    <w:rsid w:val="34FF38FF"/>
    <w:rsid w:val="35244F51"/>
    <w:rsid w:val="35B71FEB"/>
    <w:rsid w:val="373D6D3F"/>
    <w:rsid w:val="37476E97"/>
    <w:rsid w:val="377F0D27"/>
    <w:rsid w:val="37CE60BC"/>
    <w:rsid w:val="37FC4347"/>
    <w:rsid w:val="38613F89"/>
    <w:rsid w:val="38B80C35"/>
    <w:rsid w:val="39581830"/>
    <w:rsid w:val="397F6DBC"/>
    <w:rsid w:val="39AD155C"/>
    <w:rsid w:val="39C16639"/>
    <w:rsid w:val="3A614714"/>
    <w:rsid w:val="3CAA4150"/>
    <w:rsid w:val="3D037D04"/>
    <w:rsid w:val="3D874491"/>
    <w:rsid w:val="3D8F3346"/>
    <w:rsid w:val="3D9557FB"/>
    <w:rsid w:val="3D962926"/>
    <w:rsid w:val="3DA45043"/>
    <w:rsid w:val="3DD97B29"/>
    <w:rsid w:val="3E2B12C1"/>
    <w:rsid w:val="3E8012DC"/>
    <w:rsid w:val="3ECA68BE"/>
    <w:rsid w:val="3EDE27D7"/>
    <w:rsid w:val="3F310B59"/>
    <w:rsid w:val="404C73C7"/>
    <w:rsid w:val="40EE4063"/>
    <w:rsid w:val="414D59F2"/>
    <w:rsid w:val="41C51DC4"/>
    <w:rsid w:val="41D219EE"/>
    <w:rsid w:val="423050F8"/>
    <w:rsid w:val="42BC4BDD"/>
    <w:rsid w:val="431D7B20"/>
    <w:rsid w:val="43362BE2"/>
    <w:rsid w:val="43784FA8"/>
    <w:rsid w:val="439873F8"/>
    <w:rsid w:val="43A7763B"/>
    <w:rsid w:val="44191BBB"/>
    <w:rsid w:val="45232CF2"/>
    <w:rsid w:val="4537679D"/>
    <w:rsid w:val="455F0699"/>
    <w:rsid w:val="45C36283"/>
    <w:rsid w:val="45F92280"/>
    <w:rsid w:val="46A55988"/>
    <w:rsid w:val="48116ED5"/>
    <w:rsid w:val="48272AF9"/>
    <w:rsid w:val="48D2515B"/>
    <w:rsid w:val="49246A8D"/>
    <w:rsid w:val="496F4686"/>
    <w:rsid w:val="498377CE"/>
    <w:rsid w:val="4A0C336A"/>
    <w:rsid w:val="4A7B1F31"/>
    <w:rsid w:val="4C3A3E93"/>
    <w:rsid w:val="4C487973"/>
    <w:rsid w:val="4C500B5C"/>
    <w:rsid w:val="4C5B5467"/>
    <w:rsid w:val="4CA23096"/>
    <w:rsid w:val="4CC60EE3"/>
    <w:rsid w:val="4CD07C03"/>
    <w:rsid w:val="4CDF4B68"/>
    <w:rsid w:val="4D38619B"/>
    <w:rsid w:val="4DFC0584"/>
    <w:rsid w:val="4E437F61"/>
    <w:rsid w:val="4F55619D"/>
    <w:rsid w:val="50E21CB3"/>
    <w:rsid w:val="51475FBA"/>
    <w:rsid w:val="51600E2A"/>
    <w:rsid w:val="518E742E"/>
    <w:rsid w:val="534770E1"/>
    <w:rsid w:val="536015B5"/>
    <w:rsid w:val="53FF2B7C"/>
    <w:rsid w:val="54524267"/>
    <w:rsid w:val="54B90F7D"/>
    <w:rsid w:val="54DE4E87"/>
    <w:rsid w:val="550C3A61"/>
    <w:rsid w:val="55735DDC"/>
    <w:rsid w:val="561F7505"/>
    <w:rsid w:val="563665FD"/>
    <w:rsid w:val="57B343A9"/>
    <w:rsid w:val="57CB13CA"/>
    <w:rsid w:val="580F759B"/>
    <w:rsid w:val="583A241A"/>
    <w:rsid w:val="584119B5"/>
    <w:rsid w:val="58555460"/>
    <w:rsid w:val="58D702EE"/>
    <w:rsid w:val="58D8399B"/>
    <w:rsid w:val="594F02BA"/>
    <w:rsid w:val="59EE5B85"/>
    <w:rsid w:val="5A2C3F9F"/>
    <w:rsid w:val="5A3B2434"/>
    <w:rsid w:val="5AE8436A"/>
    <w:rsid w:val="5AE900E2"/>
    <w:rsid w:val="5B8E2B6C"/>
    <w:rsid w:val="5BA74225"/>
    <w:rsid w:val="5CB468D0"/>
    <w:rsid w:val="5D190486"/>
    <w:rsid w:val="5D66691D"/>
    <w:rsid w:val="5E6301AB"/>
    <w:rsid w:val="5E7E6D93"/>
    <w:rsid w:val="5E9D370E"/>
    <w:rsid w:val="5EBA426F"/>
    <w:rsid w:val="5F003B23"/>
    <w:rsid w:val="5F096FA4"/>
    <w:rsid w:val="5F3C1128"/>
    <w:rsid w:val="5F454619"/>
    <w:rsid w:val="5FD20974"/>
    <w:rsid w:val="5FF53085"/>
    <w:rsid w:val="5FFD6F2A"/>
    <w:rsid w:val="6029597F"/>
    <w:rsid w:val="61946056"/>
    <w:rsid w:val="62127F1E"/>
    <w:rsid w:val="628B2AD5"/>
    <w:rsid w:val="62A07F3E"/>
    <w:rsid w:val="62C236F2"/>
    <w:rsid w:val="632E6FDA"/>
    <w:rsid w:val="634C56B2"/>
    <w:rsid w:val="64882719"/>
    <w:rsid w:val="66552ACF"/>
    <w:rsid w:val="668A09CB"/>
    <w:rsid w:val="66A01F9C"/>
    <w:rsid w:val="66D24120"/>
    <w:rsid w:val="67A55390"/>
    <w:rsid w:val="684352D5"/>
    <w:rsid w:val="68A54924"/>
    <w:rsid w:val="691744A7"/>
    <w:rsid w:val="69A41DA4"/>
    <w:rsid w:val="69F119F4"/>
    <w:rsid w:val="6A325601"/>
    <w:rsid w:val="6AA10091"/>
    <w:rsid w:val="6AD064F1"/>
    <w:rsid w:val="6AFC5C0F"/>
    <w:rsid w:val="6AFE01FC"/>
    <w:rsid w:val="6B623CC4"/>
    <w:rsid w:val="6B824366"/>
    <w:rsid w:val="6B854062"/>
    <w:rsid w:val="6B9419A4"/>
    <w:rsid w:val="6C037270"/>
    <w:rsid w:val="6C150D37"/>
    <w:rsid w:val="6D6F4477"/>
    <w:rsid w:val="6D7B2E1B"/>
    <w:rsid w:val="6D8A005B"/>
    <w:rsid w:val="6DDB5FB0"/>
    <w:rsid w:val="6E076CCA"/>
    <w:rsid w:val="6E270660"/>
    <w:rsid w:val="6E4E7CAC"/>
    <w:rsid w:val="6E7004A6"/>
    <w:rsid w:val="6ED12205"/>
    <w:rsid w:val="6F032FE9"/>
    <w:rsid w:val="6F58782E"/>
    <w:rsid w:val="6F7C731F"/>
    <w:rsid w:val="6FA7D9DF"/>
    <w:rsid w:val="6FAD572A"/>
    <w:rsid w:val="700F0193"/>
    <w:rsid w:val="70414C5F"/>
    <w:rsid w:val="70447E3C"/>
    <w:rsid w:val="709D579F"/>
    <w:rsid w:val="709F32C5"/>
    <w:rsid w:val="70DA254F"/>
    <w:rsid w:val="712557FC"/>
    <w:rsid w:val="717C5DB2"/>
    <w:rsid w:val="71D945B4"/>
    <w:rsid w:val="72457E9C"/>
    <w:rsid w:val="729A1F96"/>
    <w:rsid w:val="72BB8EBE"/>
    <w:rsid w:val="734737A0"/>
    <w:rsid w:val="74275AAB"/>
    <w:rsid w:val="74505AAF"/>
    <w:rsid w:val="748D5535"/>
    <w:rsid w:val="74C90910"/>
    <w:rsid w:val="751F2C26"/>
    <w:rsid w:val="75412B9C"/>
    <w:rsid w:val="75A373B3"/>
    <w:rsid w:val="762229CE"/>
    <w:rsid w:val="7769462C"/>
    <w:rsid w:val="777D1E86"/>
    <w:rsid w:val="784C1F84"/>
    <w:rsid w:val="793D7B1F"/>
    <w:rsid w:val="7A4827B4"/>
    <w:rsid w:val="7AEF4E49"/>
    <w:rsid w:val="7B2B6F04"/>
    <w:rsid w:val="7B454A69"/>
    <w:rsid w:val="7C182AAF"/>
    <w:rsid w:val="7C2905AD"/>
    <w:rsid w:val="7C80044E"/>
    <w:rsid w:val="7C896BD7"/>
    <w:rsid w:val="7D2D0BE9"/>
    <w:rsid w:val="7E726A04"/>
    <w:rsid w:val="7F0D1D41"/>
    <w:rsid w:val="7F6778C3"/>
    <w:rsid w:val="9FDF690C"/>
    <w:rsid w:val="BEFF2317"/>
    <w:rsid w:val="EB775386"/>
    <w:rsid w:val="ECEF5877"/>
    <w:rsid w:val="FB7BEF23"/>
    <w:rsid w:val="FFEF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200" w:leftChars="200" w:hanging="200" w:hangingChars="2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4876</Words>
  <Characters>4976</Characters>
  <Lines>42</Lines>
  <Paragraphs>11</Paragraphs>
  <TotalTime>2</TotalTime>
  <ScaleCrop>false</ScaleCrop>
  <LinksUpToDate>false</LinksUpToDate>
  <CharactersWithSpaces>5087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2019-12-06T05:42:00Z</dcterms:created>
  <dc:creator>China</dc:creator>
  <cp:lastModifiedBy>鱼丸粗面</cp:lastModifiedBy>
  <cp:lastPrinted>2023-02-02T17:42:00Z</cp:lastPrinted>
  <dcterms:modified xsi:type="dcterms:W3CDTF">2025-04-29T01:31:24Z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5D93A5F9E753451387EB5B03A4B45F78</vt:lpwstr>
  </property>
  <property fmtid="{D5CDD505-2E9C-101B-9397-08002B2CF9AE}" pid="4" name="KSOTemplateDocerSaveRecord">
    <vt:lpwstr>eyJoZGlkIjoiODc1ODY5ODY1OWNiMDA5MjJhOTU4YjVlZTY0N2MwMTkiLCJ1c2VySWQiOiIyNzUyNTk2MTIifQ==</vt:lpwstr>
  </property>
</Properties>
</file>