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Times New Roman" w:hAnsi="Times New Roman" w:eastAsia="方正仿宋_GBK" w:cs="Times New Roman"/>
          <w:sz w:val="32"/>
          <w:szCs w:val="20"/>
        </w:rPr>
      </w:pPr>
      <w:r>
        <w:rPr>
          <w:rFonts w:hint="eastAsia" w:ascii="Times New Roman" w:hAnsi="Times New Roman" w:eastAsia="方正仿宋_GBK" w:cs="Times New Roman"/>
          <w:sz w:val="32"/>
          <w:szCs w:val="20"/>
        </w:rPr>
        <w:pict>
          <v:shape id="_x0000_s2050" o:spid="_x0000_s2050" o:spt="136" type="#_x0000_t136" style="position:absolute;left:0pt;margin-left:92.15pt;margin-top:101.2pt;height:51.9pt;width:411pt;mso-position-horizontal-relative:page;mso-position-vertical-relative:margin;z-index:251658240;mso-width-relative:page;mso-height-relative:page;" fillcolor="#FF0000" filled="t" stroked="f" coordsize="21600,21600" adj="10800">
            <v:path/>
            <v:fill on="t" color2="#FFFFFF" focussize="0,0"/>
            <v:stroke on="f"/>
            <v:imagedata o:title=""/>
            <o:lock v:ext="edit" aspectratio="f"/>
            <v:textpath on="t" fitshape="t" fitpath="t" trim="t" xscale="f" string="云阳县后叶镇人民政府文件" style="font-family:方正小标宋_GBK;font-size:36pt;font-weight:bold;v-text-align:center;"/>
          </v:shape>
        </w:pict>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Times New Roman" w:hAnsi="Times New Roman" w:eastAsia="方正仿宋_GBK" w:cs="Times New Roman"/>
          <w:kern w:val="2"/>
          <w:sz w:val="32"/>
          <w:szCs w:val="20"/>
          <w:lang w:bidi="ar-SA"/>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eastAsia="仿宋_GB231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jc w:val="both"/>
        <w:textAlignment w:val="auto"/>
        <w:rPr>
          <w:rFonts w:hint="eastAsia" w:eastAsia="仿宋_GB2312"/>
          <w:szCs w:val="32"/>
          <w:lang w:eastAsia="zh-CN"/>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lang w:eastAsia="zh-CN"/>
        </w:rPr>
        <w:t>后叶府发</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rPr>
        <w:t>202</w:t>
      </w:r>
      <w:r>
        <w:rPr>
          <w:rFonts w:hint="eastAsia" w:ascii="Times New Roman" w:hAnsi="Times New Roman" w:eastAsia="方正仿宋_GBK" w:cs="Times New Roman"/>
          <w:sz w:val="32"/>
          <w:szCs w:val="32"/>
          <w:lang w:val="en-US" w:eastAsia="zh-CN"/>
        </w:rPr>
        <w:t>4</w:t>
      </w:r>
      <w:r>
        <w:rPr>
          <w:rFonts w:hint="eastAsia" w:ascii="方正仿宋_GBK" w:hAnsi="方正仿宋_GBK" w:eastAsia="方正仿宋_GBK" w:cs="方正仿宋_GBK"/>
          <w:sz w:val="32"/>
          <w:szCs w:val="32"/>
        </w:rPr>
        <w:t>〕</w:t>
      </w:r>
      <w:r>
        <w:rPr>
          <w:rFonts w:hint="eastAsia" w:ascii="Times New Roman" w:hAnsi="Times New Roman" w:eastAsia="方正仿宋_GBK" w:cs="Times New Roman"/>
          <w:sz w:val="32"/>
          <w:szCs w:val="32"/>
          <w:lang w:val="en-US" w:eastAsia="zh-CN"/>
        </w:rPr>
        <w:t>25</w:t>
      </w:r>
      <w:r>
        <w:rPr>
          <w:rFonts w:hint="eastAsia" w:ascii="方正仿宋_GBK" w:hAnsi="方正仿宋_GBK" w:eastAsia="方正仿宋_GBK" w:cs="方正仿宋_GBK"/>
          <w:sz w:val="32"/>
          <w:szCs w:val="32"/>
        </w:rPr>
        <w:t>号</w:t>
      </w:r>
    </w:p>
    <w:p>
      <w:pPr>
        <w:spacing w:line="600" w:lineRule="exact"/>
        <w:jc w:val="center"/>
        <w:rPr>
          <w:szCs w:val="32"/>
        </w:rPr>
      </w:pPr>
      <w:r>
        <w:rPr>
          <w:rFonts w:hint="eastAsia" w:ascii="Times New Roman" w:hAnsi="Times New Roman" w:eastAsia="方正仿宋_GBK" w:cs="Times New Roman"/>
          <w:sz w:val="32"/>
          <w:szCs w:val="20"/>
        </w:rPr>
        <mc:AlternateContent>
          <mc:Choice Requires="wps">
            <w:drawing>
              <wp:anchor distT="0" distB="0" distL="114300" distR="114300" simplePos="0" relativeHeight="251659264" behindDoc="0" locked="0" layoutInCell="1" allowOverlap="1">
                <wp:simplePos x="0" y="0"/>
                <wp:positionH relativeFrom="page">
                  <wp:posOffset>971550</wp:posOffset>
                </wp:positionH>
                <wp:positionV relativeFrom="margin">
                  <wp:posOffset>3014345</wp:posOffset>
                </wp:positionV>
                <wp:extent cx="5615940" cy="0"/>
                <wp:effectExtent l="0" t="10795" r="3810" b="1778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a:effectLst/>
                      </wps:spPr>
                      <wps:bodyPr upright="true"/>
                    </wps:wsp>
                  </a:graphicData>
                </a:graphic>
              </wp:anchor>
            </w:drawing>
          </mc:Choice>
          <mc:Fallback>
            <w:pict>
              <v:line id="_x0000_s1026" o:spid="_x0000_s1026" o:spt="20" style="position:absolute;left:0pt;margin-left:76.5pt;margin-top:237.35pt;height:0pt;width:442.2pt;mso-position-horizontal-relative:page;mso-position-vertical-relative:margin;z-index:251659264;mso-width-relative:page;mso-height-relative:page;" filled="f" stroked="t" coordsize="21600,21600" o:gfxdata="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1yVtidkAAAAMAQAADwAAAAAAAAABACAAAAA4AAAAZHJzL2Rvd25yZXYueG1s&#10;UEsBAhQAFAAAAAgAh07iQMtKidnhAQAAqAMAAA4AAAAAAAAAAQAgAAAAPgEAAGRycy9lMm9Eb2Mu&#10;eG1sUEsFBgAAAAAGAAYAWQEAAJEFAAAAAA==&#10;">
                <v:fill on="f" focussize="0,0"/>
                <v:stroke weight="1.75pt" color="#FF0000" joinstyle="round"/>
                <v:imagedata o:title=""/>
                <o:lock v:ext="edit" aspectratio="f"/>
              </v:line>
            </w:pict>
          </mc:Fallback>
        </mc:AlternateContent>
      </w:r>
    </w:p>
    <w:p>
      <w:pPr>
        <w:pStyle w:val="5"/>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snapToGrid/>
        <w:spacing w:line="720" w:lineRule="exact"/>
        <w:ind w:left="0" w:leftChars="0" w:right="0" w:rightChars="0" w:firstLine="0" w:firstLineChars="0"/>
        <w:jc w:val="center"/>
        <w:textAlignment w:val="auto"/>
        <w:outlineLvl w:val="9"/>
        <w:rPr>
          <w:rFonts w:hint="eastAsia" w:ascii="方正小标宋_GBK" w:hAnsi="Times New Roman" w:eastAsia="方正小标宋_GBK" w:cs="方正小标宋_GBK"/>
          <w:kern w:val="32"/>
          <w:sz w:val="44"/>
          <w:szCs w:val="44"/>
          <w:lang w:eastAsia="zh-CN"/>
        </w:rPr>
      </w:pPr>
      <w:r>
        <w:rPr>
          <w:rFonts w:ascii="方正小标宋_GBK" w:hAnsi="Times New Roman" w:eastAsia="方正小标宋_GBK" w:cs="方正小标宋_GBK"/>
          <w:kern w:val="32"/>
          <w:sz w:val="44"/>
          <w:szCs w:val="44"/>
        </w:rPr>
        <w:t>云阳县</w:t>
      </w:r>
      <w:r>
        <w:rPr>
          <w:rFonts w:hint="eastAsia" w:ascii="方正小标宋_GBK" w:hAnsi="Times New Roman" w:eastAsia="方正小标宋_GBK" w:cs="方正小标宋_GBK"/>
          <w:kern w:val="32"/>
          <w:sz w:val="44"/>
          <w:szCs w:val="44"/>
          <w:lang w:eastAsia="zh-CN"/>
        </w:rPr>
        <w:t>后叶镇人民政府</w:t>
      </w:r>
    </w:p>
    <w:p>
      <w:pPr>
        <w:keepNext w:val="0"/>
        <w:keepLines w:val="0"/>
        <w:pageBreakBefore w:val="0"/>
        <w:widowControl/>
        <w:kinsoku/>
        <w:wordWrap/>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r>
        <w:rPr>
          <w:rFonts w:hint="eastAsia" w:ascii="方正小标宋_GBK" w:eastAsia="方正小标宋_GBK"/>
          <w:sz w:val="44"/>
          <w:szCs w:val="44"/>
          <w:lang w:eastAsia="zh-CN"/>
        </w:rPr>
        <w:t>关于</w:t>
      </w:r>
      <w:r>
        <w:rPr>
          <w:rFonts w:hint="eastAsia" w:ascii="方正小标宋_GBK" w:eastAsia="方正小标宋_GBK"/>
          <w:sz w:val="44"/>
          <w:szCs w:val="44"/>
        </w:rPr>
        <w:t>印发</w:t>
      </w:r>
      <w:r>
        <w:rPr>
          <w:rFonts w:hint="eastAsia" w:ascii="方正小标宋_GBK" w:eastAsia="方正小标宋_GBK"/>
          <w:sz w:val="44"/>
          <w:szCs w:val="44"/>
          <w:lang w:eastAsia="zh-CN"/>
        </w:rPr>
        <w:t>《</w:t>
      </w:r>
      <w:r>
        <w:rPr>
          <w:rFonts w:hint="eastAsia" w:ascii="Times New Roman" w:hAnsi="Times New Roman" w:eastAsia="方正小标宋_GBK" w:cs="Times New Roman"/>
          <w:color w:val="000000"/>
          <w:kern w:val="0"/>
          <w:sz w:val="44"/>
          <w:szCs w:val="44"/>
          <w:lang w:eastAsia="zh-CN"/>
        </w:rPr>
        <w:t>2024</w:t>
      </w:r>
      <w:r>
        <w:rPr>
          <w:rFonts w:hint="eastAsia" w:ascii="方正小标宋_GBK" w:hAnsi="宋体" w:eastAsia="方正小标宋_GBK" w:cs="宋体"/>
          <w:color w:val="000000"/>
          <w:kern w:val="0"/>
          <w:sz w:val="44"/>
          <w:szCs w:val="44"/>
        </w:rPr>
        <w:t>年食品药品安全协管员</w:t>
      </w:r>
    </w:p>
    <w:p>
      <w:pPr>
        <w:keepNext w:val="0"/>
        <w:keepLines w:val="0"/>
        <w:pageBreakBefore w:val="0"/>
        <w:widowControl/>
        <w:kinsoku/>
        <w:wordWrap/>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r>
        <w:rPr>
          <w:rFonts w:hint="eastAsia" w:ascii="方正小标宋_GBK" w:hAnsi="宋体" w:eastAsia="方正小标宋_GBK" w:cs="宋体"/>
          <w:color w:val="000000"/>
          <w:kern w:val="0"/>
          <w:sz w:val="44"/>
          <w:szCs w:val="44"/>
        </w:rPr>
        <w:t>考核方案</w:t>
      </w:r>
      <w:r>
        <w:rPr>
          <w:rFonts w:hint="eastAsia" w:ascii="方正小标宋_GBK" w:eastAsia="方正小标宋_GBK"/>
          <w:sz w:val="44"/>
          <w:szCs w:val="44"/>
          <w:lang w:eastAsia="zh-CN"/>
        </w:rPr>
        <w:t>》</w:t>
      </w:r>
      <w:r>
        <w:rPr>
          <w:rFonts w:hint="eastAsia" w:ascii="方正小标宋_GBK" w:hAnsi="宋体" w:eastAsia="方正小标宋_GBK" w:cs="宋体"/>
          <w:color w:val="000000"/>
          <w:kern w:val="0"/>
          <w:sz w:val="44"/>
          <w:szCs w:val="44"/>
        </w:rPr>
        <w:t>的通知</w:t>
      </w:r>
    </w:p>
    <w:p>
      <w:pPr>
        <w:keepNext w:val="0"/>
        <w:keepLines w:val="0"/>
        <w:pageBreakBefore w:val="0"/>
        <w:widowControl/>
        <w:kinsoku/>
        <w:wordWrap/>
        <w:overflowPunct/>
        <w:topLinePunct w:val="0"/>
        <w:autoSpaceDE/>
        <w:autoSpaceDN/>
        <w:bidi w:val="0"/>
        <w:adjustRightInd/>
        <w:snapToGrid/>
        <w:spacing w:beforeAutospacing="0" w:afterAutospacing="0" w:line="578"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p>
    <w:p>
      <w:pPr>
        <w:keepNext w:val="0"/>
        <w:keepLines w:val="0"/>
        <w:pageBreakBefore w:val="0"/>
        <w:widowControl/>
        <w:kinsoku/>
        <w:wordWrap w:val="0"/>
        <w:overflowPunct/>
        <w:topLinePunct w:val="0"/>
        <w:autoSpaceDE/>
        <w:autoSpaceDN/>
        <w:bidi w:val="0"/>
        <w:adjustRightInd/>
        <w:snapToGrid/>
        <w:spacing w:beforeAutospacing="0" w:afterAutospacing="0" w:line="578" w:lineRule="exact"/>
        <w:ind w:left="0" w:leftChars="0" w:right="0" w:rightChars="0"/>
        <w:jc w:val="left"/>
        <w:textAlignment w:val="auto"/>
        <w:outlineLvl w:val="9"/>
        <w:rPr>
          <w:rFonts w:ascii="宋体" w:hAnsi="宋体" w:eastAsia="宋体" w:cs="宋体"/>
          <w:color w:val="000000"/>
          <w:kern w:val="0"/>
          <w:sz w:val="32"/>
          <w:szCs w:val="32"/>
        </w:rPr>
      </w:pPr>
      <w:r>
        <w:rPr>
          <w:rFonts w:hint="eastAsia" w:ascii="方正仿宋_GBK" w:hAnsi="宋体" w:eastAsia="方正仿宋_GBK" w:cs="宋体"/>
          <w:color w:val="000000"/>
          <w:kern w:val="0"/>
          <w:sz w:val="32"/>
          <w:szCs w:val="32"/>
        </w:rPr>
        <w:t>各村（社区）：</w:t>
      </w:r>
    </w:p>
    <w:p>
      <w:pPr>
        <w:keepNext w:val="0"/>
        <w:keepLines w:val="0"/>
        <w:pageBreakBefore w:val="0"/>
        <w:widowControl/>
        <w:kinsoku/>
        <w:wordWrap w:val="0"/>
        <w:overflowPunct/>
        <w:topLinePunct w:val="0"/>
        <w:autoSpaceDE/>
        <w:autoSpaceDN/>
        <w:bidi w:val="0"/>
        <w:adjustRightInd/>
        <w:snapToGrid/>
        <w:spacing w:beforeAutospacing="0" w:afterAutospacing="0" w:line="578" w:lineRule="exact"/>
        <w:ind w:left="0" w:leftChars="0" w:right="0" w:rightChars="0" w:firstLine="592"/>
        <w:jc w:val="both"/>
        <w:textAlignment w:val="auto"/>
        <w:outlineLvl w:val="9"/>
        <w:rPr>
          <w:rFonts w:hint="eastAsia" w:ascii="方正仿宋_GBK" w:hAnsi="宋体" w:eastAsia="方正仿宋_GBK" w:cs="宋体"/>
          <w:color w:val="000000"/>
          <w:kern w:val="0"/>
          <w:sz w:val="32"/>
          <w:szCs w:val="32"/>
        </w:rPr>
      </w:pPr>
      <w:r>
        <w:rPr>
          <w:rFonts w:hint="eastAsia" w:ascii="方正仿宋_GBK" w:hAnsi="宋体" w:eastAsia="方正仿宋_GBK" w:cs="宋体"/>
          <w:color w:val="000000"/>
          <w:kern w:val="0"/>
          <w:sz w:val="32"/>
          <w:szCs w:val="32"/>
        </w:rPr>
        <w:t>为了加强对全镇食品药品安全协管人员的管理，完善制度，强化考核，结合县食安委制定的考核办法和我镇实际，现将《后叶镇</w:t>
      </w:r>
      <w:r>
        <w:rPr>
          <w:rFonts w:hint="eastAsia" w:ascii="Times New Roman" w:hAnsi="Times New Roman" w:eastAsia="方正仿宋_GBK" w:cs="Times New Roman"/>
          <w:color w:val="000000"/>
          <w:kern w:val="0"/>
          <w:sz w:val="32"/>
          <w:szCs w:val="32"/>
          <w:lang w:eastAsia="zh-CN"/>
        </w:rPr>
        <w:t>2024</w:t>
      </w:r>
      <w:r>
        <w:rPr>
          <w:rFonts w:hint="eastAsia" w:ascii="方正仿宋_GBK" w:hAnsi="宋体" w:eastAsia="方正仿宋_GBK" w:cs="宋体"/>
          <w:color w:val="000000"/>
          <w:kern w:val="0"/>
          <w:sz w:val="32"/>
          <w:szCs w:val="32"/>
        </w:rPr>
        <w:t>年食品药品安全协管员考核方案》印发给你们，请遵照执行。</w:t>
      </w: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jc w:val="both"/>
        <w:textAlignment w:val="auto"/>
        <w:outlineLvl w:val="9"/>
        <w:rPr>
          <w:rFonts w:ascii="方正仿宋_GBK" w:hAnsi="Times New Roman" w:eastAsia="方正仿宋_GBK" w:cs="Times New Roman"/>
          <w:kern w:val="32"/>
          <w:sz w:val="32"/>
          <w:szCs w:val="24"/>
        </w:rPr>
      </w:pPr>
    </w:p>
    <w:p>
      <w:pPr>
        <w:keepNext w:val="0"/>
        <w:keepLines w:val="0"/>
        <w:pageBreakBefore w:val="0"/>
        <w:widowControl w:val="0"/>
        <w:kinsoku/>
        <w:wordWrap/>
        <w:overflowPunct/>
        <w:topLinePunct w:val="0"/>
        <w:autoSpaceDE/>
        <w:autoSpaceDN/>
        <w:bidi w:val="0"/>
        <w:adjustRightInd/>
        <w:snapToGrid/>
        <w:spacing w:line="578" w:lineRule="exact"/>
        <w:ind w:left="0" w:leftChars="0" w:right="0" w:rightChars="0"/>
        <w:jc w:val="both"/>
        <w:textAlignment w:val="auto"/>
        <w:outlineLvl w:val="9"/>
        <w:rPr>
          <w:rFonts w:ascii="方正仿宋_GBK" w:hAnsi="Times New Roman" w:eastAsia="方正仿宋_GBK" w:cs="Times New Roman"/>
          <w:kern w:val="32"/>
          <w:sz w:val="32"/>
          <w:szCs w:val="24"/>
        </w:rPr>
      </w:pPr>
    </w:p>
    <w:p>
      <w:pPr>
        <w:keepNext w:val="0"/>
        <w:keepLines w:val="0"/>
        <w:pageBreakBefore w:val="0"/>
        <w:widowControl w:val="0"/>
        <w:kinsoku/>
        <w:wordWrap w:val="0"/>
        <w:overflowPunct/>
        <w:topLinePunct w:val="0"/>
        <w:autoSpaceDE/>
        <w:autoSpaceDN/>
        <w:bidi w:val="0"/>
        <w:adjustRightInd/>
        <w:snapToGrid/>
        <w:spacing w:line="578" w:lineRule="exact"/>
        <w:ind w:right="0" w:rightChars="0"/>
        <w:jc w:val="right"/>
        <w:textAlignment w:val="auto"/>
        <w:outlineLvl w:val="9"/>
        <w:rPr>
          <w:rFonts w:hint="default" w:ascii="方正仿宋_GBK" w:hAnsi="Times New Roman" w:eastAsia="方正仿宋_GBK" w:cs="Times New Roman"/>
          <w:kern w:val="32"/>
          <w:sz w:val="32"/>
          <w:szCs w:val="32"/>
          <w:lang w:val="en-US" w:eastAsia="zh-CN"/>
        </w:rPr>
      </w:pPr>
      <w:r>
        <w:rPr>
          <w:rFonts w:hint="eastAsia" w:ascii="方正仿宋_GBK" w:hAnsi="Times New Roman" w:eastAsia="方正仿宋_GBK" w:cs="Times New Roman"/>
          <w:kern w:val="32"/>
          <w:sz w:val="32"/>
          <w:szCs w:val="32"/>
          <w:lang w:val="en-US" w:eastAsia="zh-CN"/>
        </w:rPr>
        <w:t>云阳县</w:t>
      </w:r>
      <w:r>
        <w:rPr>
          <w:rFonts w:hint="eastAsia" w:ascii="方正仿宋_GBK" w:hAnsi="Times New Roman" w:eastAsia="方正仿宋_GBK" w:cs="Times New Roman"/>
          <w:kern w:val="32"/>
          <w:sz w:val="32"/>
          <w:szCs w:val="32"/>
        </w:rPr>
        <w:t>后叶镇人民政府</w:t>
      </w:r>
      <w:r>
        <w:rPr>
          <w:rFonts w:hint="eastAsia" w:ascii="方正仿宋_GBK" w:hAnsi="Times New Roman" w:eastAsia="方正仿宋_GBK" w:cs="Times New Roman"/>
          <w:kern w:val="32"/>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78" w:lineRule="exact"/>
        <w:ind w:right="0" w:rightChars="0"/>
        <w:jc w:val="right"/>
        <w:textAlignment w:val="auto"/>
        <w:outlineLvl w:val="9"/>
        <w:rPr>
          <w:rFonts w:hint="eastAsia" w:ascii="方正小标宋_GBK" w:hAnsi="方正小标宋_GBK" w:eastAsia="方正小标宋_GBK" w:cs="方正小标宋_GBK"/>
          <w:kern w:val="32"/>
          <w:sz w:val="44"/>
          <w:szCs w:val="44"/>
          <w:lang w:eastAsia="zh-CN"/>
        </w:rPr>
      </w:pPr>
      <w:r>
        <w:rPr>
          <w:rFonts w:hint="default" w:ascii="Times New Roman" w:hAnsi="Times New Roman" w:eastAsia="方正仿宋_GBK" w:cs="Times New Roman"/>
          <w:kern w:val="32"/>
          <w:sz w:val="32"/>
          <w:szCs w:val="32"/>
        </w:rPr>
        <w:t>202</w:t>
      </w:r>
      <w:r>
        <w:rPr>
          <w:rFonts w:hint="eastAsia" w:ascii="Times New Roman" w:hAnsi="Times New Roman" w:eastAsia="方正仿宋_GBK" w:cs="Times New Roman"/>
          <w:kern w:val="32"/>
          <w:sz w:val="32"/>
          <w:szCs w:val="32"/>
          <w:lang w:val="en-US" w:eastAsia="zh-CN"/>
        </w:rPr>
        <w:t>4</w:t>
      </w:r>
      <w:r>
        <w:rPr>
          <w:rFonts w:hint="eastAsia" w:ascii="方正仿宋_GBK" w:hAnsi="Times New Roman" w:eastAsia="方正仿宋_GBK" w:cs="Times New Roman"/>
          <w:kern w:val="32"/>
          <w:sz w:val="32"/>
          <w:szCs w:val="32"/>
        </w:rPr>
        <w:t>年</w:t>
      </w:r>
      <w:r>
        <w:rPr>
          <w:rFonts w:hint="eastAsia" w:ascii="Times New Roman" w:hAnsi="Times New Roman" w:eastAsia="方正仿宋_GBK" w:cs="Times New Roman"/>
          <w:kern w:val="2"/>
          <w:sz w:val="32"/>
          <w:szCs w:val="32"/>
          <w:lang w:val="en-US" w:eastAsia="zh-CN"/>
        </w:rPr>
        <w:t>8</w:t>
      </w:r>
      <w:r>
        <w:rPr>
          <w:rFonts w:hint="eastAsia" w:ascii="方正仿宋_GBK" w:hAnsi="Times New Roman" w:eastAsia="方正仿宋_GBK" w:cs="Times New Roman"/>
          <w:kern w:val="32"/>
          <w:sz w:val="32"/>
          <w:szCs w:val="32"/>
        </w:rPr>
        <w:t>月</w:t>
      </w:r>
      <w:r>
        <w:rPr>
          <w:rFonts w:hint="eastAsia" w:ascii="Times New Roman" w:hAnsi="Times New Roman" w:eastAsia="方正仿宋_GBK" w:cs="Times New Roman"/>
          <w:kern w:val="2"/>
          <w:sz w:val="32"/>
          <w:szCs w:val="32"/>
          <w:lang w:val="en-US" w:eastAsia="zh-CN"/>
        </w:rPr>
        <w:t>15</w:t>
      </w:r>
      <w:r>
        <w:rPr>
          <w:rFonts w:hint="eastAsia" w:ascii="方正仿宋_GBK" w:hAnsi="Times New Roman" w:eastAsia="方正仿宋_GBK" w:cs="Times New Roman"/>
          <w:kern w:val="32"/>
          <w:sz w:val="32"/>
          <w:szCs w:val="32"/>
        </w:rPr>
        <w:t>日</w:t>
      </w:r>
      <w:r>
        <w:rPr>
          <w:rFonts w:hint="eastAsia" w:ascii="方正仿宋_GBK" w:hAnsi="Times New Roman" w:eastAsia="方正仿宋_GBK" w:cs="Times New Roman"/>
          <w:kern w:val="32"/>
          <w:sz w:val="32"/>
          <w:szCs w:val="32"/>
          <w:lang w:val="en-US" w:eastAsia="zh-CN"/>
        </w:rPr>
        <w:t xml:space="preserve">     </w:t>
      </w:r>
    </w:p>
    <w:p>
      <w:pPr>
        <w:keepNext w:val="0"/>
        <w:keepLines w:val="0"/>
        <w:pageBreakBefore w:val="0"/>
        <w:widowControl/>
        <w:kinsoku/>
        <w:wordWrap w:val="0"/>
        <w:overflowPunct/>
        <w:topLinePunct w:val="0"/>
        <w:autoSpaceDE/>
        <w:autoSpaceDN/>
        <w:bidi w:val="0"/>
        <w:adjustRightInd/>
        <w:snapToGrid/>
        <w:spacing w:beforeAutospacing="0" w:afterAutospacing="0" w:line="578" w:lineRule="exact"/>
        <w:ind w:right="0" w:rightChars="0" w:firstLine="640" w:firstLineChars="200"/>
        <w:jc w:val="left"/>
        <w:textAlignment w:val="auto"/>
        <w:outlineLvl w:val="9"/>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（此件公开发布）</w:t>
      </w:r>
    </w:p>
    <w:p>
      <w:pPr>
        <w:rPr>
          <w:rFonts w:hint="eastAsia"/>
          <w:lang w:eastAsia="zh-CN"/>
        </w:rPr>
      </w:pPr>
      <w:r>
        <w:rPr>
          <w:rFonts w:hint="eastAsia" w:ascii="方正仿宋_GBK" w:hAnsi="方正仿宋_GBK" w:eastAsia="方正仿宋_GBK" w:cs="方正仿宋_GBK"/>
          <w:sz w:val="32"/>
          <w:szCs w:val="32"/>
          <w:lang w:eastAsia="zh-CN"/>
        </w:rPr>
        <w:br w:type="page"/>
      </w:r>
    </w:p>
    <w:p>
      <w:pPr>
        <w:keepNext w:val="0"/>
        <w:keepLines w:val="0"/>
        <w:pageBreakBefore w:val="0"/>
        <w:widowControl/>
        <w:kinsoku/>
        <w:wordWrap w:val="0"/>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ascii="宋体" w:hAnsi="宋体" w:eastAsia="宋体" w:cs="宋体"/>
          <w:color w:val="000000"/>
          <w:kern w:val="0"/>
          <w:sz w:val="24"/>
          <w:szCs w:val="24"/>
        </w:rPr>
      </w:pPr>
      <w:r>
        <w:rPr>
          <w:rFonts w:hint="eastAsia" w:ascii="方正小标宋_GBK" w:hAnsi="宋体" w:eastAsia="方正小标宋_GBK" w:cs="宋体"/>
          <w:color w:val="000000"/>
          <w:kern w:val="0"/>
          <w:sz w:val="44"/>
          <w:szCs w:val="44"/>
        </w:rPr>
        <w:t>后叶镇</w:t>
      </w:r>
      <w:r>
        <w:rPr>
          <w:rFonts w:hint="eastAsia" w:ascii="Times New Roman" w:hAnsi="Times New Roman" w:eastAsia="方正小标宋_GBK" w:cs="Times New Roman"/>
          <w:color w:val="000000"/>
          <w:kern w:val="0"/>
          <w:sz w:val="44"/>
          <w:szCs w:val="44"/>
          <w:lang w:eastAsia="zh-CN"/>
        </w:rPr>
        <w:t>2024</w:t>
      </w:r>
      <w:r>
        <w:rPr>
          <w:rFonts w:hint="eastAsia" w:ascii="方正小标宋_GBK" w:hAnsi="宋体" w:eastAsia="方正小标宋_GBK" w:cs="宋体"/>
          <w:color w:val="000000"/>
          <w:kern w:val="0"/>
          <w:sz w:val="44"/>
          <w:szCs w:val="44"/>
        </w:rPr>
        <w:t>年食品药品安全协管员考核方案</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kern w:val="0"/>
          <w:sz w:val="32"/>
          <w:szCs w:val="32"/>
        </w:rPr>
      </w:pP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kern w:val="0"/>
          <w:sz w:val="32"/>
          <w:szCs w:val="32"/>
        </w:rPr>
        <w:t>为</w:t>
      </w:r>
      <w:r>
        <w:rPr>
          <w:rFonts w:hint="eastAsia" w:ascii="方正仿宋_GBK" w:eastAsia="方正仿宋_GBK"/>
          <w:sz w:val="32"/>
          <w:szCs w:val="32"/>
        </w:rPr>
        <w:t>强化我镇食品药品安全监管，有效地考评各村（社区）食品药品安全协管员履行职责情况，根据《重庆市财政局重庆市食品药品监督管理局关于我市村（社）食品药品安全协管员工作职责和市财政经费补助政策的通知》（渝财社〔</w:t>
      </w:r>
      <w:r>
        <w:rPr>
          <w:rFonts w:hint="default" w:ascii="Times New Roman" w:hAnsi="Times New Roman" w:eastAsia="方正仿宋_GBK" w:cs="Times New Roman"/>
          <w:sz w:val="32"/>
          <w:szCs w:val="32"/>
        </w:rPr>
        <w:t>2014</w:t>
      </w:r>
      <w:r>
        <w:rPr>
          <w:rFonts w:hint="eastAsia" w:ascii="方正仿宋_GBK" w:eastAsia="方正仿宋_GBK"/>
          <w:sz w:val="32"/>
          <w:szCs w:val="32"/>
        </w:rPr>
        <w:t>〕</w:t>
      </w:r>
      <w:r>
        <w:rPr>
          <w:rFonts w:hint="default" w:ascii="Times New Roman" w:hAnsi="Times New Roman" w:eastAsia="方正仿宋_GBK" w:cs="Times New Roman"/>
          <w:sz w:val="32"/>
          <w:szCs w:val="32"/>
        </w:rPr>
        <w:t>200</w:t>
      </w:r>
      <w:r>
        <w:rPr>
          <w:rFonts w:hint="eastAsia" w:ascii="方正仿宋_GBK" w:eastAsia="方正仿宋_GBK"/>
          <w:sz w:val="32"/>
          <w:szCs w:val="32"/>
        </w:rPr>
        <w:t>号）和《云阳县人民政府关于改革完善食品药品监督管理体制的实施意见》（云阳府发〔</w:t>
      </w:r>
      <w:r>
        <w:rPr>
          <w:rFonts w:hint="default" w:ascii="Times New Roman" w:hAnsi="Times New Roman" w:eastAsia="方正仿宋_GBK" w:cs="Times New Roman"/>
          <w:sz w:val="32"/>
          <w:szCs w:val="32"/>
        </w:rPr>
        <w:t>2014</w:t>
      </w:r>
      <w:r>
        <w:rPr>
          <w:rFonts w:hint="eastAsia" w:ascii="方正仿宋_GBK" w:eastAsia="方正仿宋_GBK"/>
          <w:sz w:val="32"/>
          <w:szCs w:val="32"/>
        </w:rPr>
        <w:t>〕</w:t>
      </w:r>
      <w:r>
        <w:rPr>
          <w:rFonts w:hint="default" w:ascii="Times New Roman" w:hAnsi="Times New Roman" w:eastAsia="方正仿宋_GBK" w:cs="Times New Roman"/>
          <w:sz w:val="32"/>
          <w:szCs w:val="32"/>
        </w:rPr>
        <w:t>8</w:t>
      </w:r>
      <w:r>
        <w:rPr>
          <w:rFonts w:hint="eastAsia" w:ascii="方正仿宋_GBK" w:eastAsia="方正仿宋_GBK"/>
          <w:sz w:val="32"/>
          <w:szCs w:val="32"/>
        </w:rPr>
        <w:t>号）文件要求，结合我镇食品药品安全工作实际，制定本考核方案。</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黑体" w:hAnsi="黑体" w:eastAsia="黑体"/>
          <w:sz w:val="32"/>
          <w:szCs w:val="32"/>
        </w:rPr>
      </w:pPr>
      <w:r>
        <w:rPr>
          <w:rFonts w:hint="eastAsia" w:ascii="黑体" w:hAnsi="黑体" w:eastAsia="黑体"/>
          <w:sz w:val="32"/>
          <w:szCs w:val="32"/>
        </w:rPr>
        <w:t>一、考核对象</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sz w:val="32"/>
          <w:szCs w:val="32"/>
        </w:rPr>
        <w:t>全镇村（社区）食品药品安全协管员。</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黑体" w:hAnsi="黑体" w:eastAsia="黑体"/>
          <w:sz w:val="32"/>
          <w:szCs w:val="32"/>
        </w:rPr>
      </w:pPr>
      <w:r>
        <w:rPr>
          <w:rFonts w:hint="eastAsia" w:ascii="黑体" w:hAnsi="黑体" w:eastAsia="黑体"/>
          <w:sz w:val="32"/>
          <w:szCs w:val="32"/>
        </w:rPr>
        <w:t>二、考核原则和组织实施</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sz w:val="32"/>
          <w:szCs w:val="32"/>
        </w:rPr>
        <w:t>食品药品安全协管员考核工作遵循：实事求是、公平公开、注重实效、按劳取酬的原则。食品药品安全协管员实行年度考核，由镇人民政府具体组织实施。镇食安办对考核结果进行备案管理。</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黑体" w:hAnsi="黑体" w:eastAsia="黑体"/>
          <w:sz w:val="32"/>
          <w:szCs w:val="32"/>
        </w:rPr>
      </w:pPr>
      <w:r>
        <w:rPr>
          <w:rFonts w:hint="eastAsia" w:ascii="黑体" w:hAnsi="黑体" w:eastAsia="黑体"/>
          <w:sz w:val="32"/>
          <w:szCs w:val="32"/>
        </w:rPr>
        <w:t>三、食品药品安全协管员工作职责</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楷体_GBK" w:hAnsi="方正楷体_GBK" w:eastAsia="方正楷体_GBK" w:cs="方正楷体_GBK"/>
          <w:sz w:val="32"/>
          <w:szCs w:val="32"/>
        </w:rPr>
        <w:t>（一）</w:t>
      </w:r>
      <w:r>
        <w:rPr>
          <w:rFonts w:hint="eastAsia" w:ascii="方正仿宋_GBK" w:eastAsia="方正仿宋_GBK"/>
          <w:sz w:val="32"/>
          <w:szCs w:val="32"/>
        </w:rPr>
        <w:t>掌握本村（社区）食品药品生产经营和使用单位的基本情况，建立基础档案；开展本村（社区）食品药品安全日常巡查工作；协助镇食品药品办开展食品药品安全日常监督管理和专项整治工作；协助开展农村家庭宴席备案工作。</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楷体_GBK" w:hAnsi="方正楷体_GBK" w:eastAsia="方正楷体_GBK" w:cs="方正楷体_GBK"/>
          <w:sz w:val="32"/>
          <w:szCs w:val="32"/>
        </w:rPr>
        <w:t>（二）</w:t>
      </w:r>
      <w:r>
        <w:rPr>
          <w:rFonts w:hint="eastAsia" w:ascii="方正仿宋_GBK" w:eastAsia="方正仿宋_GBK"/>
          <w:sz w:val="32"/>
          <w:szCs w:val="32"/>
        </w:rPr>
        <w:t>在发生或发现食品安全事故或突发药品安全事件时，第一时间上报并协助食品药品安全监管机构进行现场处置；协助有关部门开展医疗救治和食品安全事故流行病学调查。</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楷体_GBK" w:hAnsi="方正楷体_GBK" w:eastAsia="方正楷体_GBK" w:cs="方正楷体_GBK"/>
          <w:sz w:val="32"/>
          <w:szCs w:val="32"/>
        </w:rPr>
        <w:t>（三）</w:t>
      </w:r>
      <w:r>
        <w:rPr>
          <w:rFonts w:hint="eastAsia" w:ascii="方正仿宋_GBK" w:eastAsia="方正仿宋_GBK"/>
          <w:sz w:val="32"/>
          <w:szCs w:val="32"/>
        </w:rPr>
        <w:t>定期收集和上报本村（社区）食品药品安全基础信息；及时发现和上报食品药品生产经营者的违法行为或违法线索；发现制售假冒伪劣食品药品或有质量安全隐患的涉案证据进行就地维护保存，控制事发现场，并及时向当地政府和相关职能部门报告；收集并及时上报辖区内群众关于食品药品安全的意见和建议。</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楷体_GBK" w:hAnsi="方正楷体_GBK" w:eastAsia="方正楷体_GBK" w:cs="方正楷体_GBK"/>
          <w:sz w:val="32"/>
          <w:szCs w:val="32"/>
        </w:rPr>
        <w:t>（四）</w:t>
      </w:r>
      <w:r>
        <w:rPr>
          <w:rFonts w:hint="eastAsia" w:ascii="方正仿宋_GBK" w:eastAsia="方正仿宋_GBK"/>
          <w:sz w:val="32"/>
          <w:szCs w:val="32"/>
        </w:rPr>
        <w:t>积极配合镇食安办开展食品药品安全法律法规和科普知识的宣传，增强群众依法维权能力和食品药品安全意识，强化食品药品生产经营者的知法守法意识。</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黑体" w:hAnsi="黑体" w:eastAsia="黑体"/>
          <w:sz w:val="32"/>
          <w:szCs w:val="32"/>
        </w:rPr>
      </w:pPr>
      <w:r>
        <w:rPr>
          <w:rFonts w:hint="eastAsia" w:ascii="黑体" w:hAnsi="黑体" w:eastAsia="黑体"/>
          <w:sz w:val="32"/>
          <w:szCs w:val="32"/>
        </w:rPr>
        <w:t>四、考核内容</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sz w:val="32"/>
          <w:szCs w:val="32"/>
        </w:rPr>
        <w:t>结合食品药品监管体制改革工作实际，对食品药品安全协管员履行职责进行考核。考核共设置</w:t>
      </w:r>
      <w:r>
        <w:rPr>
          <w:rFonts w:hint="default" w:ascii="Times New Roman" w:hAnsi="Times New Roman" w:eastAsia="方正仿宋_GBK" w:cs="Times New Roman"/>
          <w:sz w:val="32"/>
          <w:szCs w:val="32"/>
        </w:rPr>
        <w:t>3</w:t>
      </w:r>
      <w:r>
        <w:rPr>
          <w:rFonts w:hint="eastAsia" w:ascii="方正仿宋_GBK" w:eastAsia="方正仿宋_GBK"/>
          <w:sz w:val="32"/>
          <w:szCs w:val="32"/>
        </w:rPr>
        <w:t>个大的考核项目，其中，基础工作</w:t>
      </w:r>
      <w:r>
        <w:rPr>
          <w:rFonts w:hint="default" w:ascii="Times New Roman" w:hAnsi="Times New Roman" w:eastAsia="方正仿宋_GBK" w:cs="Times New Roman"/>
          <w:sz w:val="32"/>
          <w:szCs w:val="32"/>
        </w:rPr>
        <w:t>70</w:t>
      </w:r>
      <w:r>
        <w:rPr>
          <w:rFonts w:hint="eastAsia" w:ascii="方正仿宋_GBK" w:eastAsia="方正仿宋_GBK"/>
          <w:sz w:val="32"/>
          <w:szCs w:val="32"/>
        </w:rPr>
        <w:t>分、宣传工作</w:t>
      </w:r>
      <w:r>
        <w:rPr>
          <w:rFonts w:hint="default" w:ascii="Times New Roman" w:hAnsi="Times New Roman" w:eastAsia="方正仿宋_GBK" w:cs="Times New Roman"/>
          <w:sz w:val="32"/>
          <w:szCs w:val="32"/>
        </w:rPr>
        <w:t>10</w:t>
      </w:r>
      <w:r>
        <w:rPr>
          <w:rFonts w:hint="eastAsia" w:ascii="方正仿宋_GBK" w:eastAsia="方正仿宋_GBK"/>
          <w:sz w:val="32"/>
          <w:szCs w:val="32"/>
        </w:rPr>
        <w:t>分、综合工作</w:t>
      </w:r>
      <w:r>
        <w:rPr>
          <w:rFonts w:hint="default" w:ascii="Times New Roman" w:hAnsi="Times New Roman" w:eastAsia="方正仿宋_GBK" w:cs="Times New Roman"/>
          <w:sz w:val="32"/>
          <w:szCs w:val="32"/>
        </w:rPr>
        <w:t>20</w:t>
      </w:r>
      <w:r>
        <w:rPr>
          <w:rFonts w:hint="eastAsia" w:ascii="方正仿宋_GBK" w:eastAsia="方正仿宋_GBK"/>
          <w:sz w:val="32"/>
          <w:szCs w:val="32"/>
        </w:rPr>
        <w:t>分，总分</w:t>
      </w:r>
      <w:r>
        <w:rPr>
          <w:rFonts w:hint="default" w:ascii="Times New Roman" w:hAnsi="Times New Roman" w:eastAsia="方正仿宋_GBK" w:cs="Times New Roman"/>
          <w:sz w:val="32"/>
          <w:szCs w:val="32"/>
        </w:rPr>
        <w:t>100</w:t>
      </w:r>
      <w:r>
        <w:rPr>
          <w:rFonts w:hint="eastAsia" w:ascii="方正仿宋_GBK" w:eastAsia="方正仿宋_GBK"/>
          <w:sz w:val="32"/>
          <w:szCs w:val="32"/>
        </w:rPr>
        <w:t>分。（考核细则见附件）</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黑体" w:hAnsi="黑体" w:eastAsia="黑体"/>
          <w:sz w:val="32"/>
          <w:szCs w:val="32"/>
        </w:rPr>
      </w:pPr>
      <w:r>
        <w:rPr>
          <w:rFonts w:hint="eastAsia" w:ascii="黑体" w:hAnsi="黑体" w:eastAsia="黑体"/>
          <w:sz w:val="32"/>
          <w:szCs w:val="32"/>
        </w:rPr>
        <w:t>五、考核方式</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sz w:val="32"/>
          <w:szCs w:val="32"/>
        </w:rPr>
        <w:t>由镇人民政府具体组织实施对本辖区内食品药品安全协管员的考核工作。食品药品安全协管员考核实行</w:t>
      </w:r>
      <w:r>
        <w:rPr>
          <w:rFonts w:hint="default" w:ascii="Times New Roman" w:hAnsi="Times New Roman" w:eastAsia="方正仿宋_GBK" w:cs="Times New Roman"/>
          <w:sz w:val="32"/>
          <w:szCs w:val="32"/>
        </w:rPr>
        <w:t>100</w:t>
      </w:r>
      <w:r>
        <w:rPr>
          <w:rFonts w:hint="eastAsia" w:ascii="方正仿宋_GBK" w:eastAsia="方正仿宋_GBK"/>
          <w:sz w:val="32"/>
          <w:szCs w:val="32"/>
        </w:rPr>
        <w:t>分制，分为优秀、称职、不称职三个等次；得分</w:t>
      </w:r>
      <w:r>
        <w:rPr>
          <w:rFonts w:hint="default" w:ascii="Times New Roman" w:hAnsi="Times New Roman" w:eastAsia="方正仿宋_GBK" w:cs="Times New Roman"/>
          <w:sz w:val="32"/>
          <w:szCs w:val="32"/>
        </w:rPr>
        <w:t>90</w:t>
      </w:r>
      <w:r>
        <w:rPr>
          <w:rFonts w:hint="eastAsia" w:ascii="方正仿宋_GBK" w:eastAsia="方正仿宋_GBK"/>
          <w:sz w:val="32"/>
          <w:szCs w:val="32"/>
        </w:rPr>
        <w:t>以上为优秀，</w:t>
      </w:r>
      <w:r>
        <w:rPr>
          <w:rFonts w:hint="default" w:ascii="Times New Roman" w:hAnsi="Times New Roman" w:eastAsia="方正仿宋_GBK" w:cs="Times New Roman"/>
          <w:sz w:val="32"/>
          <w:szCs w:val="32"/>
        </w:rPr>
        <w:t>70</w:t>
      </w:r>
      <w:r>
        <w:rPr>
          <w:rFonts w:hint="eastAsia" w:ascii="方正仿宋_GBK" w:eastAsia="方正仿宋_GBK"/>
          <w:sz w:val="32"/>
          <w:szCs w:val="32"/>
        </w:rPr>
        <w:t>分-</w:t>
      </w:r>
      <w:r>
        <w:rPr>
          <w:rFonts w:hint="default" w:ascii="Times New Roman" w:hAnsi="Times New Roman" w:eastAsia="方正仿宋_GBK" w:cs="Times New Roman"/>
          <w:sz w:val="32"/>
          <w:szCs w:val="32"/>
        </w:rPr>
        <w:t>90</w:t>
      </w:r>
      <w:r>
        <w:rPr>
          <w:rFonts w:hint="eastAsia" w:ascii="方正仿宋_GBK" w:eastAsia="方正仿宋_GBK"/>
          <w:sz w:val="32"/>
          <w:szCs w:val="32"/>
        </w:rPr>
        <w:t>分为称职，</w:t>
      </w:r>
      <w:r>
        <w:rPr>
          <w:rFonts w:hint="default" w:ascii="Times New Roman" w:hAnsi="Times New Roman" w:eastAsia="方正仿宋_GBK" w:cs="Times New Roman"/>
          <w:sz w:val="32"/>
          <w:szCs w:val="32"/>
        </w:rPr>
        <w:t>70</w:t>
      </w:r>
      <w:r>
        <w:rPr>
          <w:rFonts w:hint="eastAsia" w:ascii="方正仿宋_GBK" w:eastAsia="方正仿宋_GBK"/>
          <w:sz w:val="32"/>
          <w:szCs w:val="32"/>
        </w:rPr>
        <w:t>分以下为不称职（以上包含本分值，以下不包含本分值）；对考核不称职者，可进行一次约谈或解聘，连续</w:t>
      </w:r>
      <w:r>
        <w:rPr>
          <w:rFonts w:hint="default" w:ascii="Times New Roman" w:hAnsi="Times New Roman" w:eastAsia="方正仿宋_GBK" w:cs="Times New Roman"/>
          <w:sz w:val="32"/>
          <w:szCs w:val="32"/>
        </w:rPr>
        <w:t>2</w:t>
      </w:r>
      <w:r>
        <w:rPr>
          <w:rFonts w:hint="eastAsia" w:ascii="方正仿宋_GBK" w:eastAsia="方正仿宋_GBK"/>
          <w:sz w:val="32"/>
          <w:szCs w:val="32"/>
        </w:rPr>
        <w:t>年考评为不称职者，应终止聘用。</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r>
        <w:rPr>
          <w:rFonts w:hint="eastAsia" w:ascii="方正仿宋_GBK" w:eastAsia="方正仿宋_GBK"/>
          <w:sz w:val="32"/>
          <w:szCs w:val="32"/>
        </w:rPr>
        <w:t>对评定优秀的人员可在</w:t>
      </w:r>
      <w:r>
        <w:rPr>
          <w:rFonts w:hint="default" w:ascii="Times New Roman" w:hAnsi="Times New Roman" w:eastAsia="方正仿宋_GBK" w:cs="Times New Roman"/>
          <w:sz w:val="32"/>
          <w:szCs w:val="32"/>
        </w:rPr>
        <w:t>300</w:t>
      </w:r>
      <w:r>
        <w:rPr>
          <w:rFonts w:hint="eastAsia" w:ascii="方正仿宋_GBK" w:eastAsia="方正仿宋_GBK"/>
          <w:sz w:val="32"/>
          <w:szCs w:val="32"/>
        </w:rPr>
        <w:t>元/每月政府补助的基础上适当地给予奖励；对评定为不称职者人员，根据具体情况扣发补助，用作对优秀人员的奖励。奖勤惩懒，充分调动协管员的积极性，督促食品药品协管员工作尽职尽责，全力确保人民群众饮食用药安全。</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eastAsia="方正仿宋_GBK"/>
          <w:sz w:val="32"/>
          <w:szCs w:val="32"/>
        </w:rPr>
      </w:pP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附件：后叶镇</w:t>
      </w:r>
      <w:r>
        <w:rPr>
          <w:rFonts w:hint="eastAsia" w:ascii="Times New Roman" w:hAnsi="Times New Roman" w:eastAsia="方正仿宋_GBK" w:cs="Times New Roman"/>
          <w:sz w:val="32"/>
          <w:szCs w:val="32"/>
          <w:lang w:eastAsia="zh-CN"/>
        </w:rPr>
        <w:t>2024</w:t>
      </w:r>
      <w:r>
        <w:rPr>
          <w:rFonts w:hint="eastAsia" w:ascii="方正仿宋_GBK" w:hAnsi="方正仿宋_GBK" w:eastAsia="方正仿宋_GBK" w:cs="方正仿宋_GBK"/>
          <w:sz w:val="32"/>
          <w:szCs w:val="32"/>
        </w:rPr>
        <w:t>年食品药品安全协管员考核实施细则</w:t>
      </w:r>
    </w:p>
    <w:p>
      <w:pPr>
        <w:keepNext w:val="0"/>
        <w:keepLines w:val="0"/>
        <w:pageBreakBefore w:val="0"/>
        <w:kinsoku/>
        <w:wordWrap/>
        <w:overflowPunct/>
        <w:topLinePunct w:val="0"/>
        <w:autoSpaceDE/>
        <w:autoSpaceDN/>
        <w:bidi w:val="0"/>
        <w:adjustRightInd/>
        <w:snapToGrid/>
        <w:spacing w:line="578" w:lineRule="exact"/>
        <w:ind w:left="0" w:leftChars="0" w:right="0" w:rightChars="0" w:firstLine="640" w:firstLineChars="200"/>
        <w:textAlignment w:val="auto"/>
        <w:outlineLvl w:val="9"/>
        <w:rPr>
          <w:rFonts w:ascii="宋体" w:eastAsia="宋体"/>
          <w:kern w:val="0"/>
          <w:sz w:val="32"/>
          <w:szCs w:val="32"/>
        </w:rPr>
      </w:pPr>
      <w:r>
        <w:rPr>
          <w:rFonts w:hint="eastAsia"/>
          <w:sz w:val="32"/>
          <w:szCs w:val="32"/>
        </w:rPr>
        <w:br w:type="textWrapping"/>
      </w: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rPr>
          <w:rFonts w:ascii="宋体" w:hAnsi="宋体" w:eastAsia="宋体" w:cs="宋体"/>
          <w:kern w:val="0"/>
          <w:sz w:val="32"/>
          <w:szCs w:val="32"/>
        </w:rPr>
      </w:pPr>
      <w:r>
        <w:rPr>
          <w:rFonts w:ascii="宋体" w:hAnsi="宋体" w:eastAsia="宋体" w:cs="宋体"/>
          <w:kern w:val="0"/>
          <w:sz w:val="32"/>
          <w:szCs w:val="32"/>
        </w:rPr>
        <w:br w:type="page"/>
      </w:r>
    </w:p>
    <w:p>
      <w:pPr>
        <w:pStyle w:val="3"/>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keepNext w:val="0"/>
        <w:keepLines w:val="0"/>
        <w:pageBreakBefore w:val="0"/>
        <w:widowControl/>
        <w:kinsoku/>
        <w:wordWrap/>
        <w:overflowPunct/>
        <w:topLinePunct w:val="0"/>
        <w:autoSpaceDE/>
        <w:autoSpaceDN/>
        <w:bidi w:val="0"/>
        <w:adjustRightInd/>
        <w:snapToGrid/>
        <w:spacing w:line="578" w:lineRule="exact"/>
        <w:ind w:left="0" w:leftChars="0" w:right="0" w:rightChars="0"/>
        <w:jc w:val="left"/>
        <w:textAlignment w:val="auto"/>
        <w:outlineLvl w:val="9"/>
        <w:rPr>
          <w:rFonts w:ascii="宋体" w:hAnsi="宋体" w:eastAsia="宋体" w:cs="宋体"/>
          <w:kern w:val="0"/>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Pr>
        <w:pStyle w:val="3"/>
        <w:rPr>
          <w:rFonts w:eastAsia="方正仿宋_GBK"/>
          <w:sz w:val="32"/>
          <w:szCs w:val="32"/>
        </w:rPr>
      </w:pPr>
    </w:p>
    <w:p>
      <w:pPr>
        <w:rPr>
          <w:rFonts w:eastAsia="方正仿宋_GBK"/>
          <w:sz w:val="32"/>
          <w:szCs w:val="32"/>
        </w:rPr>
      </w:pPr>
    </w:p>
    <w:p/>
    <w:p/>
    <w:p/>
    <w:p>
      <w:pPr>
        <w:pStyle w:val="2"/>
      </w:pPr>
    </w:p>
    <w:p/>
    <w:p>
      <w:pPr>
        <w:pStyle w:val="2"/>
      </w:pPr>
    </w:p>
    <w:p>
      <w:bookmarkStart w:id="0" w:name="_GoBack"/>
      <w:bookmarkEnd w:id="0"/>
    </w:p>
    <w:p>
      <w:pPr>
        <w:widowControl/>
        <w:wordWrap w:val="0"/>
        <w:spacing w:before="100" w:beforeAutospacing="1" w:after="100" w:afterAutospacing="1" w:line="380" w:lineRule="atLeast"/>
        <w:jc w:val="left"/>
        <w:rPr>
          <w:rFonts w:hint="eastAsia" w:ascii="方正黑体_GBK" w:hAnsi="方正黑体_GBK" w:eastAsia="方正黑体_GBK" w:cs="方正黑体_GBK"/>
          <w:color w:val="000000"/>
          <w:kern w:val="0"/>
          <w:sz w:val="32"/>
          <w:szCs w:val="32"/>
        </w:rPr>
      </w:pPr>
      <w:r>
        <w:rPr>
          <w:rFonts w:hint="eastAsia" w:ascii="方正黑体_GBK" w:hAnsi="方正黑体_GBK" w:eastAsia="方正黑体_GBK" w:cs="方正黑体_GBK"/>
          <w:color w:val="000000"/>
          <w:kern w:val="0"/>
          <w:sz w:val="32"/>
          <w:szCs w:val="32"/>
        </w:rPr>
        <w:t>附件</w:t>
      </w:r>
    </w:p>
    <w:p>
      <w:pPr>
        <w:keepNext w:val="0"/>
        <w:keepLines w:val="0"/>
        <w:pageBreakBefore w:val="0"/>
        <w:widowControl/>
        <w:kinsoku/>
        <w:wordWrap w:val="0"/>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r>
        <w:rPr>
          <w:rFonts w:hint="eastAsia" w:ascii="方正小标宋_GBK" w:hAnsi="宋体" w:eastAsia="方正小标宋_GBK" w:cs="宋体"/>
          <w:color w:val="000000"/>
          <w:kern w:val="0"/>
          <w:sz w:val="44"/>
          <w:szCs w:val="44"/>
        </w:rPr>
        <w:t>云阳县后叶镇</w:t>
      </w:r>
      <w:r>
        <w:rPr>
          <w:rFonts w:hint="eastAsia" w:ascii="Times New Roman" w:hAnsi="Times New Roman" w:eastAsia="方正小标宋_GBK" w:cs="Times New Roman"/>
          <w:color w:val="000000"/>
          <w:kern w:val="0"/>
          <w:sz w:val="44"/>
          <w:szCs w:val="44"/>
          <w:lang w:eastAsia="zh-CN"/>
        </w:rPr>
        <w:t>2024</w:t>
      </w:r>
      <w:r>
        <w:rPr>
          <w:rFonts w:hint="eastAsia" w:ascii="方正小标宋_GBK" w:hAnsi="宋体" w:eastAsia="方正小标宋_GBK" w:cs="宋体"/>
          <w:color w:val="000000"/>
          <w:kern w:val="0"/>
          <w:sz w:val="44"/>
          <w:szCs w:val="44"/>
        </w:rPr>
        <w:t>年食品药品安全</w:t>
      </w:r>
    </w:p>
    <w:p>
      <w:pPr>
        <w:keepNext w:val="0"/>
        <w:keepLines w:val="0"/>
        <w:pageBreakBefore w:val="0"/>
        <w:widowControl/>
        <w:kinsoku/>
        <w:wordWrap w:val="0"/>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r>
        <w:rPr>
          <w:rFonts w:hint="eastAsia" w:ascii="方正小标宋_GBK" w:hAnsi="宋体" w:eastAsia="方正小标宋_GBK" w:cs="宋体"/>
          <w:color w:val="000000"/>
          <w:kern w:val="0"/>
          <w:sz w:val="44"/>
          <w:szCs w:val="44"/>
        </w:rPr>
        <w:t>协管员考核实施细则</w:t>
      </w:r>
    </w:p>
    <w:p>
      <w:pPr>
        <w:keepNext w:val="0"/>
        <w:keepLines w:val="0"/>
        <w:pageBreakBefore w:val="0"/>
        <w:widowControl/>
        <w:kinsoku/>
        <w:wordWrap w:val="0"/>
        <w:overflowPunct/>
        <w:topLinePunct w:val="0"/>
        <w:autoSpaceDE/>
        <w:autoSpaceDN/>
        <w:bidi w:val="0"/>
        <w:adjustRightInd/>
        <w:snapToGrid/>
        <w:spacing w:beforeAutospacing="0" w:afterAutospacing="0" w:line="578" w:lineRule="exact"/>
        <w:ind w:left="0" w:leftChars="0" w:right="0" w:rightChars="0" w:firstLine="0" w:firstLineChars="0"/>
        <w:jc w:val="center"/>
        <w:textAlignment w:val="auto"/>
        <w:outlineLvl w:val="9"/>
        <w:rPr>
          <w:rFonts w:hint="eastAsia" w:ascii="方正小标宋_GBK" w:hAnsi="宋体" w:eastAsia="方正小标宋_GBK" w:cs="宋体"/>
          <w:color w:val="000000"/>
          <w:kern w:val="0"/>
          <w:sz w:val="44"/>
          <w:szCs w:val="44"/>
        </w:rPr>
      </w:pPr>
    </w:p>
    <w:tbl>
      <w:tblPr>
        <w:tblStyle w:val="11"/>
        <w:tblW w:w="9721"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1186"/>
        <w:gridCol w:w="1357"/>
        <w:gridCol w:w="3250"/>
        <w:gridCol w:w="3196"/>
        <w:gridCol w:w="73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tcBorders>
              <w:top w:val="outset" w:color="auto" w:sz="6" w:space="0"/>
              <w:left w:val="outset" w:color="auto" w:sz="6" w:space="0"/>
              <w:bottom w:val="outset" w:color="auto" w:sz="6" w:space="0"/>
              <w:right w:val="outset" w:color="auto" w:sz="6" w:space="0"/>
            </w:tcBorders>
          </w:tcPr>
          <w:p>
            <w:pPr>
              <w:widowControl/>
              <w:wordWrap w:val="0"/>
              <w:spacing w:before="100" w:beforeAutospacing="1" w:after="100" w:afterAutospacing="1"/>
              <w:jc w:val="center"/>
              <w:rPr>
                <w:rFonts w:hint="eastAsia" w:ascii="方正楷体_GBK" w:hAnsi="方正楷体_GBK" w:eastAsia="方正楷体_GBK" w:cs="方正楷体_GBK"/>
                <w:kern w:val="0"/>
                <w:sz w:val="24"/>
                <w:szCs w:val="24"/>
              </w:rPr>
            </w:pPr>
            <w:r>
              <w:rPr>
                <w:rFonts w:hint="eastAsia" w:ascii="方正楷体_GBK" w:hAnsi="方正楷体_GBK" w:eastAsia="方正楷体_GBK" w:cs="方正楷体_GBK"/>
                <w:kern w:val="0"/>
                <w:sz w:val="28"/>
                <w:szCs w:val="28"/>
              </w:rPr>
              <w:t>项目</w:t>
            </w:r>
          </w:p>
        </w:tc>
        <w:tc>
          <w:tcPr>
            <w:tcW w:w="1357" w:type="dxa"/>
            <w:tcBorders>
              <w:top w:val="outset" w:color="auto" w:sz="6" w:space="0"/>
              <w:left w:val="outset" w:color="auto" w:sz="6" w:space="0"/>
              <w:bottom w:val="outset" w:color="auto" w:sz="6" w:space="0"/>
              <w:right w:val="outset" w:color="auto" w:sz="6" w:space="0"/>
            </w:tcBorders>
          </w:tcPr>
          <w:p>
            <w:pPr>
              <w:widowControl/>
              <w:wordWrap w:val="0"/>
              <w:spacing w:before="100" w:beforeAutospacing="1" w:after="100" w:afterAutospacing="1"/>
              <w:jc w:val="center"/>
              <w:rPr>
                <w:rFonts w:hint="eastAsia" w:ascii="方正楷体_GBK" w:hAnsi="方正楷体_GBK" w:eastAsia="方正楷体_GBK" w:cs="方正楷体_GBK"/>
                <w:kern w:val="0"/>
                <w:sz w:val="24"/>
                <w:szCs w:val="24"/>
              </w:rPr>
            </w:pPr>
            <w:r>
              <w:rPr>
                <w:rFonts w:hint="eastAsia" w:ascii="方正楷体_GBK" w:hAnsi="方正楷体_GBK" w:eastAsia="方正楷体_GBK" w:cs="方正楷体_GBK"/>
                <w:kern w:val="0"/>
                <w:sz w:val="28"/>
                <w:szCs w:val="28"/>
              </w:rPr>
              <w:t>序号</w:t>
            </w:r>
          </w:p>
        </w:tc>
        <w:tc>
          <w:tcPr>
            <w:tcW w:w="3250" w:type="dxa"/>
            <w:tcBorders>
              <w:top w:val="outset" w:color="auto" w:sz="6" w:space="0"/>
              <w:left w:val="outset" w:color="auto" w:sz="6" w:space="0"/>
              <w:bottom w:val="outset" w:color="auto" w:sz="6" w:space="0"/>
              <w:right w:val="outset" w:color="auto" w:sz="6" w:space="0"/>
            </w:tcBorders>
          </w:tcPr>
          <w:p>
            <w:pPr>
              <w:widowControl/>
              <w:wordWrap w:val="0"/>
              <w:spacing w:before="100" w:beforeAutospacing="1" w:after="100" w:afterAutospacing="1"/>
              <w:jc w:val="center"/>
              <w:rPr>
                <w:rFonts w:hint="eastAsia" w:ascii="方正楷体_GBK" w:hAnsi="方正楷体_GBK" w:eastAsia="方正楷体_GBK" w:cs="方正楷体_GBK"/>
                <w:kern w:val="0"/>
                <w:sz w:val="24"/>
                <w:szCs w:val="24"/>
              </w:rPr>
            </w:pPr>
            <w:r>
              <w:rPr>
                <w:rFonts w:hint="eastAsia" w:ascii="方正楷体_GBK" w:hAnsi="方正楷体_GBK" w:eastAsia="方正楷体_GBK" w:cs="方正楷体_GBK"/>
                <w:kern w:val="0"/>
                <w:sz w:val="28"/>
                <w:szCs w:val="28"/>
              </w:rPr>
              <w:t>考核内容</w:t>
            </w:r>
          </w:p>
        </w:tc>
        <w:tc>
          <w:tcPr>
            <w:tcW w:w="3196" w:type="dxa"/>
            <w:tcBorders>
              <w:top w:val="outset" w:color="auto" w:sz="6" w:space="0"/>
              <w:left w:val="outset" w:color="auto" w:sz="6" w:space="0"/>
              <w:bottom w:val="outset" w:color="auto" w:sz="6" w:space="0"/>
              <w:right w:val="outset" w:color="auto" w:sz="6" w:space="0"/>
            </w:tcBorders>
          </w:tcPr>
          <w:p>
            <w:pPr>
              <w:widowControl/>
              <w:wordWrap w:val="0"/>
              <w:spacing w:before="100" w:beforeAutospacing="1" w:after="100" w:afterAutospacing="1"/>
              <w:jc w:val="center"/>
              <w:rPr>
                <w:rFonts w:hint="eastAsia" w:ascii="方正楷体_GBK" w:hAnsi="方正楷体_GBK" w:eastAsia="方正楷体_GBK" w:cs="方正楷体_GBK"/>
                <w:kern w:val="0"/>
                <w:sz w:val="24"/>
                <w:szCs w:val="24"/>
              </w:rPr>
            </w:pPr>
            <w:r>
              <w:rPr>
                <w:rFonts w:hint="eastAsia" w:ascii="方正楷体_GBK" w:hAnsi="方正楷体_GBK" w:eastAsia="方正楷体_GBK" w:cs="方正楷体_GBK"/>
                <w:kern w:val="0"/>
                <w:sz w:val="28"/>
                <w:szCs w:val="28"/>
              </w:rPr>
              <w:t>评分标准</w:t>
            </w:r>
          </w:p>
        </w:tc>
        <w:tc>
          <w:tcPr>
            <w:tcW w:w="732" w:type="dxa"/>
            <w:tcBorders>
              <w:top w:val="outset" w:color="auto" w:sz="6" w:space="0"/>
              <w:left w:val="outset" w:color="auto" w:sz="6" w:space="0"/>
              <w:bottom w:val="outset" w:color="auto" w:sz="6" w:space="0"/>
              <w:right w:val="outset" w:color="auto" w:sz="6" w:space="0"/>
            </w:tcBorders>
          </w:tcPr>
          <w:p>
            <w:pPr>
              <w:widowControl/>
              <w:wordWrap w:val="0"/>
              <w:spacing w:before="100" w:beforeAutospacing="1" w:after="100" w:afterAutospacing="1"/>
              <w:jc w:val="center"/>
              <w:rPr>
                <w:rFonts w:hint="eastAsia" w:ascii="方正楷体_GBK" w:hAnsi="方正楷体_GBK" w:eastAsia="方正楷体_GBK" w:cs="方正楷体_GBK"/>
                <w:kern w:val="0"/>
                <w:sz w:val="24"/>
                <w:szCs w:val="24"/>
              </w:rPr>
            </w:pPr>
            <w:r>
              <w:rPr>
                <w:rFonts w:hint="eastAsia" w:ascii="方正楷体_GBK" w:hAnsi="方正楷体_GBK" w:eastAsia="方正楷体_GBK" w:cs="方正楷体_GBK"/>
                <w:kern w:val="0"/>
                <w:sz w:val="28"/>
                <w:szCs w:val="28"/>
              </w:rPr>
              <w:t>分值</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vMerge w:val="restart"/>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both"/>
              <w:textAlignment w:val="auto"/>
              <w:rPr>
                <w:rFonts w:hint="eastAsia" w:ascii="方正仿宋_GBK" w:hAnsi="方正仿宋_GBK" w:eastAsia="方正仿宋_GBK" w:cs="方正仿宋_GBK"/>
                <w:b w:val="0"/>
                <w:bCs w:val="0"/>
                <w:kern w:val="0"/>
                <w:sz w:val="24"/>
                <w:szCs w:val="24"/>
              </w:rPr>
            </w:pPr>
            <w:r>
              <w:rPr>
                <w:rFonts w:hint="eastAsia" w:ascii="方正仿宋_GBK" w:hAnsi="方正仿宋_GBK" w:eastAsia="方正仿宋_GBK" w:cs="方正仿宋_GBK"/>
                <w:b w:val="0"/>
                <w:bCs w:val="0"/>
                <w:kern w:val="0"/>
                <w:sz w:val="28"/>
                <w:szCs w:val="28"/>
              </w:rPr>
              <w:t>基础工作</w:t>
            </w:r>
            <w:r>
              <w:rPr>
                <w:rFonts w:hint="eastAsia" w:ascii="方正仿宋_GBK" w:hAnsi="方正仿宋_GBK" w:eastAsia="方正仿宋_GBK" w:cs="方正仿宋_GBK"/>
                <w:b w:val="0"/>
                <w:bCs w:val="0"/>
                <w:kern w:val="0"/>
                <w:sz w:val="24"/>
                <w:szCs w:val="24"/>
              </w:rPr>
              <w:t>（</w:t>
            </w:r>
            <w:r>
              <w:rPr>
                <w:rFonts w:hint="default" w:ascii="Times New Roman" w:hAnsi="Times New Roman" w:eastAsia="方正仿宋_GBK" w:cs="Times New Roman"/>
                <w:b w:val="0"/>
                <w:bCs w:val="0"/>
                <w:kern w:val="0"/>
                <w:sz w:val="24"/>
                <w:szCs w:val="24"/>
              </w:rPr>
              <w:t>70</w:t>
            </w:r>
            <w:r>
              <w:rPr>
                <w:rFonts w:hint="eastAsia" w:ascii="方正仿宋_GBK" w:hAnsi="方正仿宋_GBK" w:eastAsia="方正仿宋_GBK" w:cs="方正仿宋_GBK"/>
                <w:b w:val="0"/>
                <w:bCs w:val="0"/>
                <w:kern w:val="0"/>
                <w:sz w:val="24"/>
                <w:szCs w:val="24"/>
              </w:rPr>
              <w:t>分）</w:t>
            </w: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4"/>
                <w:szCs w:val="24"/>
              </w:rPr>
              <w:t>1</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val="0"/>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开展本村（居）食品加工小作坊、各类食堂、食品商店、餐饮业、药店、村卫生室、个体诊所、化妆品经营等摸底调查，分类建立包含单位名称、负责人信息、经营地址、经营范围、联系方式、证照情况的基础档案，并及时更新。</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未开展本村（居）食品药品生产经营单位摸底调查工作，无基础档案的扣</w:t>
            </w:r>
            <w:r>
              <w:rPr>
                <w:rFonts w:hint="default" w:ascii="Times New Roman" w:hAnsi="Times New Roman" w:eastAsia="方正仿宋_GBK" w:cs="Times New Roman"/>
                <w:kern w:val="0"/>
                <w:sz w:val="28"/>
                <w:szCs w:val="28"/>
              </w:rPr>
              <w:t>15</w:t>
            </w:r>
            <w:r>
              <w:rPr>
                <w:rFonts w:hint="eastAsia" w:ascii="方正仿宋_GBK" w:hAnsi="方正仿宋_GBK" w:eastAsia="方正仿宋_GBK" w:cs="方正仿宋_GBK"/>
                <w:kern w:val="0"/>
                <w:sz w:val="28"/>
                <w:szCs w:val="28"/>
              </w:rPr>
              <w:t>分；缺少一方面基础档案的，扣</w:t>
            </w:r>
            <w:r>
              <w:rPr>
                <w:rFonts w:hint="default" w:ascii="Times New Roman" w:hAnsi="Times New Roman" w:eastAsia="方正仿宋_GBK" w:cs="Times New Roman"/>
                <w:kern w:val="0"/>
                <w:sz w:val="28"/>
                <w:szCs w:val="28"/>
              </w:rPr>
              <w:t>5</w:t>
            </w:r>
            <w:r>
              <w:rPr>
                <w:rFonts w:hint="eastAsia" w:ascii="方正仿宋_GBK" w:hAnsi="方正仿宋_GBK" w:eastAsia="方正仿宋_GBK" w:cs="方正仿宋_GBK"/>
                <w:kern w:val="0"/>
                <w:sz w:val="28"/>
                <w:szCs w:val="28"/>
              </w:rPr>
              <w:t>分；档案不完善的，酌情扣</w:t>
            </w:r>
            <w:r>
              <w:rPr>
                <w:rFonts w:hint="default" w:ascii="Times New Roman" w:hAnsi="Times New Roman" w:eastAsia="方正仿宋_GBK" w:cs="Times New Roman"/>
                <w:kern w:val="0"/>
                <w:sz w:val="28"/>
                <w:szCs w:val="28"/>
              </w:rPr>
              <w:t>2</w:t>
            </w:r>
            <w:r>
              <w:rPr>
                <w:rFonts w:hint="eastAsia" w:ascii="方正仿宋_GBK" w:hAnsi="方正仿宋_GBK" w:eastAsia="方正仿宋_GBK" w:cs="方正仿宋_GBK"/>
                <w:kern w:val="0"/>
                <w:sz w:val="28"/>
                <w:szCs w:val="28"/>
              </w:rPr>
              <w:t>-</w:t>
            </w:r>
            <w:r>
              <w:rPr>
                <w:rFonts w:hint="default" w:ascii="Times New Roman" w:hAnsi="Times New Roman" w:eastAsia="方正仿宋_GBK" w:cs="Times New Roman"/>
                <w:kern w:val="0"/>
                <w:sz w:val="28"/>
                <w:szCs w:val="28"/>
              </w:rPr>
              <w:t>5</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15</w:t>
            </w:r>
            <w:r>
              <w:rPr>
                <w:rFonts w:hint="eastAsia" w:ascii="方正仿宋_GBK" w:hAnsi="方正仿宋_GBK" w:eastAsia="方正仿宋_GBK" w:cs="方正仿宋_GBK"/>
                <w:kern w:val="0"/>
                <w:sz w:val="28"/>
                <w:szCs w:val="28"/>
              </w:rPr>
              <w:t>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vMerge w:val="continue"/>
            <w:tcBorders>
              <w:top w:val="outset" w:color="auto" w:sz="6" w:space="0"/>
              <w:left w:val="outset" w:color="auto" w:sz="6" w:space="0"/>
              <w:bottom w:val="outset" w:color="auto" w:sz="6" w:space="0"/>
              <w:right w:val="outset" w:color="auto" w:sz="6" w:space="0"/>
            </w:tcBorders>
            <w:vAlign w:val="center"/>
          </w:tcPr>
          <w:p>
            <w:pPr>
              <w:widowControl/>
              <w:jc w:val="center"/>
              <w:rPr>
                <w:rFonts w:hint="eastAsia" w:ascii="方正仿宋_GBK" w:hAnsi="方正仿宋_GBK" w:eastAsia="方正仿宋_GBK" w:cs="方正仿宋_GBK"/>
                <w:b w:val="0"/>
                <w:bCs w:val="0"/>
                <w:kern w:val="0"/>
                <w:sz w:val="24"/>
                <w:szCs w:val="24"/>
              </w:rPr>
            </w:pP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2</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协助所在镇街食品药品监管机构开展日常监管、专项整治、农村家宴备案、指导等工作。</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没按要求参与协助镇食安办开展工作的，每</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5</w:t>
            </w:r>
            <w:r>
              <w:rPr>
                <w:rFonts w:hint="eastAsia" w:ascii="方正仿宋_GBK" w:hAnsi="方正仿宋_GBK" w:eastAsia="方正仿宋_GBK" w:cs="方正仿宋_GBK"/>
                <w:kern w:val="0"/>
                <w:sz w:val="28"/>
                <w:szCs w:val="28"/>
              </w:rPr>
              <w:t>分；未开展农村家宴备案工作的，发现一次扣</w:t>
            </w:r>
            <w:r>
              <w:rPr>
                <w:rFonts w:hint="default" w:ascii="Times New Roman" w:hAnsi="Times New Roman" w:eastAsia="方正仿宋_GBK" w:cs="Times New Roman"/>
                <w:kern w:val="0"/>
                <w:sz w:val="28"/>
                <w:szCs w:val="28"/>
              </w:rPr>
              <w:t>3</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35</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35</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PrEx>
        <w:tc>
          <w:tcPr>
            <w:tcW w:w="1186" w:type="dxa"/>
            <w:vMerge w:val="continue"/>
            <w:tcBorders>
              <w:top w:val="outset" w:color="auto" w:sz="6" w:space="0"/>
              <w:left w:val="outset" w:color="auto" w:sz="6" w:space="0"/>
              <w:bottom w:val="outset" w:color="auto" w:sz="6" w:space="0"/>
              <w:right w:val="outset" w:color="auto" w:sz="6" w:space="0"/>
            </w:tcBorders>
            <w:vAlign w:val="center"/>
          </w:tcPr>
          <w:p>
            <w:pPr>
              <w:widowControl/>
              <w:jc w:val="center"/>
              <w:rPr>
                <w:rFonts w:hint="eastAsia" w:ascii="方正仿宋_GBK" w:hAnsi="方正仿宋_GBK" w:eastAsia="方正仿宋_GBK" w:cs="方正仿宋_GBK"/>
                <w:b w:val="0"/>
                <w:bCs w:val="0"/>
                <w:kern w:val="0"/>
                <w:sz w:val="24"/>
                <w:szCs w:val="24"/>
              </w:rPr>
            </w:pP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3</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协助做好辖区内食品药品安全突发事件应急处置工作。</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对辖区内发生的食品药品安全突发事件，漏报、瞒报</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5</w:t>
            </w:r>
            <w:r>
              <w:rPr>
                <w:rFonts w:hint="eastAsia" w:ascii="方正仿宋_GBK" w:hAnsi="方正仿宋_GBK" w:eastAsia="方正仿宋_GBK" w:cs="方正仿宋_GBK"/>
                <w:kern w:val="0"/>
                <w:sz w:val="28"/>
                <w:szCs w:val="28"/>
              </w:rPr>
              <w:t>分；迟报</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3</w:t>
            </w:r>
            <w:r>
              <w:rPr>
                <w:rFonts w:hint="eastAsia" w:ascii="方正仿宋_GBK" w:hAnsi="方正仿宋_GBK" w:eastAsia="方正仿宋_GBK" w:cs="方正仿宋_GBK"/>
                <w:kern w:val="0"/>
                <w:sz w:val="28"/>
                <w:szCs w:val="28"/>
              </w:rPr>
              <w:t>分；不积极协助参加应急处置的，</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5</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10</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vMerge w:val="continue"/>
            <w:tcBorders>
              <w:top w:val="outset" w:color="auto" w:sz="6" w:space="0"/>
              <w:left w:val="outset" w:color="auto" w:sz="6" w:space="0"/>
              <w:bottom w:val="outset" w:color="auto" w:sz="6" w:space="0"/>
              <w:right w:val="outset" w:color="auto" w:sz="6" w:space="0"/>
            </w:tcBorders>
            <w:vAlign w:val="center"/>
          </w:tcPr>
          <w:p>
            <w:pPr>
              <w:widowControl/>
              <w:jc w:val="center"/>
              <w:rPr>
                <w:rFonts w:hint="eastAsia" w:ascii="方正仿宋_GBK" w:hAnsi="方正仿宋_GBK" w:eastAsia="方正仿宋_GBK" w:cs="方正仿宋_GBK"/>
                <w:b w:val="0"/>
                <w:bCs w:val="0"/>
                <w:kern w:val="0"/>
                <w:sz w:val="24"/>
                <w:szCs w:val="24"/>
              </w:rPr>
            </w:pP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4</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辖区无证经营者证照的催办，收集生产经营单位变更等食品药品安全信息并及时上报。</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无证经营</w:t>
            </w:r>
            <w:r>
              <w:rPr>
                <w:rFonts w:hint="default" w:ascii="Times New Roman" w:hAnsi="Times New Roman" w:eastAsia="方正仿宋_GBK" w:cs="Times New Roman"/>
                <w:kern w:val="0"/>
                <w:sz w:val="28"/>
                <w:szCs w:val="28"/>
              </w:rPr>
              <w:t>１</w:t>
            </w:r>
            <w:r>
              <w:rPr>
                <w:rFonts w:hint="eastAsia" w:ascii="方正仿宋_GBK" w:hAnsi="方正仿宋_GBK" w:eastAsia="方正仿宋_GBK" w:cs="方正仿宋_GBK"/>
                <w:kern w:val="0"/>
                <w:sz w:val="28"/>
                <w:szCs w:val="28"/>
              </w:rPr>
              <w:t>户扣</w:t>
            </w:r>
            <w:r>
              <w:rPr>
                <w:rFonts w:hint="default" w:ascii="Times New Roman" w:hAnsi="Times New Roman" w:eastAsia="方正仿宋_GBK" w:cs="Times New Roman"/>
                <w:kern w:val="0"/>
                <w:sz w:val="28"/>
                <w:szCs w:val="28"/>
              </w:rPr>
              <w:t>２</w:t>
            </w:r>
            <w:r>
              <w:rPr>
                <w:rFonts w:hint="eastAsia" w:ascii="方正仿宋_GBK" w:hAnsi="方正仿宋_GBK" w:eastAsia="方正仿宋_GBK" w:cs="方正仿宋_GBK"/>
                <w:kern w:val="0"/>
                <w:sz w:val="28"/>
                <w:szCs w:val="28"/>
              </w:rPr>
              <w:t>分，发现没有上报信息的，</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2</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10</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b w:val="0"/>
                <w:bCs w:val="0"/>
                <w:kern w:val="0"/>
                <w:sz w:val="24"/>
                <w:szCs w:val="24"/>
              </w:rPr>
            </w:pPr>
            <w:r>
              <w:rPr>
                <w:rFonts w:hint="eastAsia" w:ascii="方正仿宋_GBK" w:hAnsi="方正仿宋_GBK" w:eastAsia="方正仿宋_GBK" w:cs="方正仿宋_GBK"/>
                <w:b w:val="0"/>
                <w:bCs w:val="0"/>
                <w:kern w:val="0"/>
                <w:sz w:val="28"/>
                <w:szCs w:val="28"/>
              </w:rPr>
              <w:t>宣传工作</w:t>
            </w:r>
          </w:p>
          <w:p>
            <w:pPr>
              <w:widowControl/>
              <w:wordWrap w:val="0"/>
              <w:spacing w:before="100" w:beforeAutospacing="1" w:after="100" w:afterAutospacing="1"/>
              <w:jc w:val="center"/>
              <w:rPr>
                <w:rFonts w:hint="eastAsia" w:ascii="方正仿宋_GBK" w:hAnsi="方正仿宋_GBK" w:eastAsia="方正仿宋_GBK" w:cs="方正仿宋_GBK"/>
                <w:b w:val="0"/>
                <w:bCs w:val="0"/>
                <w:kern w:val="0"/>
                <w:sz w:val="24"/>
                <w:szCs w:val="24"/>
              </w:rPr>
            </w:pPr>
            <w:r>
              <w:rPr>
                <w:rFonts w:hint="eastAsia" w:ascii="方正仿宋_GBK" w:hAnsi="方正仿宋_GBK" w:eastAsia="方正仿宋_GBK" w:cs="方正仿宋_GBK"/>
                <w:b w:val="0"/>
                <w:bCs w:val="0"/>
                <w:kern w:val="0"/>
                <w:sz w:val="24"/>
                <w:szCs w:val="24"/>
              </w:rPr>
              <w:t>（</w:t>
            </w:r>
            <w:r>
              <w:rPr>
                <w:rFonts w:hint="default" w:ascii="Times New Roman" w:hAnsi="Times New Roman" w:eastAsia="方正仿宋_GBK" w:cs="Times New Roman"/>
                <w:b w:val="0"/>
                <w:bCs w:val="0"/>
                <w:kern w:val="0"/>
                <w:sz w:val="24"/>
                <w:szCs w:val="24"/>
              </w:rPr>
              <w:t>10</w:t>
            </w:r>
            <w:r>
              <w:rPr>
                <w:rFonts w:hint="eastAsia" w:ascii="方正仿宋_GBK" w:hAnsi="方正仿宋_GBK" w:eastAsia="方正仿宋_GBK" w:cs="方正仿宋_GBK"/>
                <w:b w:val="0"/>
                <w:bCs w:val="0"/>
                <w:kern w:val="0"/>
                <w:sz w:val="24"/>
                <w:szCs w:val="24"/>
              </w:rPr>
              <w:t>分）</w:t>
            </w: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5</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积极协助镇食安办组织开展的各类食品药品法制、科普知识安全宣传活动。</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不按要求参加活动，</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3</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10</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c>
          <w:tcPr>
            <w:tcW w:w="1186" w:type="dxa"/>
            <w:vMerge w:val="restart"/>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b w:val="0"/>
                <w:bCs w:val="0"/>
                <w:kern w:val="0"/>
                <w:sz w:val="24"/>
                <w:szCs w:val="24"/>
              </w:rPr>
            </w:pPr>
            <w:r>
              <w:rPr>
                <w:rFonts w:hint="eastAsia" w:ascii="方正仿宋_GBK" w:hAnsi="方正仿宋_GBK" w:eastAsia="方正仿宋_GBK" w:cs="方正仿宋_GBK"/>
                <w:b w:val="0"/>
                <w:bCs w:val="0"/>
                <w:kern w:val="0"/>
                <w:sz w:val="28"/>
                <w:szCs w:val="28"/>
              </w:rPr>
              <w:t>综合工作</w:t>
            </w:r>
          </w:p>
          <w:p>
            <w:pPr>
              <w:widowControl/>
              <w:wordWrap w:val="0"/>
              <w:spacing w:before="100" w:beforeAutospacing="1" w:after="100" w:afterAutospacing="1"/>
              <w:jc w:val="center"/>
              <w:rPr>
                <w:rFonts w:hint="eastAsia" w:ascii="方正仿宋_GBK" w:hAnsi="方正仿宋_GBK" w:eastAsia="方正仿宋_GBK" w:cs="方正仿宋_GBK"/>
                <w:b w:val="0"/>
                <w:bCs w:val="0"/>
                <w:kern w:val="0"/>
                <w:sz w:val="24"/>
                <w:szCs w:val="24"/>
              </w:rPr>
            </w:pPr>
            <w:r>
              <w:rPr>
                <w:rFonts w:hint="eastAsia" w:ascii="方正仿宋_GBK" w:hAnsi="方正仿宋_GBK" w:eastAsia="方正仿宋_GBK" w:cs="方正仿宋_GBK"/>
                <w:b w:val="0"/>
                <w:bCs w:val="0"/>
                <w:kern w:val="0"/>
                <w:sz w:val="24"/>
                <w:szCs w:val="24"/>
              </w:rPr>
              <w:t>（</w:t>
            </w:r>
            <w:r>
              <w:rPr>
                <w:rFonts w:hint="default" w:ascii="Times New Roman" w:hAnsi="Times New Roman" w:eastAsia="方正仿宋_GBK" w:cs="Times New Roman"/>
                <w:b w:val="0"/>
                <w:bCs w:val="0"/>
                <w:kern w:val="0"/>
                <w:sz w:val="24"/>
                <w:szCs w:val="24"/>
              </w:rPr>
              <w:t>20</w:t>
            </w:r>
            <w:r>
              <w:rPr>
                <w:rFonts w:hint="eastAsia" w:ascii="方正仿宋_GBK" w:hAnsi="方正仿宋_GBK" w:eastAsia="方正仿宋_GBK" w:cs="方正仿宋_GBK"/>
                <w:b w:val="0"/>
                <w:bCs w:val="0"/>
                <w:kern w:val="0"/>
                <w:sz w:val="24"/>
                <w:szCs w:val="24"/>
              </w:rPr>
              <w:t>分）</w:t>
            </w: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6</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积极参加上级或有关部门组织的专题会议和业务培训。</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缺席</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3</w:t>
            </w:r>
            <w:r>
              <w:rPr>
                <w:rFonts w:hint="eastAsia" w:ascii="方正仿宋_GBK" w:hAnsi="方正仿宋_GBK" w:eastAsia="方正仿宋_GBK" w:cs="方正仿宋_GBK"/>
                <w:kern w:val="0"/>
                <w:sz w:val="28"/>
                <w:szCs w:val="28"/>
              </w:rPr>
              <w:t>分，迟到或早退</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10</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10</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139" w:hRule="atLeast"/>
        </w:trPr>
        <w:tc>
          <w:tcPr>
            <w:tcW w:w="1186" w:type="dxa"/>
            <w:vMerge w:val="continue"/>
            <w:tcBorders>
              <w:top w:val="outset" w:color="auto" w:sz="6" w:space="0"/>
              <w:left w:val="outset" w:color="auto" w:sz="6" w:space="0"/>
              <w:bottom w:val="outset" w:color="auto" w:sz="6" w:space="0"/>
              <w:right w:val="outset" w:color="auto" w:sz="6" w:space="0"/>
            </w:tcBorders>
            <w:vAlign w:val="center"/>
          </w:tcPr>
          <w:p>
            <w:pPr>
              <w:widowControl/>
              <w:jc w:val="left"/>
              <w:rPr>
                <w:rFonts w:ascii="宋体" w:hAnsi="宋体" w:eastAsia="宋体" w:cs="宋体"/>
                <w:kern w:val="0"/>
                <w:sz w:val="24"/>
                <w:szCs w:val="24"/>
              </w:rPr>
            </w:pPr>
          </w:p>
        </w:tc>
        <w:tc>
          <w:tcPr>
            <w:tcW w:w="1357"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hint="eastAsia" w:ascii="方正仿宋_GBK" w:hAnsi="方正仿宋_GBK" w:eastAsia="方正仿宋_GBK" w:cs="方正仿宋_GBK"/>
                <w:kern w:val="0"/>
                <w:sz w:val="24"/>
                <w:szCs w:val="24"/>
              </w:rPr>
            </w:pPr>
            <w:r>
              <w:rPr>
                <w:rFonts w:hint="default" w:ascii="Times New Roman" w:hAnsi="Times New Roman" w:eastAsia="方正仿宋_GBK" w:cs="Times New Roman"/>
                <w:kern w:val="0"/>
                <w:sz w:val="28"/>
                <w:szCs w:val="28"/>
              </w:rPr>
              <w:t>7</w:t>
            </w:r>
          </w:p>
        </w:tc>
        <w:tc>
          <w:tcPr>
            <w:tcW w:w="3250"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积极完成上级有关部门交办的其它工作。</w:t>
            </w:r>
          </w:p>
        </w:tc>
        <w:tc>
          <w:tcPr>
            <w:tcW w:w="3196" w:type="dxa"/>
            <w:tcBorders>
              <w:top w:val="outset" w:color="auto" w:sz="6" w:space="0"/>
              <w:left w:val="outset" w:color="auto" w:sz="6" w:space="0"/>
              <w:bottom w:val="outset" w:color="auto" w:sz="6" w:space="0"/>
              <w:right w:val="outset" w:color="auto" w:sz="6" w:space="0"/>
            </w:tcBorders>
            <w:vAlign w:val="center"/>
          </w:tcPr>
          <w:p>
            <w:pPr>
              <w:keepNext w:val="0"/>
              <w:keepLines w:val="0"/>
              <w:pageBreakBefore w:val="0"/>
              <w:widowControl/>
              <w:kinsoku/>
              <w:wordWrap w:val="0"/>
              <w:overflowPunct/>
              <w:topLinePunct w:val="0"/>
              <w:autoSpaceDE/>
              <w:autoSpaceDN/>
              <w:bidi w:val="0"/>
              <w:adjustRightInd/>
              <w:snapToGrid/>
              <w:spacing w:beforeAutospacing="0" w:afterAutospacing="0" w:line="578" w:lineRule="exact"/>
              <w:jc w:val="left"/>
              <w:textAlignment w:val="auto"/>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不配合或未完成任务，</w:t>
            </w:r>
            <w:r>
              <w:rPr>
                <w:rFonts w:hint="default" w:ascii="Times New Roman" w:hAnsi="Times New Roman" w:eastAsia="方正仿宋_GBK" w:cs="Times New Roman"/>
                <w:kern w:val="0"/>
                <w:sz w:val="28"/>
                <w:szCs w:val="28"/>
              </w:rPr>
              <w:t>1</w:t>
            </w:r>
            <w:r>
              <w:rPr>
                <w:rFonts w:hint="eastAsia" w:ascii="方正仿宋_GBK" w:hAnsi="方正仿宋_GBK" w:eastAsia="方正仿宋_GBK" w:cs="方正仿宋_GBK"/>
                <w:kern w:val="0"/>
                <w:sz w:val="28"/>
                <w:szCs w:val="28"/>
              </w:rPr>
              <w:t>次扣</w:t>
            </w:r>
            <w:r>
              <w:rPr>
                <w:rFonts w:hint="default" w:ascii="Times New Roman" w:hAnsi="Times New Roman" w:eastAsia="方正仿宋_GBK" w:cs="Times New Roman"/>
                <w:kern w:val="0"/>
                <w:sz w:val="28"/>
                <w:szCs w:val="28"/>
              </w:rPr>
              <w:t>3</w:t>
            </w:r>
            <w:r>
              <w:rPr>
                <w:rFonts w:hint="eastAsia" w:ascii="方正仿宋_GBK" w:hAnsi="方正仿宋_GBK" w:eastAsia="方正仿宋_GBK" w:cs="方正仿宋_GBK"/>
                <w:kern w:val="0"/>
                <w:sz w:val="28"/>
                <w:szCs w:val="28"/>
              </w:rPr>
              <w:t>分，扣完</w:t>
            </w:r>
            <w:r>
              <w:rPr>
                <w:rFonts w:hint="default" w:ascii="Times New Roman" w:hAnsi="Times New Roman" w:eastAsia="方正仿宋_GBK" w:cs="Times New Roman"/>
                <w:kern w:val="0"/>
                <w:sz w:val="28"/>
                <w:szCs w:val="28"/>
              </w:rPr>
              <w:t>10</w:t>
            </w:r>
            <w:r>
              <w:rPr>
                <w:rFonts w:hint="eastAsia" w:ascii="方正仿宋_GBK" w:hAnsi="方正仿宋_GBK" w:eastAsia="方正仿宋_GBK" w:cs="方正仿宋_GBK"/>
                <w:kern w:val="0"/>
                <w:sz w:val="28"/>
                <w:szCs w:val="28"/>
              </w:rPr>
              <w:t>分为止。</w:t>
            </w:r>
          </w:p>
        </w:tc>
        <w:tc>
          <w:tcPr>
            <w:tcW w:w="732" w:type="dxa"/>
            <w:tcBorders>
              <w:top w:val="outset" w:color="auto" w:sz="6" w:space="0"/>
              <w:left w:val="outset" w:color="auto" w:sz="6" w:space="0"/>
              <w:bottom w:val="outset" w:color="auto" w:sz="6" w:space="0"/>
              <w:right w:val="outset" w:color="auto" w:sz="6" w:space="0"/>
            </w:tcBorders>
            <w:vAlign w:val="center"/>
          </w:tcPr>
          <w:p>
            <w:pPr>
              <w:widowControl/>
              <w:wordWrap w:val="0"/>
              <w:spacing w:before="100" w:beforeAutospacing="1" w:after="100" w:afterAutospacing="1"/>
              <w:jc w:val="center"/>
              <w:rPr>
                <w:rFonts w:ascii="宋体" w:hAnsi="宋体" w:eastAsia="宋体" w:cs="宋体"/>
                <w:kern w:val="0"/>
                <w:sz w:val="24"/>
                <w:szCs w:val="24"/>
              </w:rPr>
            </w:pPr>
            <w:r>
              <w:rPr>
                <w:rFonts w:hint="default" w:ascii="Times New Roman" w:hAnsi="Times New Roman" w:eastAsia="方正仿宋_GBK" w:cs="Times New Roman"/>
                <w:kern w:val="0"/>
                <w:sz w:val="24"/>
                <w:szCs w:val="24"/>
              </w:rPr>
              <w:t>10</w:t>
            </w:r>
          </w:p>
        </w:tc>
      </w:tr>
    </w:tbl>
    <w:p>
      <w:pPr>
        <w:widowControl/>
        <w:jc w:val="left"/>
        <w:rPr>
          <w:rFonts w:ascii="宋体" w:hAnsi="宋体" w:eastAsia="宋体" w:cs="宋体"/>
          <w:kern w:val="0"/>
          <w:sz w:val="24"/>
          <w:szCs w:val="24"/>
        </w:rPr>
      </w:pPr>
    </w:p>
    <w:p>
      <w:pPr>
        <w:tabs>
          <w:tab w:val="left" w:pos="5145"/>
        </w:tabs>
        <w:spacing w:line="578" w:lineRule="exact"/>
        <w:rPr>
          <w:rFonts w:eastAsia="方正仿宋_GBK"/>
          <w:sz w:val="32"/>
          <w:szCs w:val="32"/>
        </w:rPr>
      </w:pPr>
    </w:p>
    <w:p>
      <w:pPr>
        <w:tabs>
          <w:tab w:val="left" w:pos="5145"/>
        </w:tabs>
        <w:spacing w:line="578" w:lineRule="exact"/>
        <w:rPr>
          <w:rFonts w:eastAsia="方正仿宋_GBK"/>
          <w:sz w:val="32"/>
          <w:szCs w:val="32"/>
        </w:rPr>
      </w:pPr>
    </w:p>
    <w:p>
      <w:pPr>
        <w:pStyle w:val="3"/>
        <w:rPr>
          <w:rFonts w:eastAsia="方正仿宋_GBK"/>
          <w:sz w:val="32"/>
          <w:szCs w:val="32"/>
        </w:rPr>
      </w:pPr>
    </w:p>
    <w:sectPr>
      <w:footerReference r:id="rId3" w:type="default"/>
      <w:pgSz w:w="11906" w:h="16838"/>
      <w:pgMar w:top="2098" w:right="1531" w:bottom="1984" w:left="1531" w:header="851" w:footer="147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decorative"/>
    <w:pitch w:val="default"/>
    <w:sig w:usb0="E0002EFF" w:usb1="C000785B"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wrap="none" lIns="0" tIns="0" rIns="0" bIns="0" upright="false">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BL25QFtgEAAFUDAAAOAAAAAAAAAAEAIAAAADQBAABkcnMvZTJv&#10;RG9jLnhtbFBLBQYAAAAABgAGAFkBAABcBQAAAAA=&#10;">
              <v:fill on="f" focussize="0,0"/>
              <v:stroke on="f"/>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2OWFhYmU4Nzc4YmM5Yjk2MzljNjljYzI5MGY4MTMifQ=="/>
  </w:docVars>
  <w:rsids>
    <w:rsidRoot w:val="00D35104"/>
    <w:rsid w:val="00052A9E"/>
    <w:rsid w:val="00120AB5"/>
    <w:rsid w:val="0017284A"/>
    <w:rsid w:val="00187A30"/>
    <w:rsid w:val="001B190F"/>
    <w:rsid w:val="001F24B8"/>
    <w:rsid w:val="00200299"/>
    <w:rsid w:val="002D4EC2"/>
    <w:rsid w:val="002F1177"/>
    <w:rsid w:val="00363E73"/>
    <w:rsid w:val="003A2F0A"/>
    <w:rsid w:val="00440E15"/>
    <w:rsid w:val="0044253D"/>
    <w:rsid w:val="0086194F"/>
    <w:rsid w:val="00875CAC"/>
    <w:rsid w:val="00915D9C"/>
    <w:rsid w:val="00A976F0"/>
    <w:rsid w:val="00AF09A8"/>
    <w:rsid w:val="00AF6520"/>
    <w:rsid w:val="00BC4B65"/>
    <w:rsid w:val="00C51944"/>
    <w:rsid w:val="00C60978"/>
    <w:rsid w:val="00D142AF"/>
    <w:rsid w:val="00D35104"/>
    <w:rsid w:val="00E13794"/>
    <w:rsid w:val="00E53A0B"/>
    <w:rsid w:val="00E76B9D"/>
    <w:rsid w:val="00E77A8A"/>
    <w:rsid w:val="00F819E2"/>
    <w:rsid w:val="00F92C8C"/>
    <w:rsid w:val="00FE4DB4"/>
    <w:rsid w:val="1FB64572"/>
    <w:rsid w:val="3024626D"/>
    <w:rsid w:val="3E886E08"/>
    <w:rsid w:val="49DC419A"/>
    <w:rsid w:val="541C347A"/>
    <w:rsid w:val="58C90CF9"/>
    <w:rsid w:val="62002FEC"/>
    <w:rsid w:val="6FE7A26D"/>
    <w:rsid w:val="77B76C38"/>
    <w:rsid w:val="7BEB822E"/>
    <w:rsid w:val="7FFF94FE"/>
    <w:rsid w:val="87A765B9"/>
    <w:rsid w:val="A97E4866"/>
    <w:rsid w:val="C5F77A5E"/>
    <w:rsid w:val="EDFFE627"/>
    <w:rsid w:val="EEFBC1B3"/>
    <w:rsid w:val="F5DFEFE0"/>
    <w:rsid w:val="F7F5EF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qFormat="1" w:uiPriority="99"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4"/>
    <w:basedOn w:val="1"/>
    <w:next w:val="1"/>
    <w:qFormat/>
    <w:uiPriority w:val="0"/>
    <w:pPr>
      <w:outlineLvl w:val="3"/>
    </w:pPr>
    <w:rPr>
      <w:rFonts w:ascii="Times New Roman" w:hAnsi="Times New Roman"/>
    </w:rPr>
  </w:style>
  <w:style w:type="character" w:default="1" w:styleId="12">
    <w:name w:val="Default Paragraph Font"/>
    <w:unhideWhenUsed/>
    <w:qFormat/>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line="0" w:lineRule="atLeast"/>
    </w:pPr>
    <w:rPr>
      <w:szCs w:val="20"/>
    </w:rPr>
  </w:style>
  <w:style w:type="paragraph" w:styleId="4">
    <w:name w:val="Body Text 3"/>
    <w:basedOn w:val="1"/>
    <w:unhideWhenUsed/>
    <w:qFormat/>
    <w:uiPriority w:val="99"/>
    <w:pPr>
      <w:spacing w:after="120"/>
    </w:pPr>
    <w:rPr>
      <w:sz w:val="16"/>
      <w:szCs w:val="16"/>
    </w:rPr>
  </w:style>
  <w:style w:type="paragraph" w:styleId="5">
    <w:name w:val="Plain Text"/>
    <w:basedOn w:val="1"/>
    <w:qFormat/>
    <w:uiPriority w:val="0"/>
    <w:rPr>
      <w:rFonts w:ascii="宋体" w:hAnsi="Courier New"/>
    </w:rPr>
  </w:style>
  <w:style w:type="paragraph" w:styleId="6">
    <w:name w:val="Date"/>
    <w:basedOn w:val="1"/>
    <w:next w:val="1"/>
    <w:link w:val="16"/>
    <w:unhideWhenUsed/>
    <w:qFormat/>
    <w:uiPriority w:val="99"/>
    <w:pPr>
      <w:ind w:left="100" w:leftChars="2500"/>
    </w:pPr>
  </w:style>
  <w:style w:type="paragraph" w:styleId="7">
    <w:name w:val="Balloon Text"/>
    <w:basedOn w:val="1"/>
    <w:link w:val="17"/>
    <w:unhideWhenUsed/>
    <w:qFormat/>
    <w:uiPriority w:val="99"/>
    <w:rPr>
      <w:sz w:val="18"/>
      <w:szCs w:val="18"/>
    </w:rPr>
  </w:style>
  <w:style w:type="paragraph" w:styleId="8">
    <w:name w:val="footer"/>
    <w:basedOn w:val="1"/>
    <w:link w:val="14"/>
    <w:unhideWhenUsed/>
    <w:qFormat/>
    <w:uiPriority w:val="99"/>
    <w:pPr>
      <w:tabs>
        <w:tab w:val="center" w:pos="4153"/>
        <w:tab w:val="right" w:pos="8306"/>
      </w:tabs>
      <w:snapToGrid w:val="0"/>
      <w:jc w:val="left"/>
    </w:pPr>
    <w:rPr>
      <w:sz w:val="18"/>
      <w:szCs w:val="18"/>
    </w:rPr>
  </w:style>
  <w:style w:type="paragraph" w:styleId="9">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able of figures"/>
    <w:basedOn w:val="1"/>
    <w:next w:val="1"/>
    <w:qFormat/>
    <w:uiPriority w:val="0"/>
    <w:pPr>
      <w:ind w:left="200" w:leftChars="200" w:hanging="200" w:hangingChars="200"/>
    </w:pPr>
  </w:style>
  <w:style w:type="character" w:customStyle="1" w:styleId="13">
    <w:name w:val="页眉 Char"/>
    <w:basedOn w:val="12"/>
    <w:link w:val="9"/>
    <w:semiHidden/>
    <w:qFormat/>
    <w:uiPriority w:val="99"/>
    <w:rPr>
      <w:sz w:val="18"/>
      <w:szCs w:val="18"/>
    </w:rPr>
  </w:style>
  <w:style w:type="character" w:customStyle="1" w:styleId="14">
    <w:name w:val="页脚 Char"/>
    <w:basedOn w:val="12"/>
    <w:link w:val="8"/>
    <w:semiHidden/>
    <w:qFormat/>
    <w:uiPriority w:val="99"/>
    <w:rPr>
      <w:sz w:val="18"/>
      <w:szCs w:val="18"/>
    </w:rPr>
  </w:style>
  <w:style w:type="character" w:customStyle="1" w:styleId="15">
    <w:name w:val="apple-converted-space"/>
    <w:basedOn w:val="12"/>
    <w:qFormat/>
    <w:uiPriority w:val="0"/>
  </w:style>
  <w:style w:type="character" w:customStyle="1" w:styleId="16">
    <w:name w:val="日期 Char"/>
    <w:basedOn w:val="12"/>
    <w:link w:val="6"/>
    <w:semiHidden/>
    <w:qFormat/>
    <w:uiPriority w:val="99"/>
  </w:style>
  <w:style w:type="character" w:customStyle="1" w:styleId="17">
    <w:name w:val="批注框文本 Char"/>
    <w:basedOn w:val="12"/>
    <w:link w:val="7"/>
    <w:semiHidden/>
    <w:qFormat/>
    <w:uiPriority w:val="99"/>
    <w:rPr>
      <w:sz w:val="18"/>
      <w:szCs w:val="18"/>
    </w:rPr>
  </w:style>
  <w:style w:type="paragraph" w:customStyle="1" w:styleId="18">
    <w:name w:val="_Style 2"/>
    <w:basedOn w:val="1"/>
    <w:next w:val="4"/>
    <w:qFormat/>
    <w:uiPriority w:val="0"/>
    <w:pPr>
      <w:spacing w:line="560" w:lineRule="exact"/>
    </w:pPr>
    <w:rPr>
      <w:rFonts w:eastAsia="方正仿宋_GBK"/>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205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6</Pages>
  <Words>1908</Words>
  <Characters>1974</Characters>
  <Lines>14</Lines>
  <Paragraphs>4</Paragraphs>
  <TotalTime>9</TotalTime>
  <ScaleCrop>false</ScaleCrop>
  <LinksUpToDate>false</LinksUpToDate>
  <CharactersWithSpaces>1988</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2017-07-13T20:02:00Z</dcterms:created>
  <dc:creator>曹  勇[17772381695]</dc:creator>
  <cp:lastModifiedBy>hyzbgs</cp:lastModifiedBy>
  <cp:lastPrinted>2017-07-14T19:38:00Z</cp:lastPrinted>
  <dcterms:modified xsi:type="dcterms:W3CDTF">2024-09-05T10:29:44Z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0A8ED3CE844748899607760EABB83AB9_12</vt:lpwstr>
  </property>
</Properties>
</file>