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云阳</w:t>
      </w:r>
      <w:r>
        <w:rPr>
          <w:rFonts w:hint="eastAsia" w:ascii="方正小标宋_GBK" w:hAnsi="方正小标宋_GBK" w:eastAsia="方正小标宋_GBK" w:cs="方正小标宋_GBK"/>
          <w:sz w:val="44"/>
          <w:szCs w:val="44"/>
        </w:rPr>
        <w:t>县人民政府</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关于公布</w:t>
      </w:r>
      <w:r>
        <w:rPr>
          <w:rFonts w:hint="eastAsia" w:ascii="方正小标宋_GBK" w:hAnsi="方正小标宋_GBK" w:eastAsia="方正小标宋_GBK" w:cs="方正小标宋_GBK"/>
          <w:sz w:val="44"/>
          <w:szCs w:val="44"/>
          <w:lang w:eastAsia="zh-CN"/>
        </w:rPr>
        <w:t>执行全县集体</w:t>
      </w:r>
      <w:r>
        <w:rPr>
          <w:rFonts w:hint="eastAsia" w:ascii="方正小标宋_GBK" w:hAnsi="方正小标宋_GBK" w:eastAsia="方正小标宋_GBK" w:cs="方正小标宋_GBK"/>
          <w:sz w:val="44"/>
          <w:szCs w:val="44"/>
        </w:rPr>
        <w:t>建设用地基准</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地价</w:t>
      </w:r>
      <w:r>
        <w:rPr>
          <w:rFonts w:hint="eastAsia" w:ascii="方正小标宋_GBK" w:hAnsi="方正小标宋_GBK" w:eastAsia="方正小标宋_GBK" w:cs="方正小标宋_GBK"/>
          <w:sz w:val="44"/>
          <w:szCs w:val="44"/>
          <w:lang w:eastAsia="zh-CN"/>
        </w:rPr>
        <w:t>和土地级别</w:t>
      </w:r>
      <w:r>
        <w:rPr>
          <w:rFonts w:hint="eastAsia" w:ascii="方正小标宋_GBK" w:hAnsi="方正小标宋_GBK" w:eastAsia="方正小标宋_GBK" w:cs="方正小标宋_GBK"/>
          <w:sz w:val="44"/>
          <w:szCs w:val="44"/>
        </w:rPr>
        <w:t>的通知</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（征求意见</w:t>
      </w:r>
      <w:r>
        <w:rPr>
          <w:rFonts w:hint="eastAsia" w:ascii="方正小标宋_GBK" w:hAnsi="方正小标宋_GBK" w:eastAsia="方正小标宋_GBK" w:cs="方正小标宋_GBK"/>
          <w:sz w:val="44"/>
          <w:szCs w:val="44"/>
          <w:lang w:val="en-US" w:eastAsia="zh-CN"/>
        </w:rPr>
        <w:t>稿</w:t>
      </w:r>
      <w:r>
        <w:rPr>
          <w:rFonts w:hint="eastAsia" w:ascii="方正小标宋_GBK" w:hAnsi="方正小标宋_GBK" w:eastAsia="方正小标宋_GBK" w:cs="方正小标宋_GBK"/>
          <w:sz w:val="44"/>
          <w:szCs w:val="44"/>
        </w:rPr>
        <w:t>）</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rPr>
          <w:rFonts w:hint="eastAsia" w:ascii="方正小标宋_GBK" w:hAnsi="方正小标宋_GBK" w:eastAsia="方正小标宋_GBK" w:cs="方正小标宋_GBK"/>
          <w:sz w:val="44"/>
          <w:szCs w:val="44"/>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为切实</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加强自然资源资产管理，</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进一步完善</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科学地价管理体系，规范土地市场秩序，按照自然资源部、重庆市规划和自然资源局关于基准地价制定工作的</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有关要求</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w:t>
      </w:r>
      <w:r>
        <w:rPr>
          <w:rFonts w:hint="eastAsia" w:ascii="方正仿宋_GBK" w:eastAsia="方正仿宋_GBK"/>
          <w:sz w:val="32"/>
          <w:szCs w:val="32"/>
          <w:lang w:eastAsia="zh-CN"/>
        </w:rPr>
        <w:t>县规划自然资源委托第三方机构开展了编制技术实施方案、基础资料收集、实地查勘、确定因素因子体系及权重、相关性分析、计算分值图等定级技术工作。</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云阳县</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集体建设</w:t>
      </w:r>
      <w:r>
        <w:rPr>
          <w:rFonts w:hint="default" w:ascii="方正仿宋_GBK" w:hAnsi="方正仿宋_GBK" w:eastAsia="方正仿宋_GBK" w:cs="方正仿宋_GBK"/>
          <w:i w:val="0"/>
          <w:iCs w:val="0"/>
          <w:caps w:val="0"/>
          <w:color w:val="000000"/>
          <w:spacing w:val="0"/>
          <w:sz w:val="32"/>
          <w:szCs w:val="32"/>
          <w:shd w:val="clear" w:color="auto" w:fill="FFFFFF"/>
          <w:lang w:eastAsia="zh-CN"/>
        </w:rPr>
        <w:t>用地基准地价</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和土地级别成果</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成功</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通过市规划自然资源局组织的专家论证和技术审查，2021年</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10</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月</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21</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日召开了成果听证会，与会人员一致认可该成果。我局代县政府草拟了</w:t>
      </w:r>
      <w:r>
        <w:rPr>
          <w:rFonts w:hint="eastAsia" w:ascii="方正仿宋_GBK" w:eastAsia="方正仿宋_GBK"/>
          <w:sz w:val="32"/>
          <w:szCs w:val="32"/>
        </w:rPr>
        <w:t>《</w:t>
      </w:r>
      <w:r>
        <w:rPr>
          <w:rFonts w:hint="eastAsia" w:ascii="方正仿宋_GBK" w:eastAsia="方正仿宋_GBK"/>
          <w:sz w:val="32"/>
          <w:szCs w:val="32"/>
          <w:lang w:eastAsia="zh-CN"/>
        </w:rPr>
        <w:t>云阳</w:t>
      </w:r>
      <w:r>
        <w:rPr>
          <w:rFonts w:hint="eastAsia" w:ascii="方正仿宋_GBK" w:eastAsia="方正仿宋_GBK"/>
          <w:sz w:val="32"/>
          <w:szCs w:val="32"/>
        </w:rPr>
        <w:t>县人民政府关于公布</w:t>
      </w:r>
      <w:r>
        <w:rPr>
          <w:rFonts w:hint="eastAsia" w:ascii="方正仿宋_GBK" w:eastAsia="方正仿宋_GBK"/>
          <w:sz w:val="32"/>
          <w:szCs w:val="32"/>
          <w:lang w:eastAsia="zh-CN"/>
        </w:rPr>
        <w:t>执行全县集体</w:t>
      </w:r>
      <w:r>
        <w:rPr>
          <w:rFonts w:hint="eastAsia" w:ascii="方正仿宋_GBK" w:eastAsia="方正仿宋_GBK"/>
          <w:sz w:val="32"/>
          <w:szCs w:val="32"/>
        </w:rPr>
        <w:t>建设用地基准地价</w:t>
      </w:r>
      <w:r>
        <w:rPr>
          <w:rFonts w:hint="eastAsia" w:ascii="方正仿宋_GBK" w:eastAsia="方正仿宋_GBK"/>
          <w:sz w:val="32"/>
          <w:szCs w:val="32"/>
          <w:lang w:eastAsia="zh-CN"/>
        </w:rPr>
        <w:t>和土地级别</w:t>
      </w:r>
      <w:r>
        <w:rPr>
          <w:rFonts w:hint="eastAsia" w:ascii="方正仿宋_GBK" w:eastAsia="方正仿宋_GBK"/>
          <w:sz w:val="32"/>
          <w:szCs w:val="32"/>
        </w:rPr>
        <w:t>的通知</w:t>
      </w:r>
      <w:r>
        <w:rPr>
          <w:rFonts w:hint="eastAsia" w:ascii="方正仿宋_GBK" w:eastAsia="方正仿宋_GBK"/>
          <w:sz w:val="32"/>
          <w:szCs w:val="32"/>
          <w:lang w:eastAsia="zh-CN"/>
        </w:rPr>
        <w:t>》</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w:t>
      </w:r>
      <w:r>
        <w:rPr>
          <w:rFonts w:hint="eastAsia" w:ascii="方正仿宋_GBK" w:hAnsi="方正仿宋_GBK" w:eastAsia="方正仿宋_GBK" w:cs="方正仿宋_GBK"/>
          <w:i w:val="0"/>
          <w:iCs w:val="0"/>
          <w:caps w:val="0"/>
          <w:color w:val="000000"/>
          <w:spacing w:val="0"/>
          <w:sz w:val="32"/>
          <w:szCs w:val="32"/>
          <w:shd w:val="clear" w:color="auto" w:fill="FFFFFF"/>
          <w:lang w:eastAsia="zh-CN"/>
        </w:rPr>
        <w:t>根</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据《重大行政决策程序暂行条例》和《重庆市行政规范性文件管理办法》有关要求，现向社会征求意见。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由于该政策实施的紧迫性，征求意见期限为7天。公民、法人和非法人组织可通过以下途径反馈意见：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一、电子邮件：QQ邮箱1099864180@qq.com。</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二、信函寄至：云阳县云江大道1299号406室。</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default" w:ascii="方正仿宋_GBK" w:hAnsi="方正仿宋_GBK" w:eastAsia="方正仿宋_GBK" w:cs="方正仿宋_GBK"/>
          <w:i w:val="0"/>
          <w:iCs w:val="0"/>
          <w:caps w:val="0"/>
          <w:color w:val="000000"/>
          <w:spacing w:val="0"/>
          <w:sz w:val="32"/>
          <w:szCs w:val="32"/>
          <w:shd w:val="clear" w:color="auto" w:fill="FFFFFF"/>
          <w:lang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附件：</w:t>
      </w:r>
      <w:r>
        <w:rPr>
          <w:rFonts w:hint="eastAsia" w:ascii="方正仿宋_GBK" w:eastAsia="方正仿宋_GBK"/>
          <w:sz w:val="32"/>
          <w:szCs w:val="32"/>
        </w:rPr>
        <w:t>《</w:t>
      </w:r>
      <w:r>
        <w:rPr>
          <w:rFonts w:hint="eastAsia" w:ascii="方正仿宋_GBK" w:eastAsia="方正仿宋_GBK"/>
          <w:sz w:val="32"/>
          <w:szCs w:val="32"/>
          <w:lang w:eastAsia="zh-CN"/>
        </w:rPr>
        <w:t>云阳</w:t>
      </w:r>
      <w:r>
        <w:rPr>
          <w:rFonts w:hint="eastAsia" w:ascii="方正仿宋_GBK" w:eastAsia="方正仿宋_GBK"/>
          <w:sz w:val="32"/>
          <w:szCs w:val="32"/>
        </w:rPr>
        <w:t>县人民政府关于公布</w:t>
      </w:r>
      <w:r>
        <w:rPr>
          <w:rFonts w:hint="eastAsia" w:ascii="方正仿宋_GBK" w:eastAsia="方正仿宋_GBK"/>
          <w:sz w:val="32"/>
          <w:szCs w:val="32"/>
          <w:lang w:eastAsia="zh-CN"/>
        </w:rPr>
        <w:t>执行全县集体</w:t>
      </w:r>
      <w:r>
        <w:rPr>
          <w:rFonts w:hint="eastAsia" w:ascii="方正仿宋_GBK" w:eastAsia="方正仿宋_GBK"/>
          <w:sz w:val="32"/>
          <w:szCs w:val="32"/>
        </w:rPr>
        <w:t>建设用地基准地价</w:t>
      </w:r>
      <w:r>
        <w:rPr>
          <w:rFonts w:hint="eastAsia" w:ascii="方正仿宋_GBK" w:eastAsia="方正仿宋_GBK"/>
          <w:sz w:val="32"/>
          <w:szCs w:val="32"/>
          <w:lang w:eastAsia="zh-CN"/>
        </w:rPr>
        <w:t>和土地级别</w:t>
      </w:r>
      <w:r>
        <w:rPr>
          <w:rFonts w:hint="eastAsia" w:ascii="方正仿宋_GBK" w:eastAsia="方正仿宋_GBK"/>
          <w:sz w:val="32"/>
          <w:szCs w:val="32"/>
        </w:rPr>
        <w:t>的通知</w:t>
      </w:r>
      <w:r>
        <w:rPr>
          <w:rFonts w:hint="eastAsia" w:ascii="方正仿宋_GBK" w:eastAsia="方正仿宋_GBK"/>
          <w:sz w:val="32"/>
          <w:szCs w:val="32"/>
          <w:lang w:eastAsia="zh-CN"/>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eastAsia="zh-CN"/>
        </w:rPr>
        <w:t>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eastAsia="zh-CN"/>
        </w:rPr>
        <w:t>                       </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云阳县规划和自然资源局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                            2021年3月14日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1600" w:firstLineChars="5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(联系人：蒋川浩，联系电话：55165128 )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44" w:afterAutospacing="0" w:line="596" w:lineRule="exact"/>
        <w:ind w:right="0" w:firstLine="640" w:firstLineChars="200"/>
        <w:textAlignment w:val="auto"/>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pPr>
    </w:p>
    <w:p>
      <w:pPr>
        <w:keepNext w:val="0"/>
        <w:keepLines w:val="0"/>
        <w:pageBreakBefore w:val="0"/>
        <w:kinsoku/>
        <w:wordWrap/>
        <w:overflowPunct/>
        <w:topLinePunct w:val="0"/>
        <w:autoSpaceDE/>
        <w:autoSpaceDN/>
        <w:bidi w:val="0"/>
        <w:adjustRightInd/>
        <w:spacing w:line="596" w:lineRule="exact"/>
        <w:textAlignment w:val="auto"/>
      </w:pPr>
    </w:p>
    <w:p>
      <w:pPr>
        <w:pStyle w:val="2"/>
        <w:keepNext w:val="0"/>
        <w:keepLines w:val="0"/>
        <w:pageBreakBefore w:val="0"/>
        <w:kinsoku/>
        <w:wordWrap/>
        <w:overflowPunct/>
        <w:topLinePunct w:val="0"/>
        <w:autoSpaceDE/>
        <w:autoSpaceDN/>
        <w:bidi w:val="0"/>
        <w:adjustRightInd/>
        <w:spacing w:line="596" w:lineRule="exact"/>
        <w:textAlignment w:val="auto"/>
      </w:pPr>
    </w:p>
    <w:p>
      <w:pPr>
        <w:keepNext w:val="0"/>
        <w:keepLines w:val="0"/>
        <w:pageBreakBefore w:val="0"/>
        <w:kinsoku/>
        <w:wordWrap/>
        <w:overflowPunct/>
        <w:topLinePunct w:val="0"/>
        <w:autoSpaceDE/>
        <w:autoSpaceDN/>
        <w:bidi w:val="0"/>
        <w:adjustRightInd/>
        <w:spacing w:line="596" w:lineRule="exact"/>
        <w:textAlignment w:val="auto"/>
      </w:pPr>
    </w:p>
    <w:p>
      <w:pPr>
        <w:pStyle w:val="2"/>
        <w:keepNext w:val="0"/>
        <w:keepLines w:val="0"/>
        <w:pageBreakBefore w:val="0"/>
        <w:kinsoku/>
        <w:wordWrap/>
        <w:overflowPunct/>
        <w:topLinePunct w:val="0"/>
        <w:autoSpaceDE/>
        <w:autoSpaceDN/>
        <w:bidi w:val="0"/>
        <w:adjustRightInd/>
        <w:spacing w:line="596" w:lineRule="exact"/>
        <w:textAlignment w:val="auto"/>
      </w:pPr>
    </w:p>
    <w:p>
      <w:pPr>
        <w:keepNext w:val="0"/>
        <w:keepLines w:val="0"/>
        <w:pageBreakBefore w:val="0"/>
        <w:kinsoku/>
        <w:wordWrap/>
        <w:overflowPunct/>
        <w:topLinePunct w:val="0"/>
        <w:autoSpaceDE/>
        <w:autoSpaceDN/>
        <w:bidi w:val="0"/>
        <w:adjustRightInd/>
        <w:spacing w:line="596" w:lineRule="exact"/>
        <w:textAlignment w:val="auto"/>
      </w:pPr>
    </w:p>
    <w:p>
      <w:pPr>
        <w:keepNext w:val="0"/>
        <w:keepLines w:val="0"/>
        <w:pageBreakBefore w:val="0"/>
        <w:kinsoku/>
        <w:wordWrap/>
        <w:overflowPunct/>
        <w:topLinePunct w:val="0"/>
        <w:autoSpaceDE/>
        <w:autoSpaceDN/>
        <w:bidi w:val="0"/>
        <w:adjustRightInd/>
        <w:spacing w:line="596" w:lineRule="exact"/>
        <w:textAlignment w:val="auto"/>
      </w:pPr>
    </w:p>
    <w:p>
      <w:pPr>
        <w:keepNext w:val="0"/>
        <w:keepLines w:val="0"/>
        <w:pageBreakBefore w:val="0"/>
        <w:kinsoku/>
        <w:wordWrap/>
        <w:overflowPunct/>
        <w:topLinePunct w:val="0"/>
        <w:autoSpaceDE/>
        <w:autoSpaceDN/>
        <w:bidi w:val="0"/>
        <w:adjustRightInd/>
        <w:spacing w:line="596" w:lineRule="exact"/>
        <w:textAlignment w:val="auto"/>
      </w:pPr>
    </w:p>
    <w:p>
      <w:pPr>
        <w:keepNext w:val="0"/>
        <w:keepLines w:val="0"/>
        <w:pageBreakBefore w:val="0"/>
        <w:kinsoku/>
        <w:wordWrap/>
        <w:overflowPunct/>
        <w:topLinePunct w:val="0"/>
        <w:autoSpaceDE/>
        <w:autoSpaceDN/>
        <w:bidi w:val="0"/>
        <w:adjustRightInd/>
        <w:spacing w:line="596" w:lineRule="exact"/>
        <w:textAlignment w:val="auto"/>
      </w:pPr>
    </w:p>
    <w:p>
      <w:pPr>
        <w:keepNext w:val="0"/>
        <w:keepLines w:val="0"/>
        <w:pageBreakBefore w:val="0"/>
        <w:kinsoku/>
        <w:wordWrap/>
        <w:topLinePunct w:val="0"/>
        <w:autoSpaceDE/>
        <w:autoSpaceDN/>
        <w:bidi w:val="0"/>
        <w:spacing w:line="500" w:lineRule="exact"/>
        <w:ind w:firstLine="2640" w:firstLineChars="600"/>
        <w:jc w:val="both"/>
        <w:textAlignment w:val="auto"/>
        <w:rPr>
          <w:rFonts w:ascii="方正小标宋_GBK" w:hAnsi="黑体" w:eastAsia="方正小标宋_GBK"/>
          <w:sz w:val="44"/>
          <w:szCs w:val="44"/>
        </w:rPr>
      </w:pPr>
      <w:r>
        <w:rPr>
          <w:rFonts w:hint="eastAsia" w:ascii="方正小标宋_GBK" w:hAnsi="黑体" w:eastAsia="方正小标宋_GBK"/>
          <w:sz w:val="44"/>
          <w:szCs w:val="44"/>
        </w:rPr>
        <w:t>云阳县人民政府</w:t>
      </w:r>
    </w:p>
    <w:p>
      <w:pPr>
        <w:keepNext w:val="0"/>
        <w:keepLines w:val="0"/>
        <w:pageBreakBefore w:val="0"/>
        <w:widowControl w:val="0"/>
        <w:kinsoku/>
        <w:wordWrap/>
        <w:overflowPunct w:val="0"/>
        <w:topLinePunct w:val="0"/>
        <w:autoSpaceDE/>
        <w:autoSpaceDN/>
        <w:bidi w:val="0"/>
        <w:adjustRightInd/>
        <w:snapToGrid/>
        <w:spacing w:line="500" w:lineRule="exact"/>
        <w:jc w:val="center"/>
        <w:textAlignment w:val="auto"/>
        <w:rPr>
          <w:rFonts w:hint="eastAsia" w:ascii="方正小标宋_GBK" w:hAnsi="黑体" w:eastAsia="方正小标宋_GBK"/>
          <w:sz w:val="44"/>
          <w:szCs w:val="44"/>
        </w:rPr>
      </w:pPr>
      <w:r>
        <w:rPr>
          <w:rFonts w:hint="eastAsia" w:ascii="方正小标宋_GBK" w:hAnsi="黑体" w:eastAsia="方正小标宋_GBK"/>
          <w:sz w:val="44"/>
          <w:szCs w:val="44"/>
        </w:rPr>
        <w:t>关于公布</w:t>
      </w:r>
      <w:r>
        <w:rPr>
          <w:rFonts w:hint="eastAsia" w:ascii="方正小标宋_GBK" w:hAnsi="黑体" w:eastAsia="方正小标宋_GBK"/>
          <w:sz w:val="44"/>
          <w:szCs w:val="44"/>
          <w:lang w:eastAsia="zh-CN"/>
        </w:rPr>
        <w:t>执行全县集体</w:t>
      </w:r>
      <w:r>
        <w:rPr>
          <w:rFonts w:hint="eastAsia" w:ascii="方正小标宋_GBK" w:hAnsi="黑体" w:eastAsia="方正小标宋_GBK"/>
          <w:sz w:val="44"/>
          <w:szCs w:val="44"/>
        </w:rPr>
        <w:t>建设用地</w:t>
      </w:r>
    </w:p>
    <w:p>
      <w:pPr>
        <w:keepNext w:val="0"/>
        <w:keepLines w:val="0"/>
        <w:pageBreakBefore w:val="0"/>
        <w:kinsoku/>
        <w:wordWrap/>
        <w:topLinePunct w:val="0"/>
        <w:autoSpaceDE/>
        <w:autoSpaceDN/>
        <w:bidi w:val="0"/>
        <w:spacing w:line="500" w:lineRule="exact"/>
        <w:jc w:val="center"/>
        <w:textAlignment w:val="auto"/>
        <w:rPr>
          <w:rFonts w:ascii="方正小标宋_GBK" w:hAnsi="黑体" w:eastAsia="方正小标宋_GBK"/>
          <w:sz w:val="44"/>
          <w:szCs w:val="44"/>
        </w:rPr>
      </w:pPr>
      <w:r>
        <w:rPr>
          <w:rFonts w:hint="eastAsia" w:ascii="方正小标宋_GBK" w:hAnsi="黑体" w:eastAsia="方正小标宋_GBK"/>
          <w:sz w:val="44"/>
          <w:szCs w:val="44"/>
        </w:rPr>
        <w:t>基准地价</w:t>
      </w:r>
      <w:r>
        <w:rPr>
          <w:rFonts w:hint="eastAsia" w:ascii="方正小标宋_GBK" w:hAnsi="黑体" w:eastAsia="方正小标宋_GBK"/>
          <w:sz w:val="44"/>
          <w:szCs w:val="44"/>
          <w:lang w:eastAsia="zh-CN"/>
        </w:rPr>
        <w:t>和土地级别</w:t>
      </w:r>
      <w:r>
        <w:rPr>
          <w:rFonts w:hint="eastAsia" w:ascii="方正小标宋_GBK" w:hAnsi="黑体" w:eastAsia="方正小标宋_GBK"/>
          <w:sz w:val="44"/>
          <w:szCs w:val="44"/>
        </w:rPr>
        <w:t>的通知</w:t>
      </w:r>
    </w:p>
    <w:p>
      <w:pPr>
        <w:keepNext w:val="0"/>
        <w:keepLines w:val="0"/>
        <w:pageBreakBefore w:val="0"/>
        <w:kinsoku/>
        <w:wordWrap/>
        <w:topLinePunct w:val="0"/>
        <w:autoSpaceDE/>
        <w:autoSpaceDN/>
        <w:bidi w:val="0"/>
        <w:spacing w:line="500" w:lineRule="exact"/>
        <w:textAlignment w:val="auto"/>
        <w:rPr>
          <w:rFonts w:ascii="方正仿宋_GBK" w:hAnsi="黑体" w:eastAsia="方正仿宋_GBK"/>
          <w:sz w:val="32"/>
          <w:szCs w:val="32"/>
        </w:rPr>
      </w:pPr>
    </w:p>
    <w:p>
      <w:pPr>
        <w:keepNext w:val="0"/>
        <w:keepLines w:val="0"/>
        <w:pageBreakBefore w:val="0"/>
        <w:kinsoku/>
        <w:wordWrap/>
        <w:topLinePunct w:val="0"/>
        <w:autoSpaceDE/>
        <w:autoSpaceDN/>
        <w:bidi w:val="0"/>
        <w:spacing w:line="500" w:lineRule="exact"/>
        <w:textAlignment w:val="auto"/>
        <w:rPr>
          <w:rFonts w:eastAsia="方正仿宋_GBK"/>
          <w:sz w:val="32"/>
          <w:szCs w:val="32"/>
        </w:rPr>
      </w:pPr>
      <w:r>
        <w:rPr>
          <w:rFonts w:hint="eastAsia" w:eastAsia="方正仿宋_GBK"/>
          <w:sz w:val="32"/>
          <w:szCs w:val="32"/>
        </w:rPr>
        <w:t>各乡镇人民政府、街道办事处，县政府各部门，有关单位：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pacing w:before="0" w:beforeAutospacing="0" w:after="144" w:afterAutospacing="0" w:line="500" w:lineRule="exact"/>
        <w:ind w:left="0" w:right="0" w:firstLine="634"/>
        <w:jc w:val="left"/>
        <w:textAlignment w:val="auto"/>
        <w:rPr>
          <w:rFonts w:ascii="方正仿宋_GBK" w:hAnsi="方正仿宋_GBK" w:eastAsia="方正仿宋_GBK" w:cs="方正仿宋_GBK"/>
          <w:i w:val="0"/>
          <w:iCs w:val="0"/>
          <w:caps w:val="0"/>
          <w:color w:val="000000"/>
          <w:spacing w:val="0"/>
          <w:sz w:val="32"/>
          <w:szCs w:val="32"/>
          <w:shd w:val="clear" w:color="auto" w:fill="FFFFFF"/>
        </w:rPr>
      </w:pPr>
      <w:r>
        <w:rPr>
          <w:rFonts w:ascii="方正仿宋_GBK" w:hAnsi="方正仿宋_GBK" w:eastAsia="方正仿宋_GBK" w:cs="方正仿宋_GBK"/>
          <w:i w:val="0"/>
          <w:iCs w:val="0"/>
          <w:caps w:val="0"/>
          <w:color w:val="000000"/>
          <w:spacing w:val="0"/>
          <w:sz w:val="32"/>
          <w:szCs w:val="32"/>
          <w:shd w:val="clear" w:color="auto" w:fill="FFFFFF"/>
        </w:rPr>
        <w:t>按照自然资源部、重庆市规划和自然资源局关于基准地价制定工作的部署，为进一步加强自然资源资产管理、完善科学的地价管理体系，规范土地市场秩序，</w:t>
      </w:r>
      <w:r>
        <w:rPr>
          <w:rFonts w:hint="eastAsia" w:eastAsia="方正仿宋_GBK"/>
          <w:sz w:val="32"/>
          <w:szCs w:val="32"/>
          <w:lang w:eastAsia="zh-CN"/>
        </w:rPr>
        <w:t>我县</w:t>
      </w:r>
      <w:r>
        <w:rPr>
          <w:rFonts w:hint="eastAsia" w:eastAsia="方正仿宋_GBK" w:cs="Times New Roman"/>
          <w:sz w:val="32"/>
          <w:szCs w:val="32"/>
          <w:lang w:eastAsia="zh-CN"/>
        </w:rPr>
        <w:t>集体建设</w:t>
      </w:r>
      <w:r>
        <w:rPr>
          <w:rFonts w:hint="default" w:ascii="Times New Roman" w:hAnsi="Times New Roman" w:eastAsia="方正仿宋_GBK" w:cs="Times New Roman"/>
          <w:sz w:val="32"/>
          <w:szCs w:val="32"/>
          <w:lang w:eastAsia="zh-CN"/>
        </w:rPr>
        <w:t>用地</w:t>
      </w:r>
      <w:r>
        <w:rPr>
          <w:rFonts w:hint="default" w:ascii="Times New Roman" w:hAnsi="Times New Roman" w:eastAsia="方正仿宋_GBK" w:cs="Times New Roman"/>
          <w:sz w:val="32"/>
          <w:szCs w:val="32"/>
        </w:rPr>
        <w:t>基准地价</w:t>
      </w:r>
      <w:r>
        <w:rPr>
          <w:rFonts w:hint="eastAsia" w:eastAsia="方正仿宋_GBK" w:cs="Times New Roman"/>
          <w:sz w:val="32"/>
          <w:szCs w:val="32"/>
          <w:lang w:eastAsia="zh-CN"/>
        </w:rPr>
        <w:t>和</w:t>
      </w:r>
      <w:r>
        <w:rPr>
          <w:rFonts w:hint="eastAsia" w:eastAsia="方正仿宋_GBK"/>
          <w:sz w:val="32"/>
          <w:szCs w:val="32"/>
        </w:rPr>
        <w:t>土地级别</w:t>
      </w:r>
      <w:r>
        <w:rPr>
          <w:rFonts w:hint="eastAsia" w:eastAsia="方正仿宋_GBK"/>
          <w:sz w:val="32"/>
          <w:szCs w:val="32"/>
          <w:lang w:eastAsia="zh-CN"/>
        </w:rPr>
        <w:t>已</w:t>
      </w:r>
      <w:r>
        <w:rPr>
          <w:rFonts w:hint="eastAsia" w:eastAsia="方正仿宋_GBK"/>
          <w:sz w:val="32"/>
          <w:szCs w:val="32"/>
        </w:rPr>
        <w:t>经县政府</w:t>
      </w:r>
      <w:r>
        <w:rPr>
          <w:rFonts w:hint="eastAsia" w:eastAsia="方正仿宋_GBK"/>
          <w:sz w:val="32"/>
          <w:szCs w:val="32"/>
          <w:lang w:val="en-US" w:eastAsia="zh-CN"/>
        </w:rPr>
        <w:t>2022年</w:t>
      </w:r>
      <w:r>
        <w:rPr>
          <w:rFonts w:hint="eastAsia" w:eastAsia="方正仿宋_GBK"/>
          <w:sz w:val="32"/>
          <w:szCs w:val="32"/>
        </w:rPr>
        <w:t>第3次</w:t>
      </w:r>
      <w:r>
        <w:rPr>
          <w:rFonts w:hint="eastAsia" w:eastAsia="方正仿宋_GBK"/>
          <w:sz w:val="32"/>
          <w:szCs w:val="32"/>
          <w:lang w:eastAsia="zh-CN"/>
        </w:rPr>
        <w:t>政府</w:t>
      </w:r>
      <w:r>
        <w:rPr>
          <w:rFonts w:hint="eastAsia" w:eastAsia="方正仿宋_GBK"/>
          <w:sz w:val="32"/>
          <w:szCs w:val="32"/>
        </w:rPr>
        <w:t>常务会议审议通过</w:t>
      </w:r>
      <w:r>
        <w:rPr>
          <w:rFonts w:hint="eastAsia" w:eastAsia="方正仿宋_GBK"/>
          <w:sz w:val="32"/>
          <w:szCs w:val="32"/>
          <w:lang w:eastAsia="zh-CN"/>
        </w:rPr>
        <w:t>，</w:t>
      </w:r>
      <w:r>
        <w:rPr>
          <w:rFonts w:hint="eastAsia" w:eastAsia="方正仿宋_GBK"/>
          <w:sz w:val="32"/>
          <w:szCs w:val="32"/>
        </w:rPr>
        <w:t>现将</w:t>
      </w:r>
      <w:r>
        <w:rPr>
          <w:rFonts w:hint="eastAsia" w:eastAsia="方正仿宋_GBK"/>
          <w:sz w:val="32"/>
          <w:szCs w:val="32"/>
          <w:lang w:eastAsia="zh-CN"/>
        </w:rPr>
        <w:t>云阳县集体建设用地</w:t>
      </w:r>
      <w:r>
        <w:rPr>
          <w:rFonts w:hint="default" w:ascii="Times New Roman" w:hAnsi="Times New Roman" w:eastAsia="方正仿宋_GBK" w:cs="Times New Roman"/>
          <w:sz w:val="32"/>
          <w:szCs w:val="32"/>
        </w:rPr>
        <w:t>基准地价</w:t>
      </w:r>
      <w:r>
        <w:rPr>
          <w:rFonts w:hint="eastAsia" w:eastAsia="方正仿宋_GBK"/>
          <w:sz w:val="32"/>
          <w:szCs w:val="32"/>
        </w:rPr>
        <w:t>和土地级别予以公布</w:t>
      </w:r>
      <w:r>
        <w:rPr>
          <w:rFonts w:ascii="方正仿宋_GBK" w:hAnsi="方正仿宋_GBK" w:eastAsia="方正仿宋_GBK" w:cs="方正仿宋_GBK"/>
          <w:i w:val="0"/>
          <w:iCs w:val="0"/>
          <w:caps w:val="0"/>
          <w:color w:val="000000"/>
          <w:spacing w:val="0"/>
          <w:sz w:val="32"/>
          <w:szCs w:val="32"/>
          <w:shd w:val="clear" w:color="auto" w:fill="FFFFFF"/>
        </w:rPr>
        <w:t>，请遵照执行。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pacing w:before="0" w:beforeAutospacing="0" w:after="144" w:afterAutospacing="0" w:line="500" w:lineRule="exact"/>
        <w:ind w:left="0" w:right="0" w:firstLine="634"/>
        <w:jc w:val="left"/>
        <w:textAlignment w:val="auto"/>
        <w:rPr>
          <w:rFonts w:hint="eastAsia" w:ascii="微软雅黑" w:hAnsi="微软雅黑" w:eastAsia="微软雅黑" w:cs="微软雅黑"/>
          <w:i w:val="0"/>
          <w:iCs w:val="0"/>
          <w:caps w:val="0"/>
          <w:color w:val="333333"/>
          <w:spacing w:val="0"/>
          <w:sz w:val="19"/>
          <w:szCs w:val="19"/>
        </w:rPr>
      </w:pPr>
      <w:r>
        <w:rPr>
          <w:rFonts w:hint="eastAsia" w:ascii="方正仿宋_GBK" w:hAnsi="方正仿宋_GBK" w:eastAsia="方正仿宋_GBK" w:cs="方正仿宋_GBK"/>
          <w:i w:val="0"/>
          <w:iCs w:val="0"/>
          <w:caps w:val="0"/>
          <w:color w:val="000000"/>
          <w:spacing w:val="0"/>
          <w:sz w:val="32"/>
          <w:szCs w:val="32"/>
          <w:shd w:val="clear" w:color="auto" w:fill="FFFFFF"/>
        </w:rPr>
        <w:t>一、本通知自</w:t>
      </w:r>
      <w:r>
        <w:rPr>
          <w:rFonts w:hint="eastAsia" w:ascii="方正仿宋_GBK" w:hAnsi="方正仿宋_GBK" w:eastAsia="方正仿宋_GBK" w:cs="方正仿宋_GBK"/>
          <w:i w:val="0"/>
          <w:iCs w:val="0"/>
          <w:caps w:val="0"/>
          <w:color w:val="0000FF"/>
          <w:spacing w:val="0"/>
          <w:sz w:val="32"/>
          <w:szCs w:val="32"/>
          <w:shd w:val="clear" w:color="auto" w:fill="FFFFFF"/>
          <w:lang w:val="en-US" w:eastAsia="zh-CN"/>
        </w:rPr>
        <w:t>2022年X月X</w:t>
      </w:r>
      <w:r>
        <w:rPr>
          <w:rFonts w:hint="eastAsia" w:ascii="方正仿宋_GBK" w:hAnsi="方正仿宋_GBK" w:eastAsia="方正仿宋_GBK" w:cs="方正仿宋_GBK"/>
          <w:i w:val="0"/>
          <w:iCs w:val="0"/>
          <w:caps w:val="0"/>
          <w:color w:val="0000FF"/>
          <w:spacing w:val="0"/>
          <w:sz w:val="32"/>
          <w:szCs w:val="32"/>
          <w:shd w:val="clear" w:color="auto" w:fill="FFFFFF"/>
        </w:rPr>
        <w:t>日</w:t>
      </w:r>
      <w:r>
        <w:rPr>
          <w:rFonts w:hint="eastAsia" w:ascii="方正仿宋_GBK" w:hAnsi="方正仿宋_GBK" w:eastAsia="方正仿宋_GBK" w:cs="方正仿宋_GBK"/>
          <w:i w:val="0"/>
          <w:iCs w:val="0"/>
          <w:caps w:val="0"/>
          <w:color w:val="000000"/>
          <w:spacing w:val="0"/>
          <w:sz w:val="32"/>
          <w:szCs w:val="32"/>
          <w:shd w:val="clear" w:color="auto" w:fill="FFFFFF"/>
        </w:rPr>
        <w:t>起生效施行。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autoSpaceDE/>
        <w:autoSpaceDN/>
        <w:bidi w:val="0"/>
        <w:spacing w:before="0" w:beforeAutospacing="0" w:after="144" w:afterAutospacing="0" w:line="500" w:lineRule="exact"/>
        <w:ind w:left="0" w:right="0" w:firstLine="634"/>
        <w:jc w:val="left"/>
        <w:textAlignment w:val="auto"/>
        <w:rPr>
          <w:rFonts w:hint="eastAsia" w:ascii="微软雅黑" w:hAnsi="微软雅黑" w:eastAsia="微软雅黑" w:cs="微软雅黑"/>
          <w:i w:val="0"/>
          <w:iCs w:val="0"/>
          <w:caps w:val="0"/>
          <w:color w:val="333333"/>
          <w:spacing w:val="0"/>
          <w:sz w:val="19"/>
          <w:szCs w:val="19"/>
        </w:rPr>
      </w:pPr>
      <w:r>
        <w:rPr>
          <w:rFonts w:hint="eastAsia" w:ascii="方正仿宋_GBK" w:hAnsi="方正仿宋_GBK" w:eastAsia="方正仿宋_GBK" w:cs="方正仿宋_GBK"/>
          <w:i w:val="0"/>
          <w:iCs w:val="0"/>
          <w:caps w:val="0"/>
          <w:color w:val="000000"/>
          <w:spacing w:val="0"/>
          <w:sz w:val="32"/>
          <w:szCs w:val="32"/>
          <w:shd w:val="clear" w:color="auto" w:fill="FFFFFF"/>
        </w:rPr>
        <w:t>二、土地级别和基准地价实施中的具体问题由</w:t>
      </w:r>
      <w:r>
        <w:rPr>
          <w:rFonts w:hint="eastAsia" w:ascii="方正仿宋_GBK" w:hAnsi="方正仿宋_GBK" w:eastAsia="方正仿宋_GBK" w:cs="方正仿宋_GBK"/>
          <w:i w:val="0"/>
          <w:iCs w:val="0"/>
          <w:caps w:val="0"/>
          <w:color w:val="000000"/>
          <w:spacing w:val="0"/>
          <w:sz w:val="32"/>
          <w:szCs w:val="32"/>
          <w:shd w:val="clear" w:color="auto" w:fill="FFFFFF"/>
          <w:lang w:val="en-US" w:eastAsia="zh-CN"/>
        </w:rPr>
        <w:t>云阳县</w:t>
      </w:r>
      <w:r>
        <w:rPr>
          <w:rFonts w:hint="eastAsia" w:ascii="方正仿宋_GBK" w:hAnsi="方正仿宋_GBK" w:eastAsia="方正仿宋_GBK" w:cs="方正仿宋_GBK"/>
          <w:i w:val="0"/>
          <w:iCs w:val="0"/>
          <w:caps w:val="0"/>
          <w:color w:val="0000FF"/>
          <w:spacing w:val="0"/>
          <w:sz w:val="32"/>
          <w:szCs w:val="32"/>
          <w:shd w:val="clear" w:color="auto" w:fill="FFFFFF"/>
          <w:lang w:val="en-US" w:eastAsia="zh-CN"/>
        </w:rPr>
        <w:t>人民政府</w:t>
      </w:r>
      <w:r>
        <w:rPr>
          <w:rFonts w:hint="eastAsia" w:ascii="方正仿宋_GBK" w:hAnsi="方正仿宋_GBK" w:eastAsia="方正仿宋_GBK" w:cs="方正仿宋_GBK"/>
          <w:i w:val="0"/>
          <w:iCs w:val="0"/>
          <w:caps w:val="0"/>
          <w:color w:val="000000"/>
          <w:spacing w:val="0"/>
          <w:sz w:val="32"/>
          <w:szCs w:val="32"/>
          <w:shd w:val="clear" w:color="auto" w:fill="FFFFFF"/>
        </w:rPr>
        <w:t>负责解释。土地级别和基准地价将根据社会发展情况及市场需要适时调整更新。</w:t>
      </w:r>
    </w:p>
    <w:p>
      <w:pPr>
        <w:keepNext w:val="0"/>
        <w:keepLines w:val="0"/>
        <w:pageBreakBefore w:val="0"/>
        <w:kinsoku/>
        <w:wordWrap/>
        <w:topLinePunct w:val="0"/>
        <w:autoSpaceDE/>
        <w:autoSpaceDN/>
        <w:bidi w:val="0"/>
        <w:spacing w:line="500" w:lineRule="exact"/>
        <w:textAlignment w:val="auto"/>
        <w:rPr>
          <w:rFonts w:eastAsia="方正仿宋_GBK"/>
          <w:sz w:val="32"/>
          <w:szCs w:val="32"/>
        </w:rPr>
      </w:pPr>
    </w:p>
    <w:p>
      <w:pPr>
        <w:keepNext w:val="0"/>
        <w:keepLines w:val="0"/>
        <w:pageBreakBefore w:val="0"/>
        <w:widowControl w:val="0"/>
        <w:kinsoku/>
        <w:wordWrap/>
        <w:overflowPunct w:val="0"/>
        <w:topLinePunct w:val="0"/>
        <w:autoSpaceDE/>
        <w:autoSpaceDN/>
        <w:bidi w:val="0"/>
        <w:adjustRightInd w:val="0"/>
        <w:snapToGrid w:val="0"/>
        <w:spacing w:line="500" w:lineRule="exact"/>
        <w:ind w:firstLine="630"/>
        <w:textAlignment w:val="auto"/>
        <w:rPr>
          <w:rFonts w:hint="default" w:ascii="Times New Roman" w:hAnsi="Times New Roman" w:eastAsia="方正仿宋_GBK" w:cs="Times New Roman"/>
          <w:sz w:val="32"/>
          <w:szCs w:val="32"/>
          <w:lang w:eastAsia="zh-CN"/>
        </w:rPr>
      </w:pPr>
      <w:r>
        <w:rPr>
          <w:rFonts w:hint="eastAsia" w:eastAsia="方正仿宋_GBK"/>
          <w:sz w:val="32"/>
          <w:szCs w:val="32"/>
        </w:rPr>
        <w:t>附件</w:t>
      </w:r>
      <w:r>
        <w:rPr>
          <w:rFonts w:hint="eastAsia" w:eastAsia="方正仿宋_GBK"/>
          <w:sz w:val="32"/>
          <w:szCs w:val="32"/>
          <w:lang w:eastAsia="zh-CN"/>
        </w:rPr>
        <w:t>：</w:t>
      </w:r>
      <w:r>
        <w:rPr>
          <w:rFonts w:hint="eastAsia" w:eastAsia="方正仿宋_GBK"/>
          <w:sz w:val="32"/>
          <w:szCs w:val="32"/>
          <w:lang w:val="en-US" w:eastAsia="zh-CN"/>
        </w:rPr>
        <w:t>1.</w:t>
      </w:r>
      <w:r>
        <w:rPr>
          <w:rFonts w:hint="eastAsia" w:ascii="Times New Roman" w:hAnsi="Times New Roman" w:eastAsia="方正仿宋_GBK" w:cs="Times New Roman"/>
          <w:sz w:val="32"/>
          <w:szCs w:val="32"/>
          <w:lang w:eastAsia="zh-CN"/>
        </w:rPr>
        <w:t>重庆市</w:t>
      </w:r>
      <w:r>
        <w:rPr>
          <w:rFonts w:hint="default" w:ascii="Times New Roman" w:hAnsi="Times New Roman" w:eastAsia="方正仿宋_GBK" w:cs="Times New Roman"/>
          <w:sz w:val="32"/>
          <w:szCs w:val="32"/>
          <w:lang w:eastAsia="zh-CN"/>
        </w:rPr>
        <w:t>云阳县集体建设用地基准地价表</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00" w:lineRule="exact"/>
        <w:ind w:left="1590" w:leftChars="0"/>
        <w:textAlignment w:val="auto"/>
        <w:rPr>
          <w:rFonts w:hint="default" w:ascii="Times New Roman" w:hAnsi="Times New Roman" w:eastAsia="方正仿宋_GBK" w:cs="Times New Roman"/>
          <w:sz w:val="32"/>
          <w:szCs w:val="32"/>
        </w:rPr>
      </w:pPr>
      <w:r>
        <w:rPr>
          <w:rFonts w:hint="eastAsia"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重庆市</w:t>
      </w:r>
      <w:r>
        <w:rPr>
          <w:rFonts w:hint="default" w:ascii="Times New Roman" w:hAnsi="Times New Roman" w:eastAsia="方正仿宋_GBK" w:cs="Times New Roman"/>
          <w:sz w:val="32"/>
          <w:szCs w:val="32"/>
          <w:lang w:eastAsia="zh-CN"/>
        </w:rPr>
        <w:t>云阳县集体建设用地土地级别册</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00" w:lineRule="exact"/>
        <w:ind w:left="1600" w:leftChars="0"/>
        <w:textAlignment w:val="auto"/>
        <w:rPr>
          <w:rFonts w:hint="default" w:ascii="Times New Roman" w:hAnsi="Times New Roman" w:eastAsia="方正仿宋_GBK" w:cs="Times New Roman"/>
          <w:sz w:val="32"/>
          <w:szCs w:val="32"/>
        </w:rPr>
      </w:pPr>
      <w:r>
        <w:rPr>
          <w:rFonts w:hint="eastAsia"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重庆市</w:t>
      </w:r>
      <w:r>
        <w:rPr>
          <w:rFonts w:hint="default" w:ascii="Times New Roman" w:hAnsi="Times New Roman" w:eastAsia="方正仿宋_GBK" w:cs="Times New Roman"/>
          <w:sz w:val="32"/>
          <w:szCs w:val="32"/>
        </w:rPr>
        <w:t>云阳县集体建设用地使用权基准地价说明</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00" w:lineRule="exact"/>
        <w:ind w:left="1600" w:leftChars="0"/>
        <w:textAlignment w:val="auto"/>
        <w:rPr>
          <w:rFonts w:hint="default" w:ascii="Times New Roman" w:hAnsi="Times New Roman" w:eastAsia="方正仿宋_GBK" w:cs="Times New Roman"/>
          <w:sz w:val="32"/>
          <w:szCs w:val="32"/>
        </w:rPr>
      </w:pPr>
      <w:r>
        <w:rPr>
          <w:rFonts w:hint="eastAsia"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重庆市</w:t>
      </w:r>
      <w:r>
        <w:rPr>
          <w:rFonts w:hint="default" w:ascii="Times New Roman" w:hAnsi="Times New Roman" w:eastAsia="方正仿宋_GBK" w:cs="Times New Roman"/>
          <w:sz w:val="32"/>
          <w:szCs w:val="32"/>
        </w:rPr>
        <w:t>云阳县集体建设用地使用权基准地价图</w:t>
      </w:r>
    </w:p>
    <w:p>
      <w:pPr>
        <w:keepNext w:val="0"/>
        <w:keepLines w:val="0"/>
        <w:pageBreakBefore w:val="0"/>
        <w:kinsoku/>
        <w:wordWrap/>
        <w:topLinePunct w:val="0"/>
        <w:autoSpaceDE/>
        <w:autoSpaceDN/>
        <w:bidi w:val="0"/>
        <w:spacing w:line="500" w:lineRule="exact"/>
        <w:ind w:firstLine="5584" w:firstLineChars="1745"/>
        <w:textAlignment w:val="auto"/>
        <w:rPr>
          <w:rFonts w:eastAsia="方正仿宋_GBK"/>
          <w:sz w:val="32"/>
          <w:szCs w:val="32"/>
        </w:rPr>
      </w:pPr>
    </w:p>
    <w:p>
      <w:pPr>
        <w:keepNext w:val="0"/>
        <w:keepLines w:val="0"/>
        <w:pageBreakBefore w:val="0"/>
        <w:kinsoku/>
        <w:wordWrap/>
        <w:topLinePunct w:val="0"/>
        <w:autoSpaceDE/>
        <w:autoSpaceDN/>
        <w:bidi w:val="0"/>
        <w:spacing w:line="500" w:lineRule="exact"/>
        <w:ind w:firstLine="5440" w:firstLineChars="1700"/>
        <w:textAlignment w:val="auto"/>
        <w:rPr>
          <w:rFonts w:eastAsia="方正仿宋_GBK"/>
          <w:sz w:val="32"/>
          <w:szCs w:val="32"/>
        </w:rPr>
      </w:pPr>
      <w:r>
        <w:rPr>
          <w:rFonts w:hint="eastAsia" w:eastAsia="方正仿宋_GBK"/>
          <w:sz w:val="32"/>
          <w:szCs w:val="32"/>
        </w:rPr>
        <w:t>云阳县人民政府</w:t>
      </w:r>
    </w:p>
    <w:p>
      <w:pPr>
        <w:keepNext w:val="0"/>
        <w:keepLines w:val="0"/>
        <w:pageBreakBefore w:val="0"/>
        <w:kinsoku/>
        <w:wordWrap/>
        <w:topLinePunct w:val="0"/>
        <w:autoSpaceDE/>
        <w:autoSpaceDN/>
        <w:bidi w:val="0"/>
        <w:spacing w:line="500" w:lineRule="exact"/>
        <w:ind w:firstLine="5584" w:firstLineChars="1745"/>
        <w:textAlignment w:val="auto"/>
        <w:rPr>
          <w:rFonts w:hint="eastAsia" w:eastAsia="方正仿宋_GBK"/>
          <w:sz w:val="32"/>
          <w:szCs w:val="32"/>
        </w:rPr>
      </w:pPr>
      <w:r>
        <w:rPr>
          <w:rFonts w:hint="eastAsia" w:eastAsia="方正仿宋_GBK"/>
          <w:sz w:val="32"/>
          <w:szCs w:val="32"/>
        </w:rPr>
        <w:t>20</w:t>
      </w:r>
      <w:r>
        <w:rPr>
          <w:rFonts w:hint="eastAsia" w:eastAsia="方正仿宋_GBK"/>
          <w:sz w:val="32"/>
          <w:szCs w:val="32"/>
          <w:lang w:val="en-US" w:eastAsia="zh-CN"/>
        </w:rPr>
        <w:t>22</w:t>
      </w:r>
      <w:r>
        <w:rPr>
          <w:rFonts w:hint="eastAsia" w:eastAsia="方正仿宋_GBK"/>
          <w:sz w:val="32"/>
          <w:szCs w:val="32"/>
        </w:rPr>
        <w:t>年</w:t>
      </w:r>
      <w:r>
        <w:rPr>
          <w:rFonts w:hint="eastAsia" w:eastAsia="方正仿宋_GBK"/>
          <w:sz w:val="32"/>
          <w:szCs w:val="32"/>
          <w:lang w:val="en-US" w:eastAsia="zh-CN"/>
        </w:rPr>
        <w:t>X</w:t>
      </w:r>
      <w:r>
        <w:rPr>
          <w:rFonts w:hint="eastAsia" w:eastAsia="方正仿宋_GBK"/>
          <w:sz w:val="32"/>
          <w:szCs w:val="32"/>
        </w:rPr>
        <w:t>月</w:t>
      </w:r>
      <w:r>
        <w:rPr>
          <w:rFonts w:hint="eastAsia" w:eastAsia="方正仿宋_GBK"/>
          <w:sz w:val="32"/>
          <w:szCs w:val="32"/>
          <w:lang w:val="en-US" w:eastAsia="zh-CN"/>
        </w:rPr>
        <w:t>X</w:t>
      </w:r>
      <w:r>
        <w:rPr>
          <w:rFonts w:hint="eastAsia" w:eastAsia="方正仿宋_GBK"/>
          <w:sz w:val="32"/>
          <w:szCs w:val="32"/>
        </w:rPr>
        <w:t>日</w:t>
      </w:r>
    </w:p>
    <w:p>
      <w:pPr>
        <w:keepNext w:val="0"/>
        <w:keepLines w:val="0"/>
        <w:pageBreakBefore w:val="0"/>
        <w:kinsoku/>
        <w:wordWrap/>
        <w:topLinePunct w:val="0"/>
        <w:autoSpaceDE/>
        <w:autoSpaceDN/>
        <w:bidi w:val="0"/>
        <w:spacing w:line="500" w:lineRule="exact"/>
        <w:ind w:firstLine="5584" w:firstLineChars="1745"/>
        <w:textAlignment w:val="auto"/>
        <w:rPr>
          <w:rFonts w:hint="eastAsia" w:ascii="方正仿宋_GBK" w:eastAsia="方正仿宋_GBK"/>
          <w:sz w:val="32"/>
          <w:szCs w:val="32"/>
          <w:lang w:val="en-US" w:eastAsia="zh-CN"/>
        </w:rPr>
      </w:pPr>
      <w:r>
        <w:rPr>
          <w:rFonts w:hint="eastAsia" w:ascii="方正仿宋_GBK" w:eastAsia="方正仿宋_GBK"/>
          <w:sz w:val="32"/>
          <w:szCs w:val="32"/>
          <w:lang w:val="en-US" w:eastAsia="zh-CN"/>
        </w:rPr>
        <w:t>（此件公开发布）</w:t>
      </w:r>
    </w:p>
    <w:p>
      <w:pPr>
        <w:pStyle w:val="2"/>
      </w:pPr>
      <w:bookmarkStart w:id="20" w:name="_GoBack"/>
      <w:bookmarkEnd w:id="20"/>
    </w:p>
    <w:p>
      <w:pPr>
        <w:spacing w:line="578" w:lineRule="exact"/>
        <w:rPr>
          <w:rFonts w:hint="eastAsia" w:eastAsia="方正黑体_GBK"/>
          <w:bCs/>
          <w:sz w:val="32"/>
          <w:szCs w:val="32"/>
          <w:lang w:val="en-US" w:eastAsia="zh-CN"/>
        </w:rPr>
      </w:pPr>
      <w:r>
        <w:rPr>
          <w:rFonts w:eastAsia="方正黑体_GBK"/>
          <w:bCs/>
          <w:sz w:val="32"/>
          <w:szCs w:val="32"/>
        </w:rPr>
        <w:t>附件</w:t>
      </w:r>
      <w:r>
        <w:rPr>
          <w:rFonts w:hint="eastAsia" w:eastAsia="方正黑体_GBK"/>
          <w:bCs/>
          <w:sz w:val="32"/>
          <w:szCs w:val="32"/>
          <w:lang w:val="en-US" w:eastAsia="zh-CN"/>
        </w:rPr>
        <w:t>1</w:t>
      </w:r>
    </w:p>
    <w:p>
      <w:pPr>
        <w:pStyle w:val="2"/>
        <w:rPr>
          <w:rFonts w:hint="eastAsia"/>
          <w:lang w:eastAsia="zh-CN"/>
        </w:rPr>
      </w:pPr>
    </w:p>
    <w:p>
      <w:pPr>
        <w:spacing w:line="720" w:lineRule="exact"/>
        <w:jc w:val="center"/>
        <w:rPr>
          <w:rFonts w:eastAsia="方正小标宋_GBK"/>
          <w:sz w:val="44"/>
          <w:szCs w:val="44"/>
        </w:rPr>
      </w:pPr>
      <w:r>
        <w:rPr>
          <w:rFonts w:eastAsia="方正小标宋_GBK"/>
          <w:sz w:val="44"/>
          <w:szCs w:val="44"/>
        </w:rPr>
        <w:t>重庆市云阳县集体建设用地使用权基准地价表</w:t>
      </w:r>
    </w:p>
    <w:p>
      <w:pPr>
        <w:spacing w:line="578" w:lineRule="exact"/>
      </w:pPr>
    </w:p>
    <w:p>
      <w:pPr>
        <w:spacing w:line="580" w:lineRule="exact"/>
        <w:jc w:val="right"/>
        <w:rPr>
          <w:rFonts w:eastAsia="方正仿宋_GBK"/>
          <w:sz w:val="30"/>
          <w:szCs w:val="30"/>
        </w:rPr>
      </w:pPr>
      <w:r>
        <w:rPr>
          <w:rFonts w:eastAsia="方正仿宋_GBK"/>
          <w:sz w:val="24"/>
          <w:szCs w:val="30"/>
        </w:rPr>
        <w:t>元/平方米·土地面积</w:t>
      </w:r>
    </w:p>
    <w:tbl>
      <w:tblPr>
        <w:tblStyle w:val="5"/>
        <w:tblW w:w="89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779"/>
        <w:gridCol w:w="2381"/>
        <w:gridCol w:w="31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86" w:type="dxa"/>
            <w:vMerge w:val="restart"/>
            <w:noWrap w:val="0"/>
            <w:vAlign w:val="center"/>
          </w:tcPr>
          <w:p>
            <w:pPr>
              <w:widowControl/>
              <w:jc w:val="center"/>
              <w:rPr>
                <w:rFonts w:eastAsia="方正仿宋_GBK"/>
                <w:kern w:val="0"/>
                <w:sz w:val="24"/>
              </w:rPr>
            </w:pPr>
            <w:r>
              <w:rPr>
                <w:rFonts w:eastAsia="方正仿宋_GBK"/>
                <w:bCs/>
                <w:kern w:val="0"/>
                <w:sz w:val="24"/>
              </w:rPr>
              <w:t>级别</w:t>
            </w:r>
          </w:p>
        </w:tc>
        <w:tc>
          <w:tcPr>
            <w:tcW w:w="2779" w:type="dxa"/>
            <w:noWrap w:val="0"/>
            <w:vAlign w:val="center"/>
          </w:tcPr>
          <w:p>
            <w:pPr>
              <w:widowControl/>
              <w:jc w:val="center"/>
              <w:rPr>
                <w:rFonts w:eastAsia="方正仿宋_GBK"/>
                <w:kern w:val="0"/>
                <w:sz w:val="24"/>
              </w:rPr>
            </w:pPr>
            <w:r>
              <w:rPr>
                <w:rFonts w:eastAsia="方正仿宋_GBK"/>
                <w:bCs/>
                <w:kern w:val="0"/>
                <w:sz w:val="24"/>
              </w:rPr>
              <w:t>商服用地</w:t>
            </w:r>
          </w:p>
        </w:tc>
        <w:tc>
          <w:tcPr>
            <w:tcW w:w="2381" w:type="dxa"/>
            <w:noWrap w:val="0"/>
            <w:vAlign w:val="center"/>
          </w:tcPr>
          <w:p>
            <w:pPr>
              <w:widowControl/>
              <w:jc w:val="center"/>
              <w:rPr>
                <w:rFonts w:eastAsia="方正仿宋_GBK"/>
                <w:kern w:val="0"/>
                <w:sz w:val="24"/>
              </w:rPr>
            </w:pPr>
            <w:r>
              <w:rPr>
                <w:rFonts w:eastAsia="方正仿宋_GBK"/>
                <w:bCs/>
                <w:kern w:val="0"/>
                <w:sz w:val="24"/>
              </w:rPr>
              <w:t>工业仓储用地</w:t>
            </w:r>
          </w:p>
        </w:tc>
        <w:tc>
          <w:tcPr>
            <w:tcW w:w="3140" w:type="dxa"/>
            <w:noWrap w:val="0"/>
            <w:vAlign w:val="center"/>
          </w:tcPr>
          <w:p>
            <w:pPr>
              <w:widowControl/>
              <w:jc w:val="center"/>
              <w:rPr>
                <w:rFonts w:eastAsia="方正仿宋_GBK"/>
                <w:kern w:val="0"/>
                <w:sz w:val="24"/>
              </w:rPr>
            </w:pPr>
            <w:r>
              <w:rPr>
                <w:rFonts w:eastAsia="方正仿宋_GBK"/>
                <w:bCs/>
                <w:kern w:val="0"/>
                <w:sz w:val="24"/>
              </w:rPr>
              <w:t>公共管理与公共服务用地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86" w:type="dxa"/>
            <w:vMerge w:val="continue"/>
            <w:noWrap w:val="0"/>
            <w:vAlign w:val="center"/>
          </w:tcPr>
          <w:p>
            <w:pPr>
              <w:widowControl/>
              <w:jc w:val="center"/>
              <w:rPr>
                <w:rFonts w:eastAsia="方正仿宋_GBK"/>
                <w:kern w:val="0"/>
                <w:sz w:val="24"/>
              </w:rPr>
            </w:pPr>
          </w:p>
        </w:tc>
        <w:tc>
          <w:tcPr>
            <w:tcW w:w="2779" w:type="dxa"/>
            <w:noWrap w:val="0"/>
            <w:vAlign w:val="center"/>
          </w:tcPr>
          <w:p>
            <w:pPr>
              <w:widowControl/>
              <w:jc w:val="center"/>
              <w:rPr>
                <w:rFonts w:eastAsia="方正仿宋_GBK"/>
                <w:kern w:val="0"/>
                <w:sz w:val="24"/>
              </w:rPr>
            </w:pPr>
            <w:r>
              <w:rPr>
                <w:rFonts w:eastAsia="方正仿宋_GBK"/>
                <w:kern w:val="0"/>
                <w:sz w:val="24"/>
              </w:rPr>
              <w:t>土地单价</w:t>
            </w:r>
          </w:p>
        </w:tc>
        <w:tc>
          <w:tcPr>
            <w:tcW w:w="2381" w:type="dxa"/>
            <w:noWrap w:val="0"/>
            <w:vAlign w:val="center"/>
          </w:tcPr>
          <w:p>
            <w:pPr>
              <w:widowControl/>
              <w:jc w:val="center"/>
              <w:rPr>
                <w:rFonts w:eastAsia="方正仿宋_GBK"/>
                <w:kern w:val="0"/>
                <w:sz w:val="24"/>
              </w:rPr>
            </w:pPr>
            <w:r>
              <w:rPr>
                <w:rFonts w:eastAsia="方正仿宋_GBK"/>
                <w:kern w:val="0"/>
                <w:sz w:val="24"/>
              </w:rPr>
              <w:t>土地单价</w:t>
            </w:r>
          </w:p>
        </w:tc>
        <w:tc>
          <w:tcPr>
            <w:tcW w:w="3140" w:type="dxa"/>
            <w:noWrap w:val="0"/>
            <w:vAlign w:val="center"/>
          </w:tcPr>
          <w:p>
            <w:pPr>
              <w:widowControl/>
              <w:jc w:val="center"/>
              <w:rPr>
                <w:rFonts w:eastAsia="方正仿宋_GBK"/>
                <w:kern w:val="0"/>
                <w:sz w:val="24"/>
              </w:rPr>
            </w:pPr>
            <w:r>
              <w:rPr>
                <w:rFonts w:eastAsia="方正仿宋_GBK"/>
                <w:kern w:val="0"/>
                <w:sz w:val="24"/>
              </w:rPr>
              <w:t>土地单价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86" w:type="dxa"/>
            <w:noWrap w:val="0"/>
            <w:vAlign w:val="center"/>
          </w:tcPr>
          <w:p>
            <w:pPr>
              <w:widowControl/>
              <w:jc w:val="center"/>
              <w:rPr>
                <w:rFonts w:eastAsia="方正仿宋_GBK"/>
                <w:kern w:val="0"/>
                <w:sz w:val="24"/>
              </w:rPr>
            </w:pPr>
            <w:r>
              <w:rPr>
                <w:rFonts w:eastAsia="方正仿宋_GBK"/>
                <w:kern w:val="0"/>
                <w:sz w:val="24"/>
              </w:rPr>
              <w:t>1</w:t>
            </w:r>
          </w:p>
        </w:tc>
        <w:tc>
          <w:tcPr>
            <w:tcW w:w="2779" w:type="dxa"/>
            <w:noWrap w:val="0"/>
            <w:vAlign w:val="center"/>
          </w:tcPr>
          <w:p>
            <w:pPr>
              <w:widowControl/>
              <w:jc w:val="center"/>
              <w:rPr>
                <w:rFonts w:eastAsia="方正仿宋_GBK"/>
                <w:kern w:val="0"/>
                <w:sz w:val="24"/>
              </w:rPr>
            </w:pPr>
            <w:r>
              <w:rPr>
                <w:rFonts w:eastAsia="方正仿宋_GBK"/>
                <w:kern w:val="0"/>
                <w:sz w:val="24"/>
              </w:rPr>
              <w:t>540</w:t>
            </w:r>
          </w:p>
        </w:tc>
        <w:tc>
          <w:tcPr>
            <w:tcW w:w="2381" w:type="dxa"/>
            <w:noWrap w:val="0"/>
            <w:vAlign w:val="center"/>
          </w:tcPr>
          <w:p>
            <w:pPr>
              <w:widowControl/>
              <w:jc w:val="center"/>
              <w:rPr>
                <w:rFonts w:eastAsia="方正仿宋_GBK"/>
                <w:kern w:val="0"/>
                <w:sz w:val="24"/>
              </w:rPr>
            </w:pPr>
            <w:r>
              <w:rPr>
                <w:rFonts w:eastAsia="方正仿宋_GBK"/>
                <w:kern w:val="0"/>
                <w:sz w:val="24"/>
              </w:rPr>
              <w:t>310</w:t>
            </w:r>
          </w:p>
        </w:tc>
        <w:tc>
          <w:tcPr>
            <w:tcW w:w="3140" w:type="dxa"/>
            <w:noWrap w:val="0"/>
            <w:vAlign w:val="center"/>
          </w:tcPr>
          <w:p>
            <w:pPr>
              <w:widowControl/>
              <w:jc w:val="center"/>
              <w:rPr>
                <w:rFonts w:eastAsia="方正仿宋_GBK"/>
                <w:kern w:val="0"/>
                <w:sz w:val="24"/>
              </w:rPr>
            </w:pPr>
            <w:r>
              <w:rPr>
                <w:rFonts w:eastAsia="方正仿宋_GBK"/>
                <w:kern w:val="0"/>
                <w:sz w:val="24"/>
              </w:rPr>
              <w:t>330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86" w:type="dxa"/>
            <w:noWrap w:val="0"/>
            <w:vAlign w:val="center"/>
          </w:tcPr>
          <w:p>
            <w:pPr>
              <w:widowControl/>
              <w:jc w:val="center"/>
              <w:rPr>
                <w:rFonts w:eastAsia="方正仿宋_GBK"/>
                <w:kern w:val="0"/>
                <w:sz w:val="24"/>
              </w:rPr>
            </w:pPr>
            <w:r>
              <w:rPr>
                <w:rFonts w:eastAsia="方正仿宋_GBK"/>
                <w:kern w:val="0"/>
                <w:sz w:val="24"/>
              </w:rPr>
              <w:t>2</w:t>
            </w:r>
          </w:p>
        </w:tc>
        <w:tc>
          <w:tcPr>
            <w:tcW w:w="2779" w:type="dxa"/>
            <w:noWrap w:val="0"/>
            <w:vAlign w:val="center"/>
          </w:tcPr>
          <w:p>
            <w:pPr>
              <w:widowControl/>
              <w:jc w:val="center"/>
              <w:rPr>
                <w:rFonts w:eastAsia="方正仿宋_GBK"/>
                <w:kern w:val="0"/>
                <w:sz w:val="24"/>
              </w:rPr>
            </w:pPr>
            <w:r>
              <w:rPr>
                <w:rFonts w:eastAsia="方正仿宋_GBK"/>
                <w:kern w:val="0"/>
                <w:sz w:val="24"/>
              </w:rPr>
              <w:t>430</w:t>
            </w:r>
          </w:p>
        </w:tc>
        <w:tc>
          <w:tcPr>
            <w:tcW w:w="2381" w:type="dxa"/>
            <w:noWrap w:val="0"/>
            <w:vAlign w:val="center"/>
          </w:tcPr>
          <w:p>
            <w:pPr>
              <w:widowControl/>
              <w:jc w:val="center"/>
              <w:rPr>
                <w:rFonts w:eastAsia="方正仿宋_GBK"/>
                <w:kern w:val="0"/>
                <w:sz w:val="24"/>
              </w:rPr>
            </w:pPr>
            <w:r>
              <w:rPr>
                <w:rFonts w:eastAsia="方正仿宋_GBK"/>
                <w:kern w:val="0"/>
                <w:sz w:val="24"/>
              </w:rPr>
              <w:t>240</w:t>
            </w:r>
          </w:p>
        </w:tc>
        <w:tc>
          <w:tcPr>
            <w:tcW w:w="3140" w:type="dxa"/>
            <w:noWrap w:val="0"/>
            <w:vAlign w:val="center"/>
          </w:tcPr>
          <w:p>
            <w:pPr>
              <w:widowControl/>
              <w:jc w:val="center"/>
              <w:rPr>
                <w:rFonts w:eastAsia="方正仿宋_GBK"/>
                <w:kern w:val="0"/>
                <w:sz w:val="24"/>
              </w:rPr>
            </w:pPr>
            <w:r>
              <w:rPr>
                <w:rFonts w:eastAsia="方正仿宋_GBK"/>
                <w:kern w:val="0"/>
                <w:sz w:val="24"/>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86" w:type="dxa"/>
            <w:noWrap w:val="0"/>
            <w:vAlign w:val="center"/>
          </w:tcPr>
          <w:p>
            <w:pPr>
              <w:widowControl/>
              <w:jc w:val="center"/>
              <w:rPr>
                <w:rFonts w:eastAsia="方正仿宋_GBK"/>
                <w:kern w:val="0"/>
                <w:sz w:val="24"/>
              </w:rPr>
            </w:pPr>
            <w:r>
              <w:rPr>
                <w:rFonts w:eastAsia="方正仿宋_GBK"/>
                <w:kern w:val="0"/>
                <w:sz w:val="24"/>
              </w:rPr>
              <w:t>3</w:t>
            </w:r>
          </w:p>
        </w:tc>
        <w:tc>
          <w:tcPr>
            <w:tcW w:w="2779" w:type="dxa"/>
            <w:noWrap w:val="0"/>
            <w:vAlign w:val="center"/>
          </w:tcPr>
          <w:p>
            <w:pPr>
              <w:widowControl/>
              <w:jc w:val="center"/>
              <w:rPr>
                <w:rFonts w:eastAsia="方正仿宋_GBK"/>
                <w:kern w:val="0"/>
                <w:sz w:val="24"/>
              </w:rPr>
            </w:pPr>
            <w:r>
              <w:rPr>
                <w:rFonts w:eastAsia="方正仿宋_GBK"/>
                <w:kern w:val="0"/>
                <w:sz w:val="24"/>
              </w:rPr>
              <w:t>340</w:t>
            </w:r>
          </w:p>
        </w:tc>
        <w:tc>
          <w:tcPr>
            <w:tcW w:w="2381" w:type="dxa"/>
            <w:noWrap w:val="0"/>
            <w:vAlign w:val="center"/>
          </w:tcPr>
          <w:p>
            <w:pPr>
              <w:widowControl/>
              <w:jc w:val="center"/>
              <w:rPr>
                <w:rFonts w:eastAsia="方正仿宋_GBK"/>
                <w:kern w:val="0"/>
                <w:sz w:val="24"/>
              </w:rPr>
            </w:pPr>
            <w:r>
              <w:rPr>
                <w:rFonts w:eastAsia="方正仿宋_GBK"/>
                <w:kern w:val="0"/>
                <w:sz w:val="24"/>
              </w:rPr>
              <w:t>200</w:t>
            </w:r>
          </w:p>
        </w:tc>
        <w:tc>
          <w:tcPr>
            <w:tcW w:w="3140" w:type="dxa"/>
            <w:noWrap w:val="0"/>
            <w:vAlign w:val="center"/>
          </w:tcPr>
          <w:p>
            <w:pPr>
              <w:widowControl/>
              <w:jc w:val="center"/>
              <w:rPr>
                <w:rFonts w:eastAsia="方正仿宋_GBK"/>
                <w:kern w:val="0"/>
                <w:sz w:val="24"/>
              </w:rPr>
            </w:pPr>
            <w:r>
              <w:rPr>
                <w:rFonts w:eastAsia="方正仿宋_GBK"/>
                <w:kern w:val="0"/>
                <w:sz w:val="24"/>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86" w:type="dxa"/>
            <w:noWrap w:val="0"/>
            <w:vAlign w:val="center"/>
          </w:tcPr>
          <w:p>
            <w:pPr>
              <w:widowControl/>
              <w:jc w:val="center"/>
              <w:rPr>
                <w:rFonts w:eastAsia="方正仿宋_GBK"/>
                <w:kern w:val="0"/>
                <w:sz w:val="24"/>
              </w:rPr>
            </w:pPr>
            <w:r>
              <w:rPr>
                <w:rFonts w:eastAsia="方正仿宋_GBK"/>
                <w:kern w:val="0"/>
                <w:sz w:val="24"/>
              </w:rPr>
              <w:t>4</w:t>
            </w:r>
          </w:p>
        </w:tc>
        <w:tc>
          <w:tcPr>
            <w:tcW w:w="2779" w:type="dxa"/>
            <w:noWrap w:val="0"/>
            <w:vAlign w:val="center"/>
          </w:tcPr>
          <w:p>
            <w:pPr>
              <w:widowControl/>
              <w:jc w:val="center"/>
              <w:rPr>
                <w:rFonts w:eastAsia="方正仿宋_GBK"/>
                <w:kern w:val="0"/>
                <w:sz w:val="24"/>
              </w:rPr>
            </w:pPr>
            <w:r>
              <w:rPr>
                <w:rFonts w:eastAsia="方正仿宋_GBK"/>
                <w:kern w:val="0"/>
                <w:sz w:val="24"/>
              </w:rPr>
              <w:t>250</w:t>
            </w:r>
          </w:p>
        </w:tc>
        <w:tc>
          <w:tcPr>
            <w:tcW w:w="2381" w:type="dxa"/>
            <w:noWrap w:val="0"/>
            <w:vAlign w:val="center"/>
          </w:tcPr>
          <w:p>
            <w:pPr>
              <w:widowControl/>
              <w:jc w:val="center"/>
              <w:rPr>
                <w:rFonts w:eastAsia="方正仿宋_GBK"/>
                <w:kern w:val="0"/>
                <w:sz w:val="24"/>
              </w:rPr>
            </w:pPr>
            <w:r>
              <w:rPr>
                <w:rFonts w:eastAsia="方正仿宋_GBK"/>
                <w:kern w:val="0"/>
                <w:sz w:val="24"/>
              </w:rPr>
              <w:t>170</w:t>
            </w:r>
          </w:p>
        </w:tc>
        <w:tc>
          <w:tcPr>
            <w:tcW w:w="3140" w:type="dxa"/>
            <w:noWrap w:val="0"/>
            <w:vAlign w:val="center"/>
          </w:tcPr>
          <w:p>
            <w:pPr>
              <w:widowControl/>
              <w:jc w:val="center"/>
              <w:rPr>
                <w:rFonts w:eastAsia="方正仿宋_GBK"/>
                <w:kern w:val="0"/>
                <w:sz w:val="24"/>
              </w:rPr>
            </w:pPr>
            <w:r>
              <w:rPr>
                <w:rFonts w:eastAsia="方正仿宋_GBK"/>
                <w:kern w:val="0"/>
                <w:sz w:val="24"/>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8986" w:type="dxa"/>
            <w:gridSpan w:val="4"/>
            <w:noWrap w:val="0"/>
            <w:vAlign w:val="center"/>
          </w:tcPr>
          <w:p>
            <w:pPr>
              <w:widowControl/>
              <w:spacing w:line="480" w:lineRule="auto"/>
              <w:jc w:val="left"/>
              <w:rPr>
                <w:rFonts w:eastAsia="方正仿宋_GBK"/>
                <w:kern w:val="0"/>
                <w:sz w:val="24"/>
              </w:rPr>
            </w:pPr>
            <w:r>
              <w:rPr>
                <w:rFonts w:eastAsia="方正仿宋_GBK"/>
                <w:kern w:val="0"/>
                <w:sz w:val="24"/>
              </w:rPr>
              <w:t>基准地价内涵:</w:t>
            </w:r>
          </w:p>
          <w:p>
            <w:pPr>
              <w:widowControl/>
              <w:spacing w:line="480" w:lineRule="auto"/>
              <w:ind w:firstLine="418"/>
              <w:jc w:val="left"/>
              <w:textAlignment w:val="baseline"/>
              <w:rPr>
                <w:rFonts w:eastAsia="方正仿宋_GBK"/>
                <w:kern w:val="0"/>
                <w:sz w:val="24"/>
              </w:rPr>
            </w:pPr>
            <w:r>
              <w:rPr>
                <w:rFonts w:eastAsia="方正仿宋_GBK"/>
                <w:kern w:val="0"/>
                <w:sz w:val="24"/>
              </w:rPr>
              <w:t>1.表现形式：使用权下的土地价格；</w:t>
            </w:r>
          </w:p>
          <w:p>
            <w:pPr>
              <w:widowControl/>
              <w:spacing w:line="480" w:lineRule="auto"/>
              <w:ind w:firstLine="418"/>
              <w:jc w:val="left"/>
              <w:textAlignment w:val="baseline"/>
              <w:rPr>
                <w:rFonts w:eastAsia="方正仿宋_GBK"/>
                <w:kern w:val="0"/>
                <w:sz w:val="24"/>
              </w:rPr>
            </w:pPr>
            <w:r>
              <w:rPr>
                <w:rFonts w:eastAsia="方正仿宋_GBK"/>
                <w:kern w:val="0"/>
                <w:sz w:val="24"/>
              </w:rPr>
              <w:t>2.期日：2021年1月1日；</w:t>
            </w:r>
          </w:p>
          <w:p>
            <w:pPr>
              <w:widowControl/>
              <w:spacing w:line="480" w:lineRule="auto"/>
              <w:ind w:firstLine="418"/>
              <w:jc w:val="left"/>
              <w:textAlignment w:val="baseline"/>
              <w:rPr>
                <w:rFonts w:eastAsia="方正仿宋_GBK"/>
                <w:kern w:val="0"/>
                <w:sz w:val="24"/>
              </w:rPr>
            </w:pPr>
            <w:r>
              <w:rPr>
                <w:rFonts w:eastAsia="方正仿宋_GBK"/>
                <w:kern w:val="0"/>
                <w:sz w:val="24"/>
              </w:rPr>
              <w:t>3.各用途使用年限：商服用地40年，工业仓储用地50年，公共管理与公共服务用地50年；</w:t>
            </w:r>
          </w:p>
          <w:p>
            <w:pPr>
              <w:widowControl/>
              <w:spacing w:line="480" w:lineRule="auto"/>
              <w:ind w:firstLine="418"/>
              <w:jc w:val="left"/>
              <w:textAlignment w:val="baseline"/>
              <w:rPr>
                <w:rFonts w:eastAsia="方正仿宋_GBK"/>
                <w:kern w:val="0"/>
                <w:sz w:val="24"/>
              </w:rPr>
            </w:pPr>
            <w:r>
              <w:rPr>
                <w:rFonts w:eastAsia="方正仿宋_GBK"/>
                <w:kern w:val="0"/>
                <w:sz w:val="24"/>
              </w:rPr>
              <w:t>4.对应容积率：商服用地1.5、工业仓储用地1.0、公共管理与公共服务用地1.0；</w:t>
            </w:r>
          </w:p>
          <w:p>
            <w:pPr>
              <w:widowControl/>
              <w:spacing w:line="480" w:lineRule="auto"/>
              <w:ind w:firstLine="480" w:firstLineChars="200"/>
              <w:jc w:val="left"/>
              <w:rPr>
                <w:rFonts w:eastAsia="方正仿宋_GBK"/>
                <w:kern w:val="0"/>
                <w:sz w:val="24"/>
              </w:rPr>
            </w:pPr>
            <w:r>
              <w:rPr>
                <w:rFonts w:eastAsia="方正仿宋_GBK"/>
                <w:kern w:val="0"/>
                <w:sz w:val="24"/>
              </w:rPr>
              <w:t>5.开发程度：“三通一平”，即宗地外通路、通电、通上水及宗地内场地平整。</w:t>
            </w:r>
          </w:p>
        </w:tc>
      </w:tr>
    </w:tbl>
    <w:p/>
    <w:p>
      <w:pPr>
        <w:spacing w:line="578" w:lineRule="exact"/>
        <w:rPr>
          <w:rFonts w:hint="eastAsia" w:eastAsia="方正黑体_GBK"/>
          <w:bCs/>
          <w:sz w:val="32"/>
          <w:szCs w:val="32"/>
          <w:lang w:val="en-US" w:eastAsia="zh-CN"/>
        </w:rPr>
      </w:pPr>
      <w:r>
        <w:br w:type="page"/>
      </w:r>
      <w:bookmarkStart w:id="0" w:name="_Toc73521887"/>
      <w:r>
        <w:rPr>
          <w:rFonts w:eastAsia="方正黑体_GBK"/>
          <w:bCs/>
          <w:sz w:val="32"/>
          <w:szCs w:val="32"/>
        </w:rPr>
        <w:t>附件</w:t>
      </w:r>
      <w:r>
        <w:rPr>
          <w:rFonts w:hint="eastAsia" w:eastAsia="方正黑体_GBK"/>
          <w:bCs/>
          <w:sz w:val="32"/>
          <w:szCs w:val="32"/>
          <w:lang w:val="en-US" w:eastAsia="zh-CN"/>
        </w:rPr>
        <w:t>2</w:t>
      </w:r>
    </w:p>
    <w:p>
      <w:pPr>
        <w:pStyle w:val="2"/>
        <w:rPr>
          <w:rFonts w:hint="eastAsia"/>
          <w:lang w:eastAsia="zh-CN"/>
        </w:rPr>
      </w:pPr>
    </w:p>
    <w:p>
      <w:pPr>
        <w:spacing w:line="720" w:lineRule="exact"/>
        <w:jc w:val="center"/>
        <w:rPr>
          <w:rFonts w:eastAsia="方正小标宋_GBK"/>
          <w:sz w:val="44"/>
          <w:szCs w:val="44"/>
        </w:rPr>
      </w:pPr>
      <w:r>
        <w:rPr>
          <w:rFonts w:eastAsia="方正小标宋_GBK"/>
          <w:sz w:val="44"/>
          <w:szCs w:val="44"/>
        </w:rPr>
        <w:t>重庆市云阳县集体建设用地土地级别册</w:t>
      </w:r>
      <w:bookmarkEnd w:id="0"/>
    </w:p>
    <w:p>
      <w:pPr>
        <w:spacing w:line="578" w:lineRule="exact"/>
        <w:rPr>
          <w:b/>
          <w:bCs/>
          <w:color w:val="000000"/>
          <w:kern w:val="0"/>
          <w:sz w:val="36"/>
          <w:szCs w:val="32"/>
        </w:rPr>
      </w:pPr>
    </w:p>
    <w:tbl>
      <w:tblPr>
        <w:tblStyle w:val="5"/>
        <w:tblW w:w="84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93"/>
        <w:gridCol w:w="1843"/>
        <w:gridCol w:w="1134"/>
        <w:gridCol w:w="1559"/>
        <w:gridCol w:w="22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blHeader/>
          <w:jc w:val="center"/>
        </w:trPr>
        <w:tc>
          <w:tcPr>
            <w:tcW w:w="1693" w:type="dxa"/>
            <w:vMerge w:val="restart"/>
            <w:noWrap/>
            <w:vAlign w:val="center"/>
          </w:tcPr>
          <w:p>
            <w:pPr>
              <w:widowControl/>
              <w:spacing w:line="300" w:lineRule="exact"/>
              <w:jc w:val="center"/>
              <w:rPr>
                <w:rFonts w:eastAsia="方正仿宋_GBK"/>
                <w:b/>
                <w:bCs/>
                <w:color w:val="000000"/>
                <w:sz w:val="24"/>
              </w:rPr>
            </w:pPr>
            <w:r>
              <w:rPr>
                <w:rFonts w:eastAsia="方正仿宋_GBK"/>
                <w:b/>
                <w:bCs/>
                <w:color w:val="000000"/>
                <w:sz w:val="24"/>
              </w:rPr>
              <w:t>街道/镇/乡</w:t>
            </w:r>
          </w:p>
        </w:tc>
        <w:tc>
          <w:tcPr>
            <w:tcW w:w="1843" w:type="dxa"/>
            <w:vMerge w:val="restart"/>
            <w:noWrap/>
            <w:vAlign w:val="center"/>
          </w:tcPr>
          <w:p>
            <w:pPr>
              <w:widowControl/>
              <w:spacing w:line="300" w:lineRule="exact"/>
              <w:jc w:val="center"/>
              <w:rPr>
                <w:rFonts w:eastAsia="方正仿宋_GBK"/>
                <w:b/>
                <w:bCs/>
                <w:color w:val="000000"/>
                <w:sz w:val="24"/>
              </w:rPr>
            </w:pPr>
            <w:r>
              <w:rPr>
                <w:rFonts w:eastAsia="方正仿宋_GBK"/>
                <w:b/>
                <w:bCs/>
                <w:color w:val="000000"/>
                <w:sz w:val="24"/>
              </w:rPr>
              <w:t>社区/村</w:t>
            </w:r>
          </w:p>
        </w:tc>
        <w:tc>
          <w:tcPr>
            <w:tcW w:w="4951" w:type="dxa"/>
            <w:gridSpan w:val="3"/>
            <w:noWrap/>
            <w:vAlign w:val="center"/>
          </w:tcPr>
          <w:p>
            <w:pPr>
              <w:widowControl/>
              <w:spacing w:line="300" w:lineRule="exact"/>
              <w:jc w:val="center"/>
              <w:rPr>
                <w:rFonts w:eastAsia="方正仿宋_GBK"/>
                <w:b/>
                <w:bCs/>
                <w:color w:val="000000"/>
                <w:sz w:val="24"/>
              </w:rPr>
            </w:pPr>
            <w:r>
              <w:rPr>
                <w:rFonts w:eastAsia="方正仿宋_GBK"/>
                <w:b/>
                <w:bCs/>
                <w:color w:val="000000"/>
                <w:sz w:val="24"/>
              </w:rPr>
              <w:t>土地级别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6" w:hRule="atLeast"/>
          <w:tblHeader/>
          <w:jc w:val="center"/>
        </w:trPr>
        <w:tc>
          <w:tcPr>
            <w:tcW w:w="1693" w:type="dxa"/>
            <w:vMerge w:val="continue"/>
            <w:noWrap w:val="0"/>
            <w:vAlign w:val="center"/>
          </w:tcPr>
          <w:p>
            <w:pPr>
              <w:widowControl/>
              <w:spacing w:line="300" w:lineRule="exact"/>
              <w:jc w:val="left"/>
              <w:rPr>
                <w:rFonts w:eastAsia="方正仿宋_GBK"/>
                <w:b/>
                <w:bCs/>
                <w:color w:val="000000"/>
                <w:sz w:val="24"/>
              </w:rPr>
            </w:pPr>
          </w:p>
        </w:tc>
        <w:tc>
          <w:tcPr>
            <w:tcW w:w="1843" w:type="dxa"/>
            <w:vMerge w:val="continue"/>
            <w:noWrap w:val="0"/>
            <w:vAlign w:val="center"/>
          </w:tcPr>
          <w:p>
            <w:pPr>
              <w:widowControl/>
              <w:spacing w:line="300" w:lineRule="exact"/>
              <w:jc w:val="left"/>
              <w:rPr>
                <w:rFonts w:eastAsia="方正仿宋_GBK"/>
                <w:b/>
                <w:bCs/>
                <w:color w:val="000000"/>
                <w:sz w:val="24"/>
              </w:rPr>
            </w:pPr>
          </w:p>
        </w:tc>
        <w:tc>
          <w:tcPr>
            <w:tcW w:w="1134" w:type="dxa"/>
            <w:noWrap w:val="0"/>
            <w:vAlign w:val="center"/>
          </w:tcPr>
          <w:p>
            <w:pPr>
              <w:widowControl/>
              <w:spacing w:line="300" w:lineRule="exact"/>
              <w:jc w:val="center"/>
              <w:rPr>
                <w:rFonts w:eastAsia="方正仿宋_GBK"/>
                <w:b/>
                <w:bCs/>
                <w:color w:val="000000"/>
                <w:sz w:val="24"/>
              </w:rPr>
            </w:pPr>
            <w:r>
              <w:rPr>
                <w:rFonts w:eastAsia="方正仿宋_GBK"/>
                <w:b/>
                <w:bCs/>
                <w:color w:val="000000"/>
                <w:sz w:val="24"/>
              </w:rPr>
              <w:t>商服</w:t>
            </w:r>
          </w:p>
        </w:tc>
        <w:tc>
          <w:tcPr>
            <w:tcW w:w="1559" w:type="dxa"/>
            <w:noWrap w:val="0"/>
            <w:vAlign w:val="center"/>
          </w:tcPr>
          <w:p>
            <w:pPr>
              <w:widowControl/>
              <w:spacing w:line="300" w:lineRule="exact"/>
              <w:jc w:val="center"/>
              <w:rPr>
                <w:rFonts w:eastAsia="方正仿宋_GBK"/>
                <w:b/>
                <w:bCs/>
                <w:color w:val="000000"/>
                <w:sz w:val="24"/>
              </w:rPr>
            </w:pPr>
            <w:r>
              <w:rPr>
                <w:rFonts w:eastAsia="方正仿宋_GBK"/>
                <w:b/>
                <w:bCs/>
                <w:color w:val="000000"/>
                <w:sz w:val="24"/>
              </w:rPr>
              <w:t>工业仓储</w:t>
            </w:r>
          </w:p>
        </w:tc>
        <w:tc>
          <w:tcPr>
            <w:tcW w:w="2258" w:type="dxa"/>
            <w:noWrap w:val="0"/>
            <w:vAlign w:val="center"/>
          </w:tcPr>
          <w:p>
            <w:pPr>
              <w:widowControl/>
              <w:spacing w:line="300" w:lineRule="exact"/>
              <w:jc w:val="center"/>
              <w:rPr>
                <w:rFonts w:eastAsia="方正仿宋_GBK"/>
                <w:b/>
                <w:bCs/>
                <w:color w:val="000000"/>
                <w:sz w:val="24"/>
              </w:rPr>
            </w:pPr>
            <w:r>
              <w:rPr>
                <w:rFonts w:eastAsia="方正仿宋_GBK"/>
                <w:b/>
                <w:bCs/>
                <w:color w:val="000000"/>
                <w:sz w:val="24"/>
              </w:rPr>
              <w:t>公共管理与公共服务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双江街道</w:t>
            </w:r>
          </w:p>
        </w:tc>
        <w:tc>
          <w:tcPr>
            <w:tcW w:w="1843" w:type="dxa"/>
            <w:noWrap/>
            <w:vAlign w:val="center"/>
          </w:tcPr>
          <w:p>
            <w:pPr>
              <w:spacing w:line="300" w:lineRule="exact"/>
              <w:jc w:val="center"/>
              <w:rPr>
                <w:rFonts w:eastAsia="方正仿宋_GBK"/>
                <w:color w:val="000000"/>
                <w:sz w:val="24"/>
              </w:rPr>
            </w:pPr>
            <w:r>
              <w:rPr>
                <w:rFonts w:eastAsia="方正仿宋_GBK"/>
                <w:color w:val="000000"/>
                <w:sz w:val="24"/>
              </w:rPr>
              <w:t>稻场社区</w:t>
            </w:r>
          </w:p>
        </w:tc>
        <w:tc>
          <w:tcPr>
            <w:tcW w:w="1134" w:type="dxa"/>
            <w:noWrap/>
            <w:vAlign w:val="center"/>
          </w:tcPr>
          <w:p>
            <w:pPr>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蜀光社区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东风村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青龙街道</w:t>
            </w:r>
          </w:p>
        </w:tc>
        <w:tc>
          <w:tcPr>
            <w:tcW w:w="1843" w:type="dxa"/>
            <w:noWrap/>
            <w:vAlign w:val="center"/>
          </w:tcPr>
          <w:p>
            <w:pPr>
              <w:spacing w:line="300" w:lineRule="exact"/>
              <w:jc w:val="center"/>
              <w:rPr>
                <w:rFonts w:eastAsia="方正仿宋_GBK"/>
                <w:color w:val="000000"/>
                <w:sz w:val="24"/>
              </w:rPr>
            </w:pPr>
            <w:r>
              <w:rPr>
                <w:rFonts w:eastAsia="方正仿宋_GBK"/>
                <w:color w:val="000000"/>
                <w:sz w:val="24"/>
              </w:rPr>
              <w:t>复兴社区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p>
            <w:pPr>
              <w:spacing w:line="300" w:lineRule="exact"/>
              <w:jc w:val="center"/>
              <w:rPr>
                <w:rFonts w:eastAsia="方正仿宋_GBK"/>
                <w:color w:val="000000"/>
                <w:sz w:val="24"/>
              </w:rPr>
            </w:pP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道湾社区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杨沙社区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亮水坪社区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黄岭社区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马沱村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建民村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人和街道</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莲花社区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立新社区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人和社区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桃园社区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千峰村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中兴村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民治村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民权村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牌坊村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凤岭村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晒经村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盘龙街道</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盘石社区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龙安社区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活龙社区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三龙社区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长安社区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柳桥社区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阳明村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四民村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永兴村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永安村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古桑村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金龙村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旺龙村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帽合村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腾龙村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石楼村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革岭村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黑马村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石狮村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青春村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亲睦村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革新村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黄石镇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平安寨社区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中湾社区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杨柳村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老屋村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铁炉村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迎新村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黄石社区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水口镇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夜合社区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水口村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老林村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枣子村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佛安村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凤鸣镇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阳凤村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凤凰岭社区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梧桐村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凤桥社区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农建村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平顶村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清江村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马岭村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民主村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福禄村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玉带村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马轩村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黄龙村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院庄社区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里市社区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陈园村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上游村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双桂村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五同村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锦屏村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桂泉村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太地村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黎明村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龙角镇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五龙社区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张家村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高家村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永富村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军家村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栏坪村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泉水村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木甫村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杨寨村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新立村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故陵镇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故陵社区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高坪村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桥亭村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宝兴村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红椿村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凤翅村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兰草村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红坪村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红狮镇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咏梧社区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永福村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中坪村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向阳村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水田村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宝丰村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保健村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梅柏村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石宝村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临江村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路阳镇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龙王桥社区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文武村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迎瑞村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中和村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南海村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农坝镇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农坝社区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龙堰社区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水竹村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幸福村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红梁村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云峰村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云山村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渠马镇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土岩村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龙胜村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大梁村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白岭村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白银村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惠龙村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红河村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天岭村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柴林村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促进村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渠富村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巴阳镇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巴阳社区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巴阳村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阳坪村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官塘村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望丰村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永利村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天山村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沙市镇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汤溪源社区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新桥村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上坪村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新楼村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富柿村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兴家村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龙池村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秀家村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复垭村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鱼泉镇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鱼泉社区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马槽村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燕子村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大军村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龙塆村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白果村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花楼村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建坪村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鹿鸣村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望鹿村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茨菇村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八一村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三星村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宝坪镇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荷花村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ign w:val="center"/>
          </w:tcPr>
          <w:p>
            <w:pPr>
              <w:widowControl/>
              <w:spacing w:line="300" w:lineRule="exact"/>
              <w:jc w:val="center"/>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水磨社区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朝阳社区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江南村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凤凰村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枣树村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红电村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地坪村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桂坪村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富强村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梅滩村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永高村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双坝村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南溪镇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长洪社区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卫星社区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红岩村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盐渠村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吉仙村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黄高村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盐东村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火脉村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水市村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金银村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花果村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青云村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西云村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拱桥村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西林村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福桥村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蒲山村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新阳村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青印村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塔棚村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桂溪村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方家村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南木村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宏实村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石渠村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天河村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富家村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青山村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猫儿梁村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平安村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双土镇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双土社区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营鹤村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坪东村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五台村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枫树村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土垣村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长保村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保证村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古佛村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吉星村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无量村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上坝乡</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石梁社区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东阳村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药场村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生基村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治安村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龙凤村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清水土家族乡</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宝台村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桐麻村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清水村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盐坝村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七里村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建兴村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磁溪村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竹台村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钢厂村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龙洞村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歧山村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火埠村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庙塆村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桑坪镇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桑坪社区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塘塆社区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木南村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泰合村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兴梨村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百柳村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团坝村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咸池村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江口镇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滨河社区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和平社区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五星村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胜元社区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四季村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东方村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新里村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团滩村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沙溪村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九龙村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泥湾村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火地村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田垭村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上元村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金子村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新华村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三湾村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千丘社区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小水村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皂坪村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蓼叶村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慈竹村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沈家村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黄土村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旺盛村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佛桂村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帆水村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柏坪村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向家坪社区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马乐村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龙王村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西牛村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大面村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六坪村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高阳镇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团堡村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梨树村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小安村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乐公村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鹿头村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青树村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明冲村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白园村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桂林村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建全村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海坝村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皇城村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光明村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金惠村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团结村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平安镇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前面村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太和村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黄木村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向阳村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七一村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平安社区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白龙社区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龙塘社区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红关村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忠诚村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牛门村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民安村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五湖村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山花村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同德村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联高村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bookmarkStart w:id="1" w:name="_Hlk71750783"/>
            <w:r>
              <w:rPr>
                <w:rFonts w:eastAsia="方正仿宋_GBK"/>
                <w:color w:val="000000"/>
                <w:sz w:val="24"/>
              </w:rPr>
              <w:t>云阳镇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硐村社区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ign w:val="center"/>
          </w:tcPr>
          <w:p>
            <w:pPr>
              <w:widowControl/>
              <w:spacing w:line="300" w:lineRule="exact"/>
              <w:jc w:val="center"/>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云硐村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三坪村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梅树村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古寺村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水库村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蔬菜村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宝塔村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光华村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民强村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桐盛村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0"/>
            <w:vAlign w:val="center"/>
          </w:tcPr>
          <w:p>
            <w:pPr>
              <w:widowControl/>
              <w:spacing w:line="300" w:lineRule="exact"/>
              <w:jc w:val="center"/>
              <w:rPr>
                <w:rFonts w:eastAsia="方正仿宋_GBK"/>
                <w:color w:val="000000"/>
                <w:sz w:val="24"/>
              </w:rPr>
            </w:pPr>
            <w:r>
              <w:rPr>
                <w:rFonts w:eastAsia="方正仿宋_GBK"/>
                <w:color w:val="000000"/>
                <w:sz w:val="24"/>
              </w:rPr>
              <w:t>云安镇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毛坝村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铜鼓村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杉树林社区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箭楼社区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演易台社区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大院坝社区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白水社区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翠田村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三湾村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新建村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bookmarkEnd w:id="1"/>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栖霞镇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小丫口社区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小山村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栖霞村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吉坪村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古城村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红龙村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福星村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双龙镇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文龙社区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双河社区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沿溪村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竹坪村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六合村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三堂村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永丰村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玉龙村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泥溪镇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泥溪社区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胜利村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石蛋村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长柏村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联坪村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石缸村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桐林社区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枞林村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鱼鳞村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协合村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票草镇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票草社区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岐柳村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长岭社区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生田村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石笋村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西阳村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双竹村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兴坪村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丰乐村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养鹿镇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养鹿社区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桐林村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新禾村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中山村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同发村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小寨村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宝寨村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青棡村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堰坪镇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百福社区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曲溪村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高银村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高新村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中升村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堰坪村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龙洞镇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大麦沱社区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龙升村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坝上村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金道村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云奉村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桂花村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高建村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后叶镇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后叶社区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平进村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杉湾村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吉庆村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凤鸣村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良民村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清顺村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耀灵镇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大兴社区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柏木村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鸣凤村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协力村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大阳镇</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庆霞社区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黄陵村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鸡鸣村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大树村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民富村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柴藤村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外郎乡</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金竹沟社区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外郎村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大花村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五龙村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五峰村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新津乡</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和平社区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太胜村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作坊村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新津村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永河村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石松村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紫荆村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五间村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普安乡</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马安社区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姚坪村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丰河村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郎家村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佛手村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老君村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回龙村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三台村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双门村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回营村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共和村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洞鹿乡</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洞鹿社区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青康村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三元村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三池村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双河村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restart"/>
            <w:noWrap/>
            <w:vAlign w:val="center"/>
          </w:tcPr>
          <w:p>
            <w:pPr>
              <w:widowControl/>
              <w:spacing w:line="300" w:lineRule="exact"/>
              <w:jc w:val="center"/>
              <w:rPr>
                <w:rFonts w:eastAsia="方正仿宋_GBK"/>
                <w:color w:val="000000"/>
                <w:sz w:val="24"/>
              </w:rPr>
            </w:pPr>
            <w:r>
              <w:rPr>
                <w:rFonts w:eastAsia="方正仿宋_GBK"/>
                <w:color w:val="000000"/>
                <w:sz w:val="24"/>
              </w:rPr>
              <w:t>石门乡</w:t>
            </w: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石门社区</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广益村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兴柳村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693" w:type="dxa"/>
            <w:vMerge w:val="continue"/>
            <w:noWrap w:val="0"/>
            <w:vAlign w:val="center"/>
          </w:tcPr>
          <w:p>
            <w:pPr>
              <w:widowControl/>
              <w:spacing w:line="300" w:lineRule="exact"/>
              <w:jc w:val="left"/>
              <w:rPr>
                <w:rFonts w:eastAsia="方正仿宋_GBK"/>
                <w:color w:val="000000"/>
                <w:sz w:val="24"/>
              </w:rPr>
            </w:pPr>
          </w:p>
        </w:tc>
        <w:tc>
          <w:tcPr>
            <w:tcW w:w="1843" w:type="dxa"/>
            <w:noWrap/>
            <w:vAlign w:val="center"/>
          </w:tcPr>
          <w:p>
            <w:pPr>
              <w:widowControl/>
              <w:spacing w:line="300" w:lineRule="exact"/>
              <w:jc w:val="center"/>
              <w:rPr>
                <w:rFonts w:eastAsia="方正仿宋_GBK"/>
                <w:color w:val="000000"/>
                <w:sz w:val="24"/>
              </w:rPr>
            </w:pPr>
            <w:r>
              <w:rPr>
                <w:rFonts w:eastAsia="方正仿宋_GBK"/>
                <w:color w:val="000000"/>
                <w:sz w:val="24"/>
              </w:rPr>
              <w:t>清溪村</w:t>
            </w:r>
          </w:p>
        </w:tc>
        <w:tc>
          <w:tcPr>
            <w:tcW w:w="1134"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1559"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c>
          <w:tcPr>
            <w:tcW w:w="2258" w:type="dxa"/>
            <w:noWrap/>
            <w:vAlign w:val="center"/>
          </w:tcPr>
          <w:p>
            <w:pPr>
              <w:widowControl/>
              <w:spacing w:line="300" w:lineRule="exact"/>
              <w:jc w:val="center"/>
              <w:rPr>
                <w:rFonts w:eastAsia="方正仿宋_GBK"/>
                <w:color w:val="000000"/>
                <w:sz w:val="24"/>
              </w:rPr>
            </w:pPr>
            <w:r>
              <w:rPr>
                <w:rFonts w:eastAsia="方正仿宋_GBK"/>
                <w:color w:val="000000"/>
                <w:sz w:val="24"/>
              </w:rPr>
              <w:t>4</w:t>
            </w:r>
          </w:p>
        </w:tc>
      </w:tr>
    </w:tbl>
    <w:p/>
    <w:p>
      <w:pPr>
        <w:widowControl/>
        <w:spacing w:line="578" w:lineRule="exact"/>
        <w:jc w:val="left"/>
        <w:rPr>
          <w:rFonts w:hint="eastAsia" w:eastAsia="方正黑体_GBK"/>
          <w:bCs/>
          <w:sz w:val="32"/>
          <w:szCs w:val="32"/>
          <w:lang w:val="en-US" w:eastAsia="zh-CN"/>
        </w:rPr>
      </w:pPr>
      <w:r>
        <w:br w:type="page"/>
      </w:r>
      <w:bookmarkStart w:id="2" w:name="_Toc73521889"/>
      <w:r>
        <w:rPr>
          <w:rFonts w:eastAsia="方正黑体_GBK"/>
          <w:bCs/>
          <w:sz w:val="32"/>
          <w:szCs w:val="32"/>
        </w:rPr>
        <w:t>附件</w:t>
      </w:r>
      <w:r>
        <w:rPr>
          <w:rFonts w:hint="eastAsia" w:eastAsia="方正黑体_GBK"/>
          <w:bCs/>
          <w:sz w:val="32"/>
          <w:szCs w:val="32"/>
          <w:lang w:val="en-US" w:eastAsia="zh-CN"/>
        </w:rPr>
        <w:t>3</w:t>
      </w:r>
    </w:p>
    <w:p>
      <w:pPr>
        <w:pStyle w:val="2"/>
        <w:rPr>
          <w:rFonts w:hint="eastAsia"/>
          <w:lang w:eastAsia="zh-CN"/>
        </w:rPr>
      </w:pPr>
    </w:p>
    <w:p>
      <w:pPr>
        <w:spacing w:line="720" w:lineRule="exact"/>
        <w:jc w:val="center"/>
        <w:rPr>
          <w:rFonts w:eastAsia="方正小标宋_GBK"/>
          <w:sz w:val="44"/>
          <w:szCs w:val="44"/>
        </w:rPr>
      </w:pPr>
      <w:r>
        <w:rPr>
          <w:rFonts w:eastAsia="方正小标宋_GBK"/>
          <w:sz w:val="44"/>
          <w:szCs w:val="44"/>
        </w:rPr>
        <w:t>重庆市云阳县集体建设用地使用权</w:t>
      </w:r>
    </w:p>
    <w:p>
      <w:pPr>
        <w:spacing w:line="720" w:lineRule="exact"/>
        <w:jc w:val="center"/>
        <w:rPr>
          <w:rFonts w:eastAsia="方正小标宋_GBK"/>
          <w:sz w:val="44"/>
          <w:szCs w:val="44"/>
        </w:rPr>
      </w:pPr>
      <w:r>
        <w:rPr>
          <w:rFonts w:eastAsia="方正小标宋_GBK"/>
          <w:sz w:val="44"/>
          <w:szCs w:val="44"/>
        </w:rPr>
        <w:t>基准地价</w:t>
      </w:r>
      <w:bookmarkEnd w:id="2"/>
      <w:r>
        <w:rPr>
          <w:rFonts w:eastAsia="方正小标宋_GBK"/>
          <w:sz w:val="44"/>
          <w:szCs w:val="44"/>
        </w:rPr>
        <w:t>说明</w:t>
      </w:r>
    </w:p>
    <w:p>
      <w:pPr>
        <w:spacing w:line="578" w:lineRule="exact"/>
        <w:ind w:firstLine="640" w:firstLineChars="200"/>
        <w:rPr>
          <w:rFonts w:eastAsia="方正仿宋_GBK"/>
          <w:sz w:val="32"/>
          <w:szCs w:val="32"/>
        </w:rPr>
      </w:pPr>
    </w:p>
    <w:p>
      <w:pPr>
        <w:spacing w:line="578" w:lineRule="exact"/>
        <w:ind w:firstLine="640" w:firstLineChars="200"/>
        <w:rPr>
          <w:rFonts w:eastAsia="方正黑体_GBK"/>
          <w:bCs/>
          <w:sz w:val="32"/>
          <w:szCs w:val="32"/>
        </w:rPr>
      </w:pPr>
      <w:r>
        <w:rPr>
          <w:rFonts w:eastAsia="方正黑体_GBK"/>
          <w:bCs/>
          <w:sz w:val="32"/>
          <w:szCs w:val="32"/>
        </w:rPr>
        <w:t>一、适用范围</w:t>
      </w:r>
    </w:p>
    <w:p>
      <w:pPr>
        <w:spacing w:line="578" w:lineRule="exact"/>
        <w:ind w:firstLine="640" w:firstLineChars="200"/>
        <w:rPr>
          <w:rFonts w:eastAsia="方正仿宋_GBK"/>
          <w:sz w:val="32"/>
          <w:szCs w:val="32"/>
        </w:rPr>
      </w:pPr>
      <w:r>
        <w:rPr>
          <w:rFonts w:eastAsia="方正仿宋_GBK"/>
          <w:sz w:val="32"/>
          <w:szCs w:val="32"/>
        </w:rPr>
        <w:t>本次公布的云阳县集体建设用地使用权基准地价（以下简称基准地价）的使用范围包括云阳县青龙街道、双江街道、盘龙街道、人和街道4个街道，江口镇、南溪镇、凤鸣镇、高阳镇、平安镇、红狮镇、故陵镇、龙角镇、沙市镇、栖霞镇、黄石镇、巴阳镇、渠马镇、双土镇、路阳镇、鱼泉镇、宝坪镇、农坝镇、桑坪镇、云阳镇、云安镇、双龙镇、水口镇、蔈草镇、后叶镇、龙洞镇、泥溪镇、养鹿镇、大阳镇、堰坪镇、耀灵镇31个镇，新津乡、普安乡、洞鹿乡、上坝乡、石门乡、清水土家族乡、外郎乡7个乡所辖建设区及规划区域内的所有集体建设用地。</w:t>
      </w:r>
    </w:p>
    <w:p>
      <w:pPr>
        <w:spacing w:line="578" w:lineRule="exact"/>
        <w:ind w:firstLine="640" w:firstLineChars="200"/>
        <w:rPr>
          <w:rFonts w:eastAsia="方正黑体_GBK"/>
          <w:bCs/>
          <w:sz w:val="32"/>
          <w:szCs w:val="32"/>
        </w:rPr>
      </w:pPr>
      <w:r>
        <w:rPr>
          <w:rFonts w:eastAsia="方正黑体_GBK"/>
          <w:bCs/>
          <w:sz w:val="32"/>
          <w:szCs w:val="32"/>
        </w:rPr>
        <w:t>二、基准地价内涵</w:t>
      </w:r>
    </w:p>
    <w:p>
      <w:pPr>
        <w:spacing w:line="578" w:lineRule="exact"/>
        <w:ind w:firstLine="640" w:firstLineChars="200"/>
        <w:rPr>
          <w:rFonts w:eastAsia="方正仿宋_GBK"/>
          <w:sz w:val="32"/>
          <w:szCs w:val="32"/>
        </w:rPr>
      </w:pPr>
      <w:r>
        <w:rPr>
          <w:rFonts w:eastAsia="方正仿宋_GBK"/>
          <w:sz w:val="32"/>
          <w:szCs w:val="32"/>
        </w:rPr>
        <w:t>基准地价的内涵为城镇集体建设用地使用权不同级别、不同用途、设定容积率和土地开发程度下，特定年限的区域平均价格。基准地价的价格表现形式为土地价格（单位：元/平方米）。</w:t>
      </w:r>
    </w:p>
    <w:p>
      <w:pPr>
        <w:spacing w:line="578" w:lineRule="exact"/>
        <w:ind w:firstLine="640" w:firstLineChars="200"/>
        <w:rPr>
          <w:rFonts w:eastAsia="方正楷体_GBK"/>
          <w:color w:val="000000"/>
          <w:sz w:val="32"/>
          <w:szCs w:val="32"/>
        </w:rPr>
      </w:pPr>
      <w:r>
        <w:rPr>
          <w:rFonts w:eastAsia="方正楷体_GBK"/>
          <w:color w:val="000000"/>
          <w:sz w:val="32"/>
          <w:szCs w:val="32"/>
        </w:rPr>
        <w:t>（一）基准地价期日。</w:t>
      </w:r>
    </w:p>
    <w:p>
      <w:pPr>
        <w:spacing w:line="578" w:lineRule="exact"/>
        <w:ind w:firstLine="640" w:firstLineChars="200"/>
        <w:rPr>
          <w:rFonts w:eastAsia="方正仿宋_GBK"/>
          <w:color w:val="000000"/>
          <w:sz w:val="32"/>
          <w:szCs w:val="32"/>
        </w:rPr>
      </w:pPr>
      <w:r>
        <w:rPr>
          <w:rFonts w:eastAsia="方正仿宋_GBK"/>
          <w:color w:val="000000"/>
          <w:sz w:val="32"/>
          <w:szCs w:val="32"/>
        </w:rPr>
        <w:t>2021年1月1日。</w:t>
      </w:r>
    </w:p>
    <w:p>
      <w:pPr>
        <w:spacing w:line="578" w:lineRule="exact"/>
        <w:ind w:firstLine="640" w:firstLineChars="200"/>
        <w:rPr>
          <w:rFonts w:eastAsia="方正楷体_GBK"/>
          <w:color w:val="000000"/>
          <w:sz w:val="32"/>
          <w:szCs w:val="32"/>
        </w:rPr>
      </w:pPr>
      <w:r>
        <w:rPr>
          <w:rFonts w:eastAsia="方正楷体_GBK"/>
          <w:color w:val="000000"/>
          <w:sz w:val="32"/>
          <w:szCs w:val="32"/>
        </w:rPr>
        <w:t>（二）基准地价容积率。</w:t>
      </w:r>
    </w:p>
    <w:p>
      <w:pPr>
        <w:spacing w:line="578" w:lineRule="exact"/>
        <w:ind w:firstLine="640" w:firstLineChars="200"/>
        <w:rPr>
          <w:rFonts w:eastAsia="方正仿宋_GBK"/>
          <w:color w:val="000000"/>
          <w:sz w:val="32"/>
          <w:szCs w:val="32"/>
        </w:rPr>
      </w:pPr>
      <w:r>
        <w:rPr>
          <w:rFonts w:eastAsia="方正仿宋_GBK"/>
          <w:sz w:val="32"/>
          <w:szCs w:val="32"/>
        </w:rPr>
        <w:t>商服用地1.5、工业仓储用地1.0、公共管理与公共服务用地1.0</w:t>
      </w:r>
      <w:r>
        <w:rPr>
          <w:rFonts w:eastAsia="方正仿宋_GBK"/>
          <w:color w:val="000000"/>
          <w:sz w:val="32"/>
          <w:szCs w:val="32"/>
        </w:rPr>
        <w:t>。</w:t>
      </w:r>
    </w:p>
    <w:p>
      <w:pPr>
        <w:spacing w:line="578" w:lineRule="exact"/>
        <w:ind w:firstLine="640" w:firstLineChars="200"/>
        <w:rPr>
          <w:rFonts w:eastAsia="方正楷体_GBK"/>
          <w:color w:val="000000"/>
          <w:sz w:val="32"/>
          <w:szCs w:val="32"/>
        </w:rPr>
      </w:pPr>
      <w:r>
        <w:rPr>
          <w:rFonts w:eastAsia="方正楷体_GBK"/>
          <w:color w:val="000000"/>
          <w:sz w:val="32"/>
          <w:szCs w:val="32"/>
        </w:rPr>
        <w:t>（三）基准地价使用年限。</w:t>
      </w:r>
    </w:p>
    <w:p>
      <w:pPr>
        <w:spacing w:line="578" w:lineRule="exact"/>
        <w:ind w:firstLine="640" w:firstLineChars="200"/>
        <w:rPr>
          <w:rFonts w:eastAsia="方正仿宋_GBK"/>
          <w:color w:val="000000"/>
          <w:sz w:val="32"/>
          <w:szCs w:val="32"/>
        </w:rPr>
      </w:pPr>
      <w:r>
        <w:rPr>
          <w:rFonts w:eastAsia="方正仿宋_GBK"/>
          <w:sz w:val="32"/>
          <w:szCs w:val="32"/>
        </w:rPr>
        <w:t>商服用地40年，工业仓储用地50年，公共管理与公共服务用地50年</w:t>
      </w:r>
      <w:r>
        <w:rPr>
          <w:rFonts w:eastAsia="方正仿宋_GBK"/>
          <w:color w:val="000000"/>
          <w:sz w:val="32"/>
          <w:szCs w:val="32"/>
        </w:rPr>
        <w:t>。</w:t>
      </w:r>
    </w:p>
    <w:p>
      <w:pPr>
        <w:spacing w:line="578" w:lineRule="exact"/>
        <w:ind w:firstLine="640" w:firstLineChars="200"/>
        <w:rPr>
          <w:rFonts w:eastAsia="方正楷体_GBK"/>
          <w:color w:val="000000"/>
          <w:sz w:val="32"/>
          <w:szCs w:val="32"/>
        </w:rPr>
      </w:pPr>
      <w:r>
        <w:rPr>
          <w:rFonts w:eastAsia="方正楷体_GBK"/>
          <w:color w:val="000000"/>
          <w:sz w:val="32"/>
          <w:szCs w:val="32"/>
        </w:rPr>
        <w:t>（四）基准地价土地开发程度。</w:t>
      </w:r>
    </w:p>
    <w:p>
      <w:pPr>
        <w:spacing w:line="578" w:lineRule="exact"/>
        <w:ind w:firstLine="640" w:firstLineChars="200"/>
        <w:rPr>
          <w:rFonts w:eastAsia="方正仿宋_GBK"/>
          <w:color w:val="000000"/>
          <w:sz w:val="32"/>
          <w:szCs w:val="32"/>
        </w:rPr>
      </w:pPr>
      <w:r>
        <w:rPr>
          <w:rFonts w:eastAsia="方正仿宋_GBK"/>
          <w:sz w:val="32"/>
          <w:szCs w:val="32"/>
        </w:rPr>
        <w:t>基准地价开发程度充分考虑实际情况设定为“三通一平”，即宗地外通路、通电、通上水及宗地内场地平整</w:t>
      </w:r>
      <w:r>
        <w:rPr>
          <w:rFonts w:eastAsia="方正仿宋_GBK"/>
          <w:color w:val="000000"/>
          <w:sz w:val="32"/>
          <w:szCs w:val="32"/>
        </w:rPr>
        <w:t>。</w:t>
      </w:r>
    </w:p>
    <w:p>
      <w:pPr>
        <w:spacing w:line="578" w:lineRule="exact"/>
        <w:ind w:firstLine="640" w:firstLineChars="200"/>
        <w:rPr>
          <w:rFonts w:eastAsia="方正黑体_GBK"/>
          <w:bCs/>
          <w:sz w:val="32"/>
          <w:szCs w:val="32"/>
        </w:rPr>
      </w:pPr>
      <w:r>
        <w:rPr>
          <w:rFonts w:eastAsia="方正黑体_GBK"/>
          <w:bCs/>
          <w:sz w:val="32"/>
          <w:szCs w:val="32"/>
        </w:rPr>
        <w:t>三、土地用途分类</w:t>
      </w:r>
    </w:p>
    <w:p>
      <w:pPr>
        <w:spacing w:line="578" w:lineRule="exact"/>
        <w:ind w:firstLine="640" w:firstLineChars="200"/>
        <w:rPr>
          <w:rFonts w:eastAsia="方正仿宋_GBK"/>
          <w:color w:val="000000"/>
          <w:sz w:val="32"/>
          <w:szCs w:val="32"/>
        </w:rPr>
      </w:pPr>
      <w:r>
        <w:rPr>
          <w:rFonts w:eastAsia="方正仿宋_GBK"/>
          <w:color w:val="000000"/>
          <w:sz w:val="32"/>
          <w:szCs w:val="32"/>
        </w:rPr>
        <w:t>基准地价土地用途分为</w:t>
      </w:r>
      <w:r>
        <w:rPr>
          <w:rFonts w:eastAsia="方正仿宋_GBK"/>
          <w:sz w:val="32"/>
          <w:szCs w:val="32"/>
        </w:rPr>
        <w:t>商服、工业仓储、公共管理与公共服务</w:t>
      </w:r>
      <w:r>
        <w:rPr>
          <w:rFonts w:eastAsia="方正仿宋_GBK"/>
          <w:color w:val="000000"/>
          <w:sz w:val="32"/>
          <w:szCs w:val="32"/>
        </w:rPr>
        <w:t>三类。</w:t>
      </w:r>
    </w:p>
    <w:p>
      <w:pPr>
        <w:spacing w:line="578" w:lineRule="exact"/>
        <w:ind w:firstLine="640" w:firstLineChars="200"/>
        <w:rPr>
          <w:rFonts w:eastAsia="方正楷体_GBK"/>
          <w:color w:val="000000"/>
          <w:sz w:val="32"/>
          <w:szCs w:val="32"/>
        </w:rPr>
      </w:pPr>
      <w:r>
        <w:rPr>
          <w:rFonts w:eastAsia="方正楷体_GBK"/>
          <w:color w:val="000000"/>
          <w:sz w:val="32"/>
          <w:szCs w:val="32"/>
        </w:rPr>
        <w:t>（一）商服类。</w:t>
      </w:r>
    </w:p>
    <w:p>
      <w:pPr>
        <w:tabs>
          <w:tab w:val="left" w:pos="960"/>
        </w:tabs>
        <w:spacing w:line="578" w:lineRule="exact"/>
        <w:ind w:firstLine="640" w:firstLineChars="200"/>
        <w:rPr>
          <w:rFonts w:eastAsia="方正仿宋_GBK"/>
          <w:color w:val="000000"/>
          <w:sz w:val="32"/>
          <w:szCs w:val="32"/>
        </w:rPr>
      </w:pPr>
      <w:r>
        <w:rPr>
          <w:rFonts w:eastAsia="方正仿宋_GBK"/>
          <w:sz w:val="32"/>
          <w:szCs w:val="32"/>
        </w:rPr>
        <w:t>村庄商业服务业设施用地（包括小超市、小卖部、小饭馆等配套商业、集贸市场以及村集体用于旅游接待的设施用地等）</w:t>
      </w:r>
      <w:r>
        <w:rPr>
          <w:rFonts w:eastAsia="方正仿宋_GBK"/>
          <w:color w:val="000000"/>
          <w:sz w:val="32"/>
          <w:szCs w:val="32"/>
        </w:rPr>
        <w:t>。</w:t>
      </w:r>
    </w:p>
    <w:p>
      <w:pPr>
        <w:spacing w:line="578" w:lineRule="exact"/>
        <w:ind w:firstLine="640" w:firstLineChars="200"/>
        <w:rPr>
          <w:rFonts w:eastAsia="方正楷体_GBK"/>
          <w:color w:val="000000"/>
          <w:sz w:val="32"/>
          <w:szCs w:val="32"/>
        </w:rPr>
      </w:pPr>
      <w:r>
        <w:rPr>
          <w:rFonts w:eastAsia="方正楷体_GBK"/>
          <w:color w:val="000000"/>
          <w:sz w:val="32"/>
          <w:szCs w:val="32"/>
        </w:rPr>
        <w:t>（二）工业仓储类。</w:t>
      </w:r>
    </w:p>
    <w:p>
      <w:pPr>
        <w:tabs>
          <w:tab w:val="left" w:pos="960"/>
        </w:tabs>
        <w:spacing w:line="578" w:lineRule="exact"/>
        <w:ind w:firstLine="640" w:firstLineChars="200"/>
        <w:rPr>
          <w:rFonts w:eastAsia="方正仿宋_GBK"/>
          <w:color w:val="000000"/>
          <w:sz w:val="32"/>
          <w:szCs w:val="32"/>
        </w:rPr>
      </w:pPr>
      <w:r>
        <w:rPr>
          <w:rFonts w:eastAsia="方正仿宋_GBK"/>
          <w:sz w:val="32"/>
          <w:szCs w:val="32"/>
        </w:rPr>
        <w:t>村庄生产仓储用地（用于工业生产、物资中转、专业收购和存储的各类集体建设用地和农业设施用地，包括手工业、食品加工、仓库、堆场、种植设施建设用地、畜禽养殖设施建设用地、水产养殖设施建设用地等）</w:t>
      </w:r>
      <w:r>
        <w:rPr>
          <w:rFonts w:eastAsia="方正仿宋_GBK"/>
          <w:color w:val="000000"/>
          <w:sz w:val="32"/>
          <w:szCs w:val="32"/>
        </w:rPr>
        <w:t>。</w:t>
      </w:r>
    </w:p>
    <w:p>
      <w:pPr>
        <w:spacing w:line="578" w:lineRule="exact"/>
        <w:ind w:firstLine="640" w:firstLineChars="200"/>
        <w:rPr>
          <w:rFonts w:eastAsia="方正楷体_GBK"/>
          <w:color w:val="000000"/>
          <w:sz w:val="32"/>
          <w:szCs w:val="32"/>
        </w:rPr>
      </w:pPr>
      <w:r>
        <w:rPr>
          <w:rFonts w:eastAsia="方正楷体_GBK"/>
          <w:color w:val="000000"/>
          <w:sz w:val="32"/>
          <w:szCs w:val="32"/>
        </w:rPr>
        <w:t>（三）公共管理与公共服务类。</w:t>
      </w:r>
    </w:p>
    <w:p>
      <w:pPr>
        <w:spacing w:line="578" w:lineRule="exact"/>
        <w:ind w:firstLine="640" w:firstLineChars="200"/>
        <w:rPr>
          <w:rFonts w:eastAsia="方正仿宋_GBK"/>
          <w:sz w:val="32"/>
          <w:szCs w:val="32"/>
        </w:rPr>
      </w:pPr>
      <w:r>
        <w:rPr>
          <w:rFonts w:eastAsia="方正仿宋_GBK"/>
          <w:sz w:val="32"/>
          <w:szCs w:val="32"/>
        </w:rPr>
        <w:t>村庄公共服务设施用地（包括公共管理、文体、教育、医疗卫生、社会福利、宗教、文物古迹等设施用地以及兽医站、农机站等农业生产服务设施用地）；村庄公共场地（用于村民活动的公共开放空间用地，包括小广场、小绿地等）；村庄道路用地（村庄内的各类道路用地）；村庄交通设施用地（包括村庄停车场、公交站点等交通设施用地）；村庄公用设施用地（包括村庄给排水、供电、供气、供热和能源等工程设施用地；公厕、垃圾站、粪便和垃圾处理设施等用地；消防、防洪等防灾设施用地）；</w:t>
      </w:r>
    </w:p>
    <w:p>
      <w:pPr>
        <w:spacing w:line="578" w:lineRule="exact"/>
        <w:ind w:firstLine="640" w:firstLineChars="200"/>
        <w:rPr>
          <w:rFonts w:eastAsia="方正仿宋_GBK"/>
          <w:color w:val="000000"/>
          <w:sz w:val="32"/>
          <w:szCs w:val="32"/>
        </w:rPr>
      </w:pPr>
      <w:r>
        <w:rPr>
          <w:rFonts w:eastAsia="方正仿宋_GBK"/>
          <w:sz w:val="32"/>
          <w:szCs w:val="32"/>
        </w:rPr>
        <w:t>其他未列入该范围的用地，其用途类别可参照相关或相近用地用途类别确定。工业仓储类、公共管理与公共服务类用地中的配套经营性设施用地，应参照商业用途确定。</w:t>
      </w:r>
    </w:p>
    <w:p>
      <w:pPr>
        <w:spacing w:line="578" w:lineRule="exact"/>
        <w:ind w:firstLine="640" w:firstLineChars="200"/>
        <w:rPr>
          <w:rFonts w:eastAsia="方正黑体_GBK"/>
          <w:bCs/>
          <w:sz w:val="32"/>
          <w:szCs w:val="32"/>
        </w:rPr>
      </w:pPr>
      <w:r>
        <w:rPr>
          <w:rFonts w:eastAsia="方正黑体_GBK"/>
          <w:bCs/>
          <w:sz w:val="32"/>
          <w:szCs w:val="32"/>
        </w:rPr>
        <w:t>四、基准地价的应用</w:t>
      </w:r>
    </w:p>
    <w:p>
      <w:pPr>
        <w:spacing w:line="578" w:lineRule="exact"/>
        <w:ind w:firstLine="640" w:firstLineChars="200"/>
        <w:rPr>
          <w:rFonts w:eastAsia="方正仿宋_GBK"/>
          <w:color w:val="000000"/>
          <w:sz w:val="32"/>
          <w:szCs w:val="32"/>
        </w:rPr>
      </w:pPr>
      <w:r>
        <w:rPr>
          <w:rFonts w:eastAsia="方正仿宋_GBK"/>
          <w:bCs/>
          <w:sz w:val="32"/>
          <w:szCs w:val="32"/>
        </w:rPr>
        <w:t>运用基准地价系数修正法进行宗地价格评估时应适用对应</w:t>
      </w:r>
      <w:r>
        <w:rPr>
          <w:rFonts w:eastAsia="方正仿宋_GBK"/>
          <w:color w:val="000000"/>
          <w:sz w:val="32"/>
          <w:szCs w:val="32"/>
        </w:rPr>
        <w:t>用途级别的基准地价，并根据宗地实际情况进行土地用途、期日、年期、容积率、区域和个别因素及土地开发程度等修正。评估多用途混合的宗地价格时，应按各具体用途分别修正后加权测算。</w:t>
      </w:r>
    </w:p>
    <w:p>
      <w:pPr>
        <w:spacing w:line="578" w:lineRule="exact"/>
        <w:ind w:firstLine="640" w:firstLineChars="200"/>
        <w:rPr>
          <w:rFonts w:eastAsia="方正楷体_GBK"/>
          <w:color w:val="000000"/>
          <w:sz w:val="32"/>
          <w:szCs w:val="32"/>
        </w:rPr>
      </w:pPr>
      <w:r>
        <w:rPr>
          <w:rFonts w:eastAsia="方正楷体_GBK"/>
          <w:color w:val="000000"/>
          <w:sz w:val="32"/>
          <w:szCs w:val="32"/>
        </w:rPr>
        <w:t>（一）宗地价格计算公式。</w:t>
      </w:r>
    </w:p>
    <w:p>
      <w:pPr>
        <w:spacing w:line="578" w:lineRule="exact"/>
        <w:ind w:firstLine="640" w:firstLineChars="200"/>
        <w:rPr>
          <w:rFonts w:eastAsia="方正仿宋_GBK"/>
          <w:color w:val="000000"/>
          <w:sz w:val="32"/>
          <w:szCs w:val="32"/>
        </w:rPr>
      </w:pPr>
      <w:r>
        <w:rPr>
          <w:rFonts w:eastAsia="方正仿宋_GBK"/>
          <w:color w:val="000000"/>
          <w:sz w:val="32"/>
          <w:szCs w:val="32"/>
        </w:rPr>
        <w:t>楼面地价=适用的基准地价×期日修正系数×年期修正系数×容积率修正系数×区域和个别因素修正系数±土地开发程度修正值</w:t>
      </w:r>
    </w:p>
    <w:p>
      <w:pPr>
        <w:spacing w:line="578" w:lineRule="exact"/>
        <w:ind w:firstLine="640" w:firstLineChars="200"/>
        <w:rPr>
          <w:rFonts w:eastAsia="方正楷体_GBK"/>
          <w:color w:val="000000"/>
          <w:sz w:val="32"/>
          <w:szCs w:val="32"/>
        </w:rPr>
      </w:pPr>
      <w:r>
        <w:rPr>
          <w:rFonts w:eastAsia="方正楷体_GBK"/>
          <w:color w:val="000000"/>
          <w:sz w:val="32"/>
          <w:szCs w:val="32"/>
        </w:rPr>
        <w:t>（二）宗地价格测算在有关参数的确定。</w:t>
      </w:r>
    </w:p>
    <w:p>
      <w:pPr>
        <w:spacing w:line="578" w:lineRule="exact"/>
        <w:ind w:firstLine="640" w:firstLineChars="200"/>
        <w:rPr>
          <w:rFonts w:eastAsia="方正仿宋_GBK"/>
          <w:color w:val="000000"/>
          <w:sz w:val="32"/>
          <w:szCs w:val="32"/>
        </w:rPr>
      </w:pPr>
      <w:r>
        <w:rPr>
          <w:rFonts w:eastAsia="方正仿宋_GBK"/>
          <w:color w:val="000000"/>
          <w:sz w:val="32"/>
          <w:szCs w:val="32"/>
        </w:rPr>
        <w:t>1.适用的基准地价的确定</w:t>
      </w:r>
    </w:p>
    <w:p>
      <w:pPr>
        <w:spacing w:line="578" w:lineRule="exact"/>
        <w:ind w:firstLine="640" w:firstLineChars="200"/>
        <w:rPr>
          <w:rFonts w:eastAsia="方正仿宋_GBK"/>
          <w:color w:val="000000"/>
          <w:sz w:val="32"/>
          <w:szCs w:val="32"/>
        </w:rPr>
      </w:pPr>
      <w:r>
        <w:rPr>
          <w:rFonts w:eastAsia="方正仿宋_GBK"/>
          <w:color w:val="000000"/>
          <w:sz w:val="32"/>
          <w:szCs w:val="32"/>
        </w:rPr>
        <w:t>根据宗地的法定用途，按照本说明第三条规定的基准地价分类，确定适用的基准地价用途后，根据本次公布实施的土地级别，确定对应用途级别应适用的基准地价。</w:t>
      </w:r>
    </w:p>
    <w:p>
      <w:pPr>
        <w:spacing w:line="578" w:lineRule="exact"/>
        <w:ind w:firstLine="640" w:firstLineChars="200"/>
        <w:rPr>
          <w:rFonts w:eastAsia="方正仿宋_GBK"/>
          <w:color w:val="000000"/>
          <w:sz w:val="32"/>
          <w:szCs w:val="32"/>
        </w:rPr>
      </w:pPr>
      <w:r>
        <w:rPr>
          <w:rFonts w:eastAsia="方正仿宋_GBK"/>
          <w:color w:val="000000"/>
          <w:sz w:val="32"/>
          <w:szCs w:val="32"/>
        </w:rPr>
        <w:t>2．用途修正系数的确定</w:t>
      </w:r>
    </w:p>
    <w:p>
      <w:pPr>
        <w:spacing w:line="578" w:lineRule="exact"/>
        <w:ind w:firstLine="640" w:firstLineChars="200"/>
        <w:rPr>
          <w:rFonts w:eastAsia="方正仿宋_GBK"/>
          <w:color w:val="000000"/>
          <w:sz w:val="32"/>
          <w:szCs w:val="32"/>
        </w:rPr>
      </w:pPr>
      <w:r>
        <w:rPr>
          <w:rFonts w:eastAsia="方正仿宋_GBK"/>
          <w:color w:val="000000"/>
          <w:sz w:val="32"/>
          <w:szCs w:val="32"/>
        </w:rPr>
        <w:t>宗地需要进行用途修正的，应按照《土地用途修正系数表》确定用途修正系数。</w:t>
      </w:r>
    </w:p>
    <w:p>
      <w:pPr>
        <w:spacing w:line="578" w:lineRule="exact"/>
        <w:ind w:firstLine="640" w:firstLineChars="200"/>
        <w:rPr>
          <w:rFonts w:eastAsia="方正仿宋_GBK"/>
          <w:color w:val="000000"/>
          <w:sz w:val="32"/>
          <w:szCs w:val="32"/>
        </w:rPr>
      </w:pPr>
      <w:r>
        <w:rPr>
          <w:rFonts w:eastAsia="方正仿宋_GBK"/>
          <w:color w:val="000000"/>
          <w:sz w:val="32"/>
          <w:szCs w:val="32"/>
        </w:rPr>
        <w:t>3.期日修正系数的确定</w:t>
      </w:r>
    </w:p>
    <w:p>
      <w:pPr>
        <w:spacing w:line="578" w:lineRule="exact"/>
        <w:ind w:firstLine="640" w:firstLineChars="200"/>
        <w:rPr>
          <w:rFonts w:eastAsia="方正仿宋_GBK"/>
          <w:color w:val="000000"/>
          <w:sz w:val="32"/>
          <w:szCs w:val="32"/>
        </w:rPr>
      </w:pPr>
      <w:r>
        <w:rPr>
          <w:rFonts w:eastAsia="方正仿宋_GBK"/>
          <w:color w:val="000000"/>
          <w:sz w:val="32"/>
          <w:szCs w:val="32"/>
        </w:rPr>
        <w:t>期日修正系数=宗地估价期日的地价指数÷基准地价期日的地价指数</w:t>
      </w:r>
    </w:p>
    <w:p>
      <w:pPr>
        <w:spacing w:line="578" w:lineRule="exact"/>
        <w:ind w:firstLine="640" w:firstLineChars="200"/>
        <w:rPr>
          <w:rFonts w:eastAsia="方正仿宋_GBK"/>
          <w:color w:val="000000"/>
          <w:sz w:val="32"/>
          <w:szCs w:val="32"/>
        </w:rPr>
      </w:pPr>
      <w:r>
        <w:rPr>
          <w:rFonts w:eastAsia="方正仿宋_GBK"/>
          <w:color w:val="000000"/>
          <w:sz w:val="32"/>
          <w:szCs w:val="32"/>
        </w:rPr>
        <w:t>宗地估价期日的地价指数以重庆市地价动态监测成果公布的地价指数、地价增长率为准。</w:t>
      </w:r>
    </w:p>
    <w:p>
      <w:pPr>
        <w:spacing w:line="578" w:lineRule="exact"/>
        <w:ind w:firstLine="640" w:firstLineChars="200"/>
        <w:rPr>
          <w:rFonts w:eastAsia="方正仿宋_GBK"/>
          <w:color w:val="000000"/>
          <w:sz w:val="32"/>
          <w:szCs w:val="32"/>
        </w:rPr>
      </w:pPr>
      <w:r>
        <w:rPr>
          <w:rFonts w:eastAsia="方正仿宋_GBK"/>
          <w:color w:val="000000"/>
          <w:sz w:val="32"/>
          <w:szCs w:val="32"/>
        </w:rPr>
        <w:t>4.土地使用年期修正系数的确定</w:t>
      </w:r>
    </w:p>
    <w:p>
      <w:pPr>
        <w:adjustRightInd w:val="0"/>
        <w:snapToGrid w:val="0"/>
        <w:ind w:firstLine="560" w:firstLineChars="200"/>
        <w:rPr>
          <w:color w:val="000000"/>
          <w:sz w:val="28"/>
          <w:szCs w:val="28"/>
        </w:rPr>
      </w:pPr>
      <w:r>
        <w:rPr>
          <w:color w:val="000000"/>
          <w:sz w:val="28"/>
          <w:szCs w:val="28"/>
        </w:rPr>
        <w:t>年期修正系数=</w:t>
      </w:r>
      <w:r>
        <w:rPr>
          <w:color w:val="000000"/>
          <w:position w:val="-28"/>
          <w:sz w:val="28"/>
          <w:szCs w:val="28"/>
        </w:rPr>
        <w:object>
          <v:shape id="_x0000_i1025" o:spt="75" type="#_x0000_t75" style="height:37.55pt;width:109.55pt;" o:ole="t" filled="f" o:preferrelative="t" stroked="f" coordsize="21600,21600">
            <v:path/>
            <v:fill on="f" focussize="0,0"/>
            <v:stroke on="f"/>
            <v:imagedata r:id="rId9" o:title=""/>
            <o:lock v:ext="edit" aspectratio="t"/>
            <w10:wrap type="none"/>
            <w10:anchorlock/>
          </v:shape>
          <o:OLEObject Type="Embed" ProgID="Equation.3" ShapeID="_x0000_i1025" DrawAspect="Content" ObjectID="_1468075725" r:id="rId8">
            <o:LockedField>false</o:LockedField>
          </o:OLEObject>
        </w:object>
      </w:r>
    </w:p>
    <w:p>
      <w:pPr>
        <w:adjustRightInd w:val="0"/>
        <w:snapToGrid w:val="0"/>
        <w:spacing w:line="578" w:lineRule="exact"/>
        <w:ind w:firstLine="640" w:firstLineChars="200"/>
        <w:rPr>
          <w:rFonts w:eastAsia="方正仿宋_GBK"/>
          <w:color w:val="000000"/>
          <w:sz w:val="32"/>
          <w:szCs w:val="32"/>
        </w:rPr>
      </w:pPr>
      <w:r>
        <w:rPr>
          <w:rFonts w:eastAsia="方正仿宋_GBK"/>
          <w:color w:val="000000"/>
          <w:sz w:val="32"/>
          <w:szCs w:val="32"/>
        </w:rPr>
        <w:t>r为土地还原率(商服、工业仓储、公共管理与公共服务分别为</w:t>
      </w:r>
      <w:r>
        <w:rPr>
          <w:rFonts w:eastAsia="方正仿宋_GBK"/>
          <w:sz w:val="32"/>
          <w:szCs w:val="32"/>
        </w:rPr>
        <w:t>7.54%、7.18%、6.34%</w:t>
      </w:r>
      <w:r>
        <w:rPr>
          <w:rFonts w:eastAsia="方正仿宋_GBK"/>
          <w:color w:val="000000"/>
          <w:sz w:val="32"/>
          <w:szCs w:val="32"/>
        </w:rPr>
        <w:t>)；n为宗地剩余使用年限；m为基准地价规定的相应用途土地使用年限。</w:t>
      </w:r>
    </w:p>
    <w:p>
      <w:pPr>
        <w:spacing w:line="578" w:lineRule="exact"/>
        <w:ind w:firstLine="640" w:firstLineChars="200"/>
        <w:rPr>
          <w:rFonts w:eastAsia="方正仿宋_GBK"/>
          <w:color w:val="000000"/>
          <w:sz w:val="32"/>
          <w:szCs w:val="32"/>
        </w:rPr>
      </w:pPr>
      <w:r>
        <w:rPr>
          <w:rFonts w:eastAsia="方正仿宋_GBK"/>
          <w:color w:val="000000"/>
          <w:sz w:val="32"/>
          <w:szCs w:val="32"/>
        </w:rPr>
        <w:t>5.容积率修正系数的确定</w:t>
      </w:r>
    </w:p>
    <w:p>
      <w:pPr>
        <w:spacing w:line="578" w:lineRule="exact"/>
        <w:ind w:firstLine="640" w:firstLineChars="200"/>
        <w:rPr>
          <w:rFonts w:eastAsia="方正仿宋_GBK"/>
          <w:color w:val="000000"/>
          <w:sz w:val="32"/>
          <w:szCs w:val="32"/>
        </w:rPr>
      </w:pPr>
      <w:r>
        <w:rPr>
          <w:rFonts w:eastAsia="方正仿宋_GBK"/>
          <w:color w:val="000000"/>
          <w:sz w:val="32"/>
          <w:szCs w:val="32"/>
        </w:rPr>
        <w:t>按照宗地的法定容积率（R），根据《容积率修正系数表》确定容积率修正系数。商服、公服容积率小于1时，按容积率1确定修正系数；商服、公服容积率大于3时，按容积率3确定修正系数。工业仓储不做容积率修正。</w:t>
      </w:r>
    </w:p>
    <w:p>
      <w:pPr>
        <w:spacing w:line="578" w:lineRule="exact"/>
        <w:ind w:firstLine="640" w:firstLineChars="200"/>
        <w:rPr>
          <w:rFonts w:eastAsia="方正仿宋_GBK"/>
          <w:color w:val="000000"/>
          <w:sz w:val="32"/>
          <w:szCs w:val="32"/>
        </w:rPr>
      </w:pPr>
      <w:r>
        <w:rPr>
          <w:rFonts w:eastAsia="方正仿宋_GBK"/>
          <w:color w:val="000000"/>
          <w:sz w:val="32"/>
          <w:szCs w:val="32"/>
        </w:rPr>
        <w:t>当R</w:t>
      </w:r>
      <w:r>
        <w:rPr>
          <w:rFonts w:eastAsia="方正仿宋_GBK"/>
          <w:color w:val="000000"/>
          <w:sz w:val="32"/>
          <w:szCs w:val="32"/>
          <w:vertAlign w:val="subscript"/>
        </w:rPr>
        <w:t>1</w:t>
      </w:r>
      <w:r>
        <w:rPr>
          <w:rFonts w:eastAsia="方正仿宋_GBK"/>
          <w:color w:val="000000"/>
          <w:sz w:val="32"/>
          <w:szCs w:val="32"/>
        </w:rPr>
        <w:t>＜R＜R</w:t>
      </w:r>
      <w:r>
        <w:rPr>
          <w:rFonts w:eastAsia="方正仿宋_GBK"/>
          <w:color w:val="000000"/>
          <w:sz w:val="32"/>
          <w:szCs w:val="32"/>
          <w:vertAlign w:val="subscript"/>
        </w:rPr>
        <w:t>2</w:t>
      </w:r>
      <w:r>
        <w:rPr>
          <w:rFonts w:eastAsia="方正仿宋_GBK"/>
          <w:color w:val="000000"/>
          <w:sz w:val="32"/>
          <w:szCs w:val="32"/>
        </w:rPr>
        <w:t>（R</w:t>
      </w:r>
      <w:r>
        <w:rPr>
          <w:rFonts w:eastAsia="方正仿宋_GBK"/>
          <w:color w:val="000000"/>
          <w:sz w:val="32"/>
          <w:szCs w:val="32"/>
          <w:vertAlign w:val="subscript"/>
        </w:rPr>
        <w:t>1</w:t>
      </w:r>
      <w:r>
        <w:rPr>
          <w:rFonts w:eastAsia="方正仿宋_GBK"/>
          <w:color w:val="000000"/>
          <w:sz w:val="32"/>
          <w:szCs w:val="32"/>
        </w:rPr>
        <w:t>、R</w:t>
      </w:r>
      <w:r>
        <w:rPr>
          <w:rFonts w:eastAsia="方正仿宋_GBK"/>
          <w:color w:val="000000"/>
          <w:sz w:val="32"/>
          <w:szCs w:val="32"/>
          <w:vertAlign w:val="subscript"/>
        </w:rPr>
        <w:t>2</w:t>
      </w:r>
      <w:r>
        <w:rPr>
          <w:rFonts w:eastAsia="方正仿宋_GBK"/>
          <w:color w:val="000000"/>
          <w:sz w:val="32"/>
          <w:szCs w:val="32"/>
        </w:rPr>
        <w:t>为上述《容积率修正系数表》中所列的相邻容积率）时，按下列公式计算容积率修正系数（X）:</w:t>
      </w:r>
    </w:p>
    <w:p>
      <w:pPr>
        <w:spacing w:line="578" w:lineRule="exact"/>
        <w:ind w:firstLine="672" w:firstLineChars="200"/>
        <w:rPr>
          <w:rFonts w:eastAsia="方正仿宋_GBK"/>
          <w:color w:val="000000"/>
          <w:spacing w:val="8"/>
          <w:sz w:val="32"/>
          <w:szCs w:val="32"/>
        </w:rPr>
      </w:pPr>
      <w:r>
        <w:rPr>
          <w:rFonts w:eastAsia="方正仿宋_GBK"/>
          <w:color w:val="000000"/>
          <w:spacing w:val="8"/>
          <w:sz w:val="32"/>
          <w:szCs w:val="32"/>
        </w:rPr>
        <w:t>X=X</w:t>
      </w:r>
      <w:r>
        <w:rPr>
          <w:rFonts w:eastAsia="方正仿宋_GBK"/>
          <w:color w:val="000000"/>
          <w:spacing w:val="8"/>
          <w:sz w:val="32"/>
          <w:szCs w:val="32"/>
          <w:vertAlign w:val="subscript"/>
        </w:rPr>
        <w:t>1</w:t>
      </w:r>
      <w:r>
        <w:rPr>
          <w:rFonts w:eastAsia="方正仿宋_GBK"/>
          <w:color w:val="000000"/>
          <w:spacing w:val="8"/>
          <w:sz w:val="32"/>
          <w:szCs w:val="32"/>
        </w:rPr>
        <w:t>+(X</w:t>
      </w:r>
      <w:r>
        <w:rPr>
          <w:rFonts w:eastAsia="方正仿宋_GBK"/>
          <w:color w:val="000000"/>
          <w:spacing w:val="8"/>
          <w:sz w:val="32"/>
          <w:szCs w:val="32"/>
          <w:vertAlign w:val="subscript"/>
        </w:rPr>
        <w:t>2</w:t>
      </w:r>
      <w:r>
        <w:rPr>
          <w:rFonts w:eastAsia="方正仿宋_GBK"/>
          <w:color w:val="000000"/>
          <w:spacing w:val="8"/>
          <w:sz w:val="32"/>
          <w:szCs w:val="32"/>
        </w:rPr>
        <w:t>-X</w:t>
      </w:r>
      <w:r>
        <w:rPr>
          <w:rFonts w:eastAsia="方正仿宋_GBK"/>
          <w:color w:val="000000"/>
          <w:spacing w:val="8"/>
          <w:sz w:val="32"/>
          <w:szCs w:val="32"/>
          <w:vertAlign w:val="subscript"/>
        </w:rPr>
        <w:t>1</w:t>
      </w:r>
      <w:r>
        <w:rPr>
          <w:rFonts w:eastAsia="方正仿宋_GBK"/>
          <w:color w:val="000000"/>
          <w:spacing w:val="8"/>
          <w:sz w:val="32"/>
          <w:szCs w:val="32"/>
        </w:rPr>
        <w:t>)×(R-R</w:t>
      </w:r>
      <w:r>
        <w:rPr>
          <w:rFonts w:eastAsia="方正仿宋_GBK"/>
          <w:color w:val="000000"/>
          <w:spacing w:val="8"/>
          <w:sz w:val="32"/>
          <w:szCs w:val="32"/>
          <w:vertAlign w:val="subscript"/>
        </w:rPr>
        <w:t>1</w:t>
      </w:r>
      <w:r>
        <w:rPr>
          <w:rFonts w:eastAsia="方正仿宋_GBK"/>
          <w:color w:val="000000"/>
          <w:spacing w:val="8"/>
          <w:sz w:val="32"/>
          <w:szCs w:val="32"/>
        </w:rPr>
        <w:t>)/(R</w:t>
      </w:r>
      <w:r>
        <w:rPr>
          <w:rFonts w:eastAsia="方正仿宋_GBK"/>
          <w:color w:val="000000"/>
          <w:spacing w:val="8"/>
          <w:sz w:val="32"/>
          <w:szCs w:val="32"/>
          <w:vertAlign w:val="subscript"/>
        </w:rPr>
        <w:t>2</w:t>
      </w:r>
      <w:r>
        <w:rPr>
          <w:rFonts w:eastAsia="方正仿宋_GBK"/>
          <w:color w:val="000000"/>
          <w:spacing w:val="8"/>
          <w:sz w:val="32"/>
          <w:szCs w:val="32"/>
        </w:rPr>
        <w:t>-R</w:t>
      </w:r>
      <w:r>
        <w:rPr>
          <w:rFonts w:eastAsia="方正仿宋_GBK"/>
          <w:color w:val="000000"/>
          <w:spacing w:val="8"/>
          <w:sz w:val="32"/>
          <w:szCs w:val="32"/>
          <w:vertAlign w:val="subscript"/>
        </w:rPr>
        <w:t>1</w:t>
      </w:r>
      <w:r>
        <w:rPr>
          <w:rFonts w:eastAsia="方正仿宋_GBK"/>
          <w:color w:val="000000"/>
          <w:spacing w:val="8"/>
          <w:sz w:val="32"/>
          <w:szCs w:val="32"/>
        </w:rPr>
        <w:t>)</w:t>
      </w:r>
    </w:p>
    <w:p>
      <w:pPr>
        <w:spacing w:line="578" w:lineRule="exact"/>
        <w:ind w:firstLine="672" w:firstLineChars="200"/>
        <w:rPr>
          <w:rFonts w:eastAsia="方正仿宋_GBK"/>
          <w:color w:val="000000"/>
          <w:spacing w:val="8"/>
          <w:sz w:val="32"/>
          <w:szCs w:val="32"/>
        </w:rPr>
      </w:pPr>
      <w:r>
        <w:rPr>
          <w:rFonts w:eastAsia="方正仿宋_GBK"/>
          <w:color w:val="000000"/>
          <w:spacing w:val="8"/>
          <w:sz w:val="32"/>
          <w:szCs w:val="32"/>
        </w:rPr>
        <w:t>X</w:t>
      </w:r>
      <w:r>
        <w:rPr>
          <w:rFonts w:eastAsia="方正仿宋_GBK"/>
          <w:color w:val="000000"/>
          <w:spacing w:val="8"/>
          <w:sz w:val="32"/>
          <w:szCs w:val="32"/>
          <w:vertAlign w:val="subscript"/>
        </w:rPr>
        <w:t>1</w:t>
      </w:r>
      <w:r>
        <w:rPr>
          <w:rFonts w:eastAsia="方正仿宋_GBK"/>
          <w:color w:val="000000"/>
          <w:spacing w:val="8"/>
          <w:sz w:val="32"/>
          <w:szCs w:val="32"/>
        </w:rPr>
        <w:t>、X</w:t>
      </w:r>
      <w:r>
        <w:rPr>
          <w:rFonts w:eastAsia="方正仿宋_GBK"/>
          <w:color w:val="000000"/>
          <w:spacing w:val="8"/>
          <w:sz w:val="32"/>
          <w:szCs w:val="32"/>
          <w:vertAlign w:val="subscript"/>
        </w:rPr>
        <w:t>2</w:t>
      </w:r>
      <w:r>
        <w:rPr>
          <w:rFonts w:eastAsia="方正仿宋_GBK"/>
          <w:color w:val="000000"/>
          <w:spacing w:val="8"/>
          <w:sz w:val="32"/>
          <w:szCs w:val="32"/>
        </w:rPr>
        <w:t>为R</w:t>
      </w:r>
      <w:r>
        <w:rPr>
          <w:rFonts w:eastAsia="方正仿宋_GBK"/>
          <w:color w:val="000000"/>
          <w:spacing w:val="8"/>
          <w:sz w:val="32"/>
          <w:szCs w:val="32"/>
          <w:vertAlign w:val="subscript"/>
        </w:rPr>
        <w:t>1</w:t>
      </w:r>
      <w:r>
        <w:rPr>
          <w:rFonts w:eastAsia="方正仿宋_GBK"/>
          <w:color w:val="000000"/>
          <w:spacing w:val="8"/>
          <w:sz w:val="32"/>
          <w:szCs w:val="32"/>
        </w:rPr>
        <w:t>、R</w:t>
      </w:r>
      <w:r>
        <w:rPr>
          <w:rFonts w:eastAsia="方正仿宋_GBK"/>
          <w:color w:val="000000"/>
          <w:spacing w:val="8"/>
          <w:sz w:val="32"/>
          <w:szCs w:val="32"/>
          <w:vertAlign w:val="subscript"/>
        </w:rPr>
        <w:t>2</w:t>
      </w:r>
      <w:r>
        <w:rPr>
          <w:rFonts w:eastAsia="方正仿宋_GBK"/>
          <w:color w:val="000000"/>
          <w:spacing w:val="8"/>
          <w:sz w:val="32"/>
          <w:szCs w:val="32"/>
        </w:rPr>
        <w:t>所对应的容积率修正系数。</w:t>
      </w:r>
    </w:p>
    <w:p>
      <w:pPr>
        <w:adjustRightInd w:val="0"/>
        <w:snapToGrid w:val="0"/>
        <w:spacing w:line="578" w:lineRule="exact"/>
        <w:ind w:firstLine="640" w:firstLineChars="200"/>
        <w:rPr>
          <w:rFonts w:eastAsia="方正仿宋_GBK"/>
          <w:color w:val="000000"/>
          <w:sz w:val="32"/>
          <w:szCs w:val="32"/>
        </w:rPr>
      </w:pPr>
      <w:r>
        <w:rPr>
          <w:rFonts w:eastAsia="方正仿宋_GBK"/>
          <w:color w:val="000000"/>
          <w:sz w:val="32"/>
          <w:szCs w:val="32"/>
        </w:rPr>
        <w:t>6.土地开发程度修正值的确定</w:t>
      </w:r>
    </w:p>
    <w:p>
      <w:pPr>
        <w:adjustRightInd w:val="0"/>
        <w:snapToGrid w:val="0"/>
        <w:spacing w:line="578" w:lineRule="exact"/>
        <w:ind w:firstLine="640" w:firstLineChars="200"/>
        <w:rPr>
          <w:rFonts w:eastAsia="方正仿宋_GBK"/>
          <w:color w:val="000000"/>
          <w:sz w:val="32"/>
          <w:szCs w:val="32"/>
        </w:rPr>
      </w:pPr>
      <w:r>
        <w:rPr>
          <w:rFonts w:eastAsia="方正仿宋_GBK"/>
          <w:color w:val="000000"/>
          <w:sz w:val="32"/>
          <w:szCs w:val="32"/>
        </w:rPr>
        <w:t>当宗地的土地开发程度与基准地价设定的土地开发程度不一致时，应根据《土地开发程度修正值表》确定开发程度修正值。</w:t>
      </w:r>
    </w:p>
    <w:p>
      <w:pPr>
        <w:adjustRightInd w:val="0"/>
        <w:snapToGrid w:val="0"/>
        <w:spacing w:line="578" w:lineRule="exact"/>
        <w:ind w:firstLine="640" w:firstLineChars="200"/>
        <w:rPr>
          <w:rFonts w:eastAsia="方正仿宋_GBK"/>
          <w:color w:val="000000"/>
          <w:sz w:val="32"/>
          <w:szCs w:val="32"/>
        </w:rPr>
      </w:pPr>
      <w:r>
        <w:rPr>
          <w:rFonts w:eastAsia="方正仿宋_GBK"/>
          <w:color w:val="000000"/>
          <w:sz w:val="32"/>
          <w:szCs w:val="32"/>
        </w:rPr>
        <w:t>7.区域和个别因素修正系数的确定</w:t>
      </w:r>
    </w:p>
    <w:p>
      <w:pPr>
        <w:adjustRightInd w:val="0"/>
        <w:snapToGrid w:val="0"/>
        <w:ind w:firstLine="560" w:firstLineChars="200"/>
        <w:jc w:val="left"/>
        <w:rPr>
          <w:color w:val="000000"/>
          <w:sz w:val="28"/>
          <w:szCs w:val="28"/>
        </w:rPr>
      </w:pPr>
      <m:oMathPara>
        <m:oMathParaPr>
          <m:jc m:val="center"/>
        </m:oMathParaPr>
        <m:oMath>
          <m:r>
            <m:rPr>
              <m:sty m:val="p"/>
            </m:rPr>
            <w:rPr>
              <w:rFonts w:hint="eastAsia" w:ascii="Cambria Math" w:hAnsi="Cambria Math" w:eastAsia="宋体"/>
              <w:color w:val="000000"/>
              <w:sz w:val="28"/>
              <w:szCs w:val="28"/>
            </w:rPr>
            <m:t>区域和个别因素修正系数</m:t>
          </m:r>
          <m:r>
            <m:rPr>
              <m:sty m:val="p"/>
            </m:rPr>
            <w:rPr>
              <w:rFonts w:hint="default" w:ascii="Cambria Math" w:hAnsi="Cambria Math" w:eastAsia="宋体"/>
              <w:sz w:val="28"/>
              <w:szCs w:val="28"/>
            </w:rPr>
            <m:t>=1+</m:t>
          </m:r>
          <m:nary>
            <m:naryPr>
              <m:chr m:val="∑"/>
              <m:limLoc m:val="undOvr"/>
              <m:ctrlPr>
                <w:rPr>
                  <w:rFonts w:hint="default" w:ascii="Cambria Math" w:hAnsi="Cambria Math" w:eastAsia="宋体"/>
                  <w:sz w:val="28"/>
                  <w:szCs w:val="28"/>
                </w:rPr>
              </m:ctrlPr>
            </m:naryPr>
            <m:sub>
              <m:r>
                <m:rPr/>
                <w:rPr>
                  <w:rFonts w:hint="default" w:ascii="Cambria Math" w:hAnsi="Cambria Math" w:eastAsia="宋体"/>
                  <w:sz w:val="28"/>
                  <w:szCs w:val="28"/>
                </w:rPr>
                <m:t>i</m:t>
              </m:r>
              <m:r>
                <m:rPr>
                  <m:sty m:val="p"/>
                </m:rPr>
                <w:rPr>
                  <w:rFonts w:hint="default" w:ascii="Cambria Math" w:hAnsi="Cambria Math" w:eastAsia="宋体"/>
                  <w:sz w:val="28"/>
                  <w:szCs w:val="28"/>
                </w:rPr>
                <m:t>=</m:t>
              </m:r>
              <m:r>
                <m:rPr/>
                <w:rPr>
                  <w:rFonts w:hint="default" w:ascii="Cambria Math" w:hAnsi="Cambria Math" w:eastAsia="宋体"/>
                  <w:sz w:val="28"/>
                  <w:szCs w:val="28"/>
                </w:rPr>
                <m:t>1</m:t>
              </m:r>
              <m:ctrlPr>
                <w:rPr>
                  <w:rFonts w:hint="default" w:ascii="Cambria Math" w:hAnsi="Cambria Math" w:eastAsia="宋体"/>
                  <w:sz w:val="28"/>
                  <w:szCs w:val="28"/>
                </w:rPr>
              </m:ctrlPr>
            </m:sub>
            <m:sup>
              <m:r>
                <m:rPr/>
                <w:rPr>
                  <w:rFonts w:hint="default" w:ascii="Cambria Math" w:hAnsi="Cambria Math" w:eastAsia="宋体"/>
                  <w:sz w:val="28"/>
                  <w:szCs w:val="28"/>
                </w:rPr>
                <m:t>n</m:t>
              </m:r>
              <m:ctrlPr>
                <w:rPr>
                  <w:rFonts w:hint="default" w:ascii="Cambria Math" w:hAnsi="Cambria Math" w:eastAsia="宋体"/>
                  <w:sz w:val="28"/>
                  <w:szCs w:val="28"/>
                </w:rPr>
              </m:ctrlPr>
            </m:sup>
            <m:e>
              <m:d>
                <m:dPr>
                  <m:ctrlPr>
                    <w:rPr>
                      <w:rFonts w:hint="default" w:ascii="Cambria Math" w:hAnsi="Cambria Math" w:eastAsia="宋体"/>
                      <w:sz w:val="28"/>
                      <w:szCs w:val="28"/>
                    </w:rPr>
                  </m:ctrlPr>
                </m:dPr>
                <m:e>
                  <m:sSub>
                    <m:sSubPr>
                      <m:ctrlPr>
                        <w:rPr>
                          <w:rFonts w:hint="default" w:ascii="Cambria Math" w:hAnsi="Cambria Math" w:eastAsia="宋体"/>
                          <w:sz w:val="28"/>
                          <w:szCs w:val="28"/>
                        </w:rPr>
                      </m:ctrlPr>
                    </m:sSubPr>
                    <m:e>
                      <m:r>
                        <m:rPr>
                          <m:sty m:val="p"/>
                        </m:rPr>
                        <w:rPr>
                          <w:rFonts w:hint="default" w:ascii="Cambria Math" w:hAnsi="Cambria Math" w:eastAsia="宋体"/>
                          <w:sz w:val="28"/>
                          <w:szCs w:val="28"/>
                        </w:rPr>
                        <m:t>K</m:t>
                      </m:r>
                      <m:ctrlPr>
                        <w:rPr>
                          <w:rFonts w:hint="default" w:ascii="Cambria Math" w:hAnsi="Cambria Math" w:eastAsia="宋体"/>
                          <w:sz w:val="28"/>
                          <w:szCs w:val="28"/>
                        </w:rPr>
                      </m:ctrlPr>
                    </m:e>
                    <m:sub>
                      <m:r>
                        <m:rPr>
                          <m:sty m:val="p"/>
                        </m:rPr>
                        <w:rPr>
                          <w:rFonts w:hint="default" w:ascii="Cambria Math" w:hAnsi="Cambria Math" w:eastAsia="宋体"/>
                          <w:sz w:val="28"/>
                          <w:szCs w:val="28"/>
                        </w:rPr>
                        <m:t>i</m:t>
                      </m:r>
                      <m:ctrlPr>
                        <w:rPr>
                          <w:rFonts w:hint="default" w:ascii="Cambria Math" w:hAnsi="Cambria Math" w:eastAsia="宋体"/>
                          <w:sz w:val="28"/>
                          <w:szCs w:val="28"/>
                        </w:rPr>
                      </m:ctrlPr>
                    </m:sub>
                  </m:sSub>
                  <m:r>
                    <m:rPr>
                      <m:sty m:val="p"/>
                    </m:rPr>
                    <w:rPr>
                      <w:rFonts w:hint="default" w:ascii="Cambria Math" w:hAnsi="Cambria Math" w:eastAsia="宋体"/>
                      <w:sz w:val="28"/>
                      <w:szCs w:val="28"/>
                    </w:rPr>
                    <m:t>÷100</m:t>
                  </m:r>
                  <m:ctrlPr>
                    <w:rPr>
                      <w:rFonts w:hint="default" w:ascii="Cambria Math" w:hAnsi="Cambria Math" w:eastAsia="宋体"/>
                      <w:sz w:val="28"/>
                      <w:szCs w:val="28"/>
                    </w:rPr>
                  </m:ctrlPr>
                </m:e>
              </m:d>
              <m:ctrlPr>
                <w:rPr>
                  <w:rFonts w:hint="default" w:ascii="Cambria Math" w:hAnsi="Cambria Math" w:eastAsia="宋体"/>
                  <w:sz w:val="28"/>
                  <w:szCs w:val="28"/>
                </w:rPr>
              </m:ctrlPr>
            </m:e>
          </m:nary>
        </m:oMath>
      </m:oMathPara>
    </w:p>
    <w:p>
      <w:pPr>
        <w:spacing w:line="578" w:lineRule="exact"/>
        <w:ind w:firstLine="672" w:firstLineChars="200"/>
        <w:rPr>
          <w:rFonts w:eastAsia="方正仿宋_GBK"/>
          <w:color w:val="000000"/>
          <w:spacing w:val="8"/>
          <w:sz w:val="32"/>
          <w:szCs w:val="32"/>
        </w:rPr>
      </w:pPr>
      <w:r>
        <w:rPr>
          <w:rFonts w:eastAsia="方正仿宋_GBK"/>
          <w:color w:val="000000"/>
          <w:spacing w:val="8"/>
          <w:sz w:val="32"/>
          <w:szCs w:val="32"/>
        </w:rPr>
        <w:t>按照《区域和个别因素修正系数表》，根据宗地各种因素情况确定每种因素的修正系数，应用上述公式测算宗地的区域和个别因素修正系数。Ki为第i种因素的修正系数。</w:t>
      </w:r>
    </w:p>
    <w:p>
      <w:pPr>
        <w:spacing w:line="578" w:lineRule="exact"/>
        <w:ind w:firstLine="672" w:firstLineChars="200"/>
        <w:rPr>
          <w:rFonts w:eastAsia="方正仿宋_GBK"/>
          <w:color w:val="000000"/>
          <w:spacing w:val="8"/>
          <w:sz w:val="32"/>
          <w:szCs w:val="32"/>
        </w:rPr>
      </w:pPr>
    </w:p>
    <w:p>
      <w:pPr>
        <w:spacing w:line="578" w:lineRule="exact"/>
        <w:ind w:firstLine="672" w:firstLineChars="200"/>
        <w:rPr>
          <w:rFonts w:eastAsia="方正仿宋_GBK"/>
          <w:color w:val="000000"/>
          <w:spacing w:val="8"/>
          <w:sz w:val="32"/>
          <w:szCs w:val="32"/>
        </w:rPr>
      </w:pPr>
      <w:r>
        <w:rPr>
          <w:rFonts w:eastAsia="方正仿宋_GBK"/>
          <w:color w:val="000000"/>
          <w:spacing w:val="8"/>
          <w:sz w:val="32"/>
          <w:szCs w:val="32"/>
        </w:rPr>
        <w:t>附表：3.1.1土地用途修正系数表</w:t>
      </w:r>
    </w:p>
    <w:p>
      <w:pPr>
        <w:spacing w:line="578" w:lineRule="exact"/>
        <w:ind w:firstLine="1680" w:firstLineChars="500"/>
        <w:rPr>
          <w:rFonts w:eastAsia="方正仿宋_GBK"/>
          <w:color w:val="000000"/>
          <w:spacing w:val="8"/>
          <w:sz w:val="32"/>
          <w:szCs w:val="32"/>
        </w:rPr>
      </w:pPr>
      <w:r>
        <w:rPr>
          <w:rFonts w:eastAsia="方正仿宋_GBK"/>
          <w:color w:val="000000"/>
          <w:spacing w:val="8"/>
          <w:sz w:val="32"/>
          <w:szCs w:val="32"/>
        </w:rPr>
        <w:t>3.1.2容积率修正系数表</w:t>
      </w:r>
    </w:p>
    <w:p>
      <w:pPr>
        <w:spacing w:line="578" w:lineRule="exact"/>
        <w:ind w:firstLine="672" w:firstLineChars="200"/>
        <w:rPr>
          <w:rFonts w:eastAsia="方正仿宋_GBK"/>
          <w:color w:val="000000"/>
          <w:spacing w:val="8"/>
          <w:sz w:val="32"/>
          <w:szCs w:val="32"/>
        </w:rPr>
      </w:pPr>
      <w:r>
        <w:rPr>
          <w:rFonts w:eastAsia="方正仿宋_GBK"/>
          <w:color w:val="000000"/>
          <w:spacing w:val="8"/>
          <w:sz w:val="32"/>
          <w:szCs w:val="32"/>
        </w:rPr>
        <w:t xml:space="preserve">      3.1.3土地开发程度修正值表</w:t>
      </w:r>
    </w:p>
    <w:p>
      <w:pPr>
        <w:spacing w:line="578" w:lineRule="exact"/>
        <w:ind w:firstLine="1680" w:firstLineChars="500"/>
        <w:rPr>
          <w:rFonts w:eastAsia="方正仿宋_GBK"/>
          <w:color w:val="000000"/>
          <w:spacing w:val="8"/>
          <w:sz w:val="32"/>
          <w:szCs w:val="32"/>
        </w:rPr>
      </w:pPr>
      <w:r>
        <w:rPr>
          <w:rFonts w:eastAsia="方正仿宋_GBK"/>
          <w:color w:val="000000"/>
          <w:spacing w:val="8"/>
          <w:sz w:val="32"/>
          <w:szCs w:val="32"/>
        </w:rPr>
        <w:t>3.1.4区域和个别因素修正系数表</w:t>
      </w:r>
    </w:p>
    <w:p>
      <w:pPr>
        <w:spacing w:line="578" w:lineRule="exact"/>
        <w:ind w:firstLine="672" w:firstLineChars="200"/>
        <w:rPr>
          <w:rFonts w:eastAsia="方正仿宋_GBK"/>
          <w:color w:val="000000"/>
          <w:spacing w:val="8"/>
          <w:sz w:val="32"/>
          <w:szCs w:val="32"/>
        </w:rPr>
      </w:pPr>
    </w:p>
    <w:p>
      <w:pPr>
        <w:adjustRightInd w:val="0"/>
        <w:snapToGrid w:val="0"/>
        <w:spacing w:line="500" w:lineRule="exact"/>
        <w:ind w:firstLine="1400" w:firstLineChars="500"/>
        <w:rPr>
          <w:color w:val="000000"/>
          <w:sz w:val="28"/>
          <w:szCs w:val="28"/>
        </w:rPr>
      </w:pPr>
    </w:p>
    <w:p>
      <w:pPr>
        <w:adjustRightInd w:val="0"/>
        <w:snapToGrid w:val="0"/>
        <w:spacing w:line="500" w:lineRule="exact"/>
        <w:ind w:firstLine="1400" w:firstLineChars="500"/>
        <w:rPr>
          <w:color w:val="000000"/>
          <w:sz w:val="28"/>
          <w:szCs w:val="28"/>
        </w:rPr>
      </w:pPr>
    </w:p>
    <w:p>
      <w:pPr>
        <w:adjustRightInd w:val="0"/>
        <w:snapToGrid w:val="0"/>
        <w:spacing w:line="500" w:lineRule="exact"/>
        <w:ind w:firstLine="1400" w:firstLineChars="500"/>
        <w:rPr>
          <w:color w:val="000000"/>
          <w:sz w:val="28"/>
          <w:szCs w:val="28"/>
        </w:rPr>
      </w:pPr>
    </w:p>
    <w:p>
      <w:pPr>
        <w:adjustRightInd w:val="0"/>
        <w:snapToGrid w:val="0"/>
        <w:spacing w:line="500" w:lineRule="exact"/>
        <w:ind w:firstLine="1400" w:firstLineChars="500"/>
        <w:rPr>
          <w:color w:val="000000"/>
          <w:sz w:val="28"/>
          <w:szCs w:val="28"/>
        </w:rPr>
      </w:pPr>
    </w:p>
    <w:p>
      <w:pPr>
        <w:adjustRightInd w:val="0"/>
        <w:snapToGrid w:val="0"/>
        <w:spacing w:line="500" w:lineRule="exact"/>
        <w:ind w:firstLine="1400" w:firstLineChars="500"/>
        <w:rPr>
          <w:color w:val="000000"/>
          <w:sz w:val="28"/>
          <w:szCs w:val="28"/>
        </w:rPr>
      </w:pPr>
    </w:p>
    <w:p>
      <w:pPr>
        <w:spacing w:line="578" w:lineRule="exact"/>
        <w:rPr>
          <w:rFonts w:eastAsia="方正黑体_GBK"/>
          <w:bCs/>
          <w:sz w:val="32"/>
          <w:szCs w:val="32"/>
        </w:rPr>
      </w:pPr>
      <w:bookmarkStart w:id="3" w:name="_Hlk70411866"/>
    </w:p>
    <w:p>
      <w:pPr>
        <w:spacing w:line="578" w:lineRule="exact"/>
        <w:rPr>
          <w:rFonts w:eastAsia="方正黑体_GBK"/>
          <w:bCs/>
          <w:sz w:val="32"/>
          <w:szCs w:val="32"/>
        </w:rPr>
      </w:pPr>
      <w:r>
        <w:rPr>
          <w:rFonts w:eastAsia="方正黑体_GBK"/>
          <w:bCs/>
          <w:sz w:val="32"/>
          <w:szCs w:val="32"/>
        </w:rPr>
        <w:t>附表</w:t>
      </w:r>
    </w:p>
    <w:p>
      <w:pPr>
        <w:spacing w:line="578" w:lineRule="exact"/>
        <w:rPr>
          <w:rFonts w:eastAsia="方正黑体_GBK"/>
          <w:bCs/>
          <w:sz w:val="32"/>
          <w:szCs w:val="32"/>
        </w:rPr>
      </w:pPr>
    </w:p>
    <w:p>
      <w:pPr>
        <w:adjustRightInd w:val="0"/>
        <w:snapToGrid w:val="0"/>
        <w:spacing w:line="578" w:lineRule="exact"/>
        <w:jc w:val="center"/>
        <w:rPr>
          <w:rFonts w:eastAsia="方正黑体_GBK"/>
          <w:color w:val="000000"/>
          <w:sz w:val="32"/>
          <w:szCs w:val="32"/>
        </w:rPr>
      </w:pPr>
      <w:r>
        <w:rPr>
          <w:rFonts w:eastAsia="方正黑体_GBK"/>
          <w:bCs/>
          <w:sz w:val="32"/>
          <w:szCs w:val="32"/>
        </w:rPr>
        <w:t>3.1.1</w:t>
      </w:r>
      <w:r>
        <w:rPr>
          <w:rFonts w:eastAsia="方正黑体_GBK"/>
          <w:color w:val="000000"/>
          <w:sz w:val="32"/>
          <w:szCs w:val="32"/>
        </w:rPr>
        <w:t>土地用途修正系数表</w:t>
      </w:r>
    </w:p>
    <w:tbl>
      <w:tblPr>
        <w:tblStyle w:val="5"/>
        <w:tblW w:w="90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418"/>
        <w:gridCol w:w="3260"/>
        <w:gridCol w:w="1559"/>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1" w:type="dxa"/>
            <w:noWrap w:val="0"/>
            <w:vAlign w:val="center"/>
          </w:tcPr>
          <w:p>
            <w:pPr>
              <w:tabs>
                <w:tab w:val="left" w:pos="960"/>
              </w:tabs>
              <w:spacing w:line="240" w:lineRule="exact"/>
              <w:jc w:val="center"/>
              <w:rPr>
                <w:rFonts w:eastAsia="方正仿宋_GBK"/>
                <w:b/>
                <w:bCs/>
                <w:sz w:val="18"/>
                <w:szCs w:val="18"/>
              </w:rPr>
            </w:pPr>
            <w:r>
              <w:rPr>
                <w:rFonts w:eastAsia="方正仿宋_GBK"/>
                <w:b/>
                <w:bCs/>
                <w:sz w:val="18"/>
                <w:szCs w:val="18"/>
              </w:rPr>
              <w:t>用途用地</w:t>
            </w:r>
          </w:p>
        </w:tc>
        <w:tc>
          <w:tcPr>
            <w:tcW w:w="1418" w:type="dxa"/>
            <w:noWrap w:val="0"/>
            <w:vAlign w:val="center"/>
          </w:tcPr>
          <w:p>
            <w:pPr>
              <w:tabs>
                <w:tab w:val="left" w:pos="960"/>
              </w:tabs>
              <w:spacing w:line="240" w:lineRule="exact"/>
              <w:jc w:val="center"/>
              <w:rPr>
                <w:rFonts w:eastAsia="方正仿宋_GBK"/>
                <w:b/>
                <w:bCs/>
                <w:sz w:val="18"/>
                <w:szCs w:val="18"/>
              </w:rPr>
            </w:pPr>
            <w:r>
              <w:rPr>
                <w:rFonts w:eastAsia="方正仿宋_GBK"/>
                <w:b/>
                <w:bCs/>
                <w:sz w:val="18"/>
                <w:szCs w:val="18"/>
              </w:rPr>
              <w:t>用途二级类</w:t>
            </w:r>
          </w:p>
        </w:tc>
        <w:tc>
          <w:tcPr>
            <w:tcW w:w="3260" w:type="dxa"/>
            <w:noWrap w:val="0"/>
            <w:vAlign w:val="center"/>
          </w:tcPr>
          <w:p>
            <w:pPr>
              <w:tabs>
                <w:tab w:val="left" w:pos="960"/>
              </w:tabs>
              <w:spacing w:line="240" w:lineRule="exact"/>
              <w:jc w:val="center"/>
              <w:rPr>
                <w:rFonts w:eastAsia="方正仿宋_GBK"/>
                <w:b/>
                <w:bCs/>
                <w:sz w:val="18"/>
                <w:szCs w:val="18"/>
              </w:rPr>
            </w:pPr>
            <w:r>
              <w:rPr>
                <w:rFonts w:eastAsia="方正仿宋_GBK"/>
                <w:b/>
                <w:bCs/>
                <w:sz w:val="18"/>
                <w:szCs w:val="18"/>
              </w:rPr>
              <w:t>范围</w:t>
            </w:r>
          </w:p>
        </w:tc>
        <w:tc>
          <w:tcPr>
            <w:tcW w:w="1559" w:type="dxa"/>
            <w:noWrap w:val="0"/>
            <w:vAlign w:val="center"/>
          </w:tcPr>
          <w:p>
            <w:pPr>
              <w:tabs>
                <w:tab w:val="left" w:pos="960"/>
              </w:tabs>
              <w:spacing w:line="240" w:lineRule="exact"/>
              <w:jc w:val="center"/>
              <w:rPr>
                <w:rFonts w:eastAsia="方正仿宋_GBK"/>
                <w:b/>
                <w:bCs/>
                <w:sz w:val="18"/>
                <w:szCs w:val="18"/>
              </w:rPr>
            </w:pPr>
            <w:r>
              <w:rPr>
                <w:rFonts w:eastAsia="方正仿宋_GBK"/>
                <w:b/>
                <w:bCs/>
                <w:sz w:val="18"/>
                <w:szCs w:val="18"/>
              </w:rPr>
              <w:t>用途类别划分</w:t>
            </w:r>
          </w:p>
        </w:tc>
        <w:tc>
          <w:tcPr>
            <w:tcW w:w="1559" w:type="dxa"/>
            <w:noWrap w:val="0"/>
            <w:vAlign w:val="center"/>
          </w:tcPr>
          <w:p>
            <w:pPr>
              <w:tabs>
                <w:tab w:val="left" w:pos="960"/>
              </w:tabs>
              <w:spacing w:line="240" w:lineRule="exact"/>
              <w:jc w:val="center"/>
              <w:rPr>
                <w:rFonts w:eastAsia="方正仿宋_GBK"/>
                <w:b/>
                <w:bCs/>
                <w:sz w:val="18"/>
                <w:szCs w:val="18"/>
              </w:rPr>
            </w:pPr>
            <w:r>
              <w:rPr>
                <w:rFonts w:eastAsia="方正仿宋_GBK"/>
                <w:b/>
                <w:bCs/>
                <w:sz w:val="18"/>
                <w:szCs w:val="18"/>
              </w:rPr>
              <w:t>用途修正系数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1" w:type="dxa"/>
            <w:vMerge w:val="restart"/>
            <w:noWrap w:val="0"/>
            <w:vAlign w:val="center"/>
          </w:tcPr>
          <w:p>
            <w:pPr>
              <w:tabs>
                <w:tab w:val="left" w:pos="960"/>
              </w:tabs>
              <w:spacing w:line="240" w:lineRule="exact"/>
              <w:jc w:val="center"/>
              <w:rPr>
                <w:rFonts w:eastAsia="方正仿宋_GBK"/>
                <w:sz w:val="18"/>
                <w:szCs w:val="18"/>
              </w:rPr>
            </w:pPr>
            <w:r>
              <w:rPr>
                <w:rFonts w:eastAsia="方正仿宋_GBK"/>
                <w:sz w:val="18"/>
                <w:szCs w:val="18"/>
              </w:rPr>
              <w:t>商服用地</w:t>
            </w:r>
          </w:p>
        </w:tc>
        <w:tc>
          <w:tcPr>
            <w:tcW w:w="1418" w:type="dxa"/>
            <w:vMerge w:val="restart"/>
            <w:noWrap w:val="0"/>
            <w:vAlign w:val="center"/>
          </w:tcPr>
          <w:p>
            <w:pPr>
              <w:tabs>
                <w:tab w:val="left" w:pos="960"/>
              </w:tabs>
              <w:spacing w:line="240" w:lineRule="exact"/>
              <w:jc w:val="center"/>
              <w:rPr>
                <w:rFonts w:eastAsia="方正仿宋_GBK"/>
                <w:sz w:val="18"/>
                <w:szCs w:val="18"/>
              </w:rPr>
            </w:pPr>
            <w:r>
              <w:rPr>
                <w:rFonts w:eastAsia="方正仿宋_GBK"/>
                <w:sz w:val="18"/>
                <w:szCs w:val="18"/>
              </w:rPr>
              <w:t>村庄商业服务业设施用地</w:t>
            </w: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独立的商业服务业用地</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基准类别</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1" w:type="dxa"/>
            <w:vMerge w:val="continue"/>
            <w:noWrap w:val="0"/>
            <w:vAlign w:val="center"/>
          </w:tcPr>
          <w:p>
            <w:pPr>
              <w:tabs>
                <w:tab w:val="left" w:pos="960"/>
              </w:tabs>
              <w:spacing w:line="240" w:lineRule="exact"/>
              <w:jc w:val="center"/>
              <w:rPr>
                <w:rFonts w:eastAsia="方正仿宋_GBK"/>
                <w:sz w:val="18"/>
                <w:szCs w:val="18"/>
              </w:rPr>
            </w:pPr>
          </w:p>
        </w:tc>
        <w:tc>
          <w:tcPr>
            <w:tcW w:w="1418" w:type="dxa"/>
            <w:vMerge w:val="continue"/>
            <w:noWrap w:val="0"/>
            <w:vAlign w:val="center"/>
          </w:tcPr>
          <w:p>
            <w:pPr>
              <w:tabs>
                <w:tab w:val="left" w:pos="960"/>
              </w:tabs>
              <w:spacing w:line="240" w:lineRule="exact"/>
              <w:jc w:val="center"/>
              <w:rPr>
                <w:rFonts w:eastAsia="方正仿宋_GBK"/>
                <w:sz w:val="18"/>
                <w:szCs w:val="18"/>
              </w:rPr>
            </w:pP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农村生产生活配套的社区服务设施用地中包含的农村商店及小型超市</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其他类别</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restart"/>
            <w:noWrap w:val="0"/>
            <w:vAlign w:val="center"/>
          </w:tcPr>
          <w:p>
            <w:pPr>
              <w:tabs>
                <w:tab w:val="left" w:pos="960"/>
              </w:tabs>
              <w:spacing w:line="240" w:lineRule="exact"/>
              <w:jc w:val="center"/>
              <w:rPr>
                <w:rFonts w:eastAsia="方正仿宋_GBK"/>
                <w:sz w:val="18"/>
                <w:szCs w:val="18"/>
              </w:rPr>
            </w:pPr>
            <w:r>
              <w:rPr>
                <w:rFonts w:eastAsia="方正仿宋_GBK"/>
                <w:sz w:val="18"/>
                <w:szCs w:val="18"/>
              </w:rPr>
              <w:t>工业仓储用地</w:t>
            </w:r>
          </w:p>
        </w:tc>
        <w:tc>
          <w:tcPr>
            <w:tcW w:w="1418" w:type="dxa"/>
            <w:vMerge w:val="restart"/>
            <w:noWrap w:val="0"/>
            <w:vAlign w:val="center"/>
          </w:tcPr>
          <w:p>
            <w:pPr>
              <w:tabs>
                <w:tab w:val="left" w:pos="960"/>
              </w:tabs>
              <w:spacing w:line="240" w:lineRule="exact"/>
              <w:jc w:val="center"/>
              <w:rPr>
                <w:rFonts w:eastAsia="方正仿宋_GBK"/>
                <w:sz w:val="18"/>
                <w:szCs w:val="18"/>
              </w:rPr>
            </w:pPr>
            <w:r>
              <w:rPr>
                <w:rFonts w:eastAsia="方正仿宋_GBK"/>
                <w:sz w:val="18"/>
                <w:szCs w:val="18"/>
              </w:rPr>
              <w:t>村庄生产仓储用地</w:t>
            </w: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独立工业用地</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基准类别</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continue"/>
            <w:noWrap w:val="0"/>
            <w:vAlign w:val="center"/>
          </w:tcPr>
          <w:p>
            <w:pPr>
              <w:tabs>
                <w:tab w:val="left" w:pos="960"/>
              </w:tabs>
              <w:spacing w:line="240" w:lineRule="exact"/>
              <w:jc w:val="center"/>
              <w:rPr>
                <w:rFonts w:eastAsia="方正仿宋_GBK"/>
                <w:sz w:val="18"/>
                <w:szCs w:val="18"/>
              </w:rPr>
            </w:pPr>
          </w:p>
        </w:tc>
        <w:tc>
          <w:tcPr>
            <w:tcW w:w="1418" w:type="dxa"/>
            <w:vMerge w:val="continue"/>
            <w:noWrap w:val="0"/>
            <w:vAlign w:val="center"/>
          </w:tcPr>
          <w:p>
            <w:pPr>
              <w:tabs>
                <w:tab w:val="left" w:pos="960"/>
              </w:tabs>
              <w:spacing w:line="240" w:lineRule="exact"/>
              <w:jc w:val="center"/>
              <w:rPr>
                <w:rFonts w:eastAsia="方正仿宋_GBK"/>
                <w:sz w:val="18"/>
                <w:szCs w:val="18"/>
              </w:rPr>
            </w:pP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独立物流仓储用地</w:t>
            </w:r>
          </w:p>
        </w:tc>
        <w:tc>
          <w:tcPr>
            <w:tcW w:w="1559" w:type="dxa"/>
            <w:vMerge w:val="restart"/>
            <w:noWrap w:val="0"/>
            <w:vAlign w:val="center"/>
          </w:tcPr>
          <w:p>
            <w:pPr>
              <w:tabs>
                <w:tab w:val="left" w:pos="960"/>
              </w:tabs>
              <w:spacing w:line="240" w:lineRule="exact"/>
              <w:jc w:val="center"/>
              <w:rPr>
                <w:rFonts w:eastAsia="方正仿宋_GBK"/>
                <w:sz w:val="18"/>
                <w:szCs w:val="18"/>
              </w:rPr>
            </w:pPr>
            <w:r>
              <w:rPr>
                <w:rFonts w:eastAsia="方正仿宋_GBK"/>
                <w:sz w:val="18"/>
                <w:szCs w:val="18"/>
              </w:rPr>
              <w:t>其他类别</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continue"/>
            <w:noWrap w:val="0"/>
            <w:vAlign w:val="center"/>
          </w:tcPr>
          <w:p>
            <w:pPr>
              <w:tabs>
                <w:tab w:val="left" w:pos="960"/>
              </w:tabs>
              <w:spacing w:line="240" w:lineRule="exact"/>
              <w:jc w:val="center"/>
              <w:rPr>
                <w:rFonts w:eastAsia="方正仿宋_GBK"/>
                <w:sz w:val="18"/>
                <w:szCs w:val="18"/>
              </w:rPr>
            </w:pPr>
          </w:p>
        </w:tc>
        <w:tc>
          <w:tcPr>
            <w:tcW w:w="1418" w:type="dxa"/>
            <w:vMerge w:val="continue"/>
            <w:noWrap w:val="0"/>
            <w:vAlign w:val="center"/>
          </w:tcPr>
          <w:p>
            <w:pPr>
              <w:tabs>
                <w:tab w:val="left" w:pos="960"/>
              </w:tabs>
              <w:spacing w:line="240" w:lineRule="exact"/>
              <w:jc w:val="center"/>
              <w:rPr>
                <w:rFonts w:eastAsia="方正仿宋_GBK"/>
                <w:sz w:val="18"/>
                <w:szCs w:val="18"/>
              </w:rPr>
            </w:pP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种植设施建设用地</w:t>
            </w:r>
          </w:p>
        </w:tc>
        <w:tc>
          <w:tcPr>
            <w:tcW w:w="1559" w:type="dxa"/>
            <w:vMerge w:val="continue"/>
            <w:noWrap w:val="0"/>
            <w:vAlign w:val="center"/>
          </w:tcPr>
          <w:p>
            <w:pPr>
              <w:tabs>
                <w:tab w:val="left" w:pos="960"/>
              </w:tabs>
              <w:spacing w:line="240" w:lineRule="exact"/>
              <w:jc w:val="center"/>
              <w:rPr>
                <w:rFonts w:eastAsia="方正仿宋_GBK"/>
                <w:sz w:val="18"/>
                <w:szCs w:val="18"/>
              </w:rPr>
            </w:pP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continue"/>
            <w:noWrap w:val="0"/>
            <w:vAlign w:val="center"/>
          </w:tcPr>
          <w:p>
            <w:pPr>
              <w:tabs>
                <w:tab w:val="left" w:pos="960"/>
              </w:tabs>
              <w:spacing w:line="240" w:lineRule="exact"/>
              <w:jc w:val="center"/>
              <w:rPr>
                <w:rFonts w:eastAsia="方正仿宋_GBK"/>
                <w:sz w:val="18"/>
                <w:szCs w:val="18"/>
              </w:rPr>
            </w:pPr>
          </w:p>
        </w:tc>
        <w:tc>
          <w:tcPr>
            <w:tcW w:w="1418" w:type="dxa"/>
            <w:vMerge w:val="continue"/>
            <w:noWrap w:val="0"/>
            <w:vAlign w:val="center"/>
          </w:tcPr>
          <w:p>
            <w:pPr>
              <w:tabs>
                <w:tab w:val="left" w:pos="960"/>
              </w:tabs>
              <w:spacing w:line="240" w:lineRule="exact"/>
              <w:jc w:val="center"/>
              <w:rPr>
                <w:rFonts w:eastAsia="方正仿宋_GBK"/>
                <w:sz w:val="18"/>
                <w:szCs w:val="18"/>
              </w:rPr>
            </w:pP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畜禽养殖设施建设用地</w:t>
            </w:r>
          </w:p>
        </w:tc>
        <w:tc>
          <w:tcPr>
            <w:tcW w:w="1559" w:type="dxa"/>
            <w:vMerge w:val="continue"/>
            <w:noWrap w:val="0"/>
            <w:vAlign w:val="center"/>
          </w:tcPr>
          <w:p>
            <w:pPr>
              <w:tabs>
                <w:tab w:val="left" w:pos="960"/>
              </w:tabs>
              <w:spacing w:line="240" w:lineRule="exact"/>
              <w:jc w:val="center"/>
              <w:rPr>
                <w:rFonts w:eastAsia="方正仿宋_GBK"/>
                <w:sz w:val="18"/>
                <w:szCs w:val="18"/>
              </w:rPr>
            </w:pP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continue"/>
            <w:noWrap w:val="0"/>
            <w:vAlign w:val="center"/>
          </w:tcPr>
          <w:p>
            <w:pPr>
              <w:tabs>
                <w:tab w:val="left" w:pos="960"/>
              </w:tabs>
              <w:spacing w:line="240" w:lineRule="exact"/>
              <w:jc w:val="center"/>
              <w:rPr>
                <w:rFonts w:eastAsia="方正仿宋_GBK"/>
                <w:sz w:val="18"/>
                <w:szCs w:val="18"/>
              </w:rPr>
            </w:pPr>
          </w:p>
        </w:tc>
        <w:tc>
          <w:tcPr>
            <w:tcW w:w="1418" w:type="dxa"/>
            <w:vMerge w:val="continue"/>
            <w:noWrap w:val="0"/>
            <w:vAlign w:val="center"/>
          </w:tcPr>
          <w:p>
            <w:pPr>
              <w:tabs>
                <w:tab w:val="left" w:pos="960"/>
              </w:tabs>
              <w:spacing w:line="240" w:lineRule="exact"/>
              <w:jc w:val="center"/>
              <w:rPr>
                <w:rFonts w:eastAsia="方正仿宋_GBK"/>
                <w:sz w:val="18"/>
                <w:szCs w:val="18"/>
              </w:rPr>
            </w:pP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水产养殖设施建设用地</w:t>
            </w:r>
          </w:p>
        </w:tc>
        <w:tc>
          <w:tcPr>
            <w:tcW w:w="1559" w:type="dxa"/>
            <w:vMerge w:val="continue"/>
            <w:noWrap w:val="0"/>
            <w:vAlign w:val="center"/>
          </w:tcPr>
          <w:p>
            <w:pPr>
              <w:tabs>
                <w:tab w:val="left" w:pos="960"/>
              </w:tabs>
              <w:spacing w:line="240" w:lineRule="exact"/>
              <w:jc w:val="center"/>
              <w:rPr>
                <w:rFonts w:eastAsia="方正仿宋_GBK"/>
                <w:sz w:val="18"/>
                <w:szCs w:val="18"/>
              </w:rPr>
            </w:pP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restart"/>
            <w:noWrap w:val="0"/>
            <w:vAlign w:val="center"/>
          </w:tcPr>
          <w:p>
            <w:pPr>
              <w:tabs>
                <w:tab w:val="left" w:pos="960"/>
              </w:tabs>
              <w:spacing w:line="240" w:lineRule="exact"/>
              <w:jc w:val="center"/>
              <w:rPr>
                <w:rFonts w:eastAsia="方正仿宋_GBK"/>
                <w:sz w:val="18"/>
                <w:szCs w:val="18"/>
              </w:rPr>
            </w:pPr>
            <w:r>
              <w:rPr>
                <w:rFonts w:eastAsia="方正仿宋_GBK"/>
                <w:sz w:val="18"/>
                <w:szCs w:val="18"/>
              </w:rPr>
              <w:t>公共管理与公共服务用地</w:t>
            </w:r>
          </w:p>
        </w:tc>
        <w:tc>
          <w:tcPr>
            <w:tcW w:w="1418" w:type="dxa"/>
            <w:vMerge w:val="restart"/>
            <w:noWrap w:val="0"/>
            <w:vAlign w:val="center"/>
          </w:tcPr>
          <w:p>
            <w:pPr>
              <w:tabs>
                <w:tab w:val="left" w:pos="960"/>
              </w:tabs>
              <w:spacing w:line="240" w:lineRule="exact"/>
              <w:jc w:val="center"/>
              <w:rPr>
                <w:rFonts w:eastAsia="方正仿宋_GBK"/>
                <w:sz w:val="18"/>
                <w:szCs w:val="18"/>
              </w:rPr>
            </w:pPr>
            <w:r>
              <w:rPr>
                <w:rFonts w:eastAsia="方正仿宋_GBK"/>
                <w:sz w:val="18"/>
                <w:szCs w:val="18"/>
              </w:rPr>
              <w:t>村庄公共服务用地</w:t>
            </w: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独立的公共管理与公共服务用地</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基准类别</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continue"/>
            <w:noWrap w:val="0"/>
            <w:vAlign w:val="center"/>
          </w:tcPr>
          <w:p>
            <w:pPr>
              <w:tabs>
                <w:tab w:val="left" w:pos="960"/>
              </w:tabs>
              <w:spacing w:line="240" w:lineRule="exact"/>
              <w:jc w:val="center"/>
              <w:rPr>
                <w:rFonts w:eastAsia="方正仿宋_GBK"/>
                <w:sz w:val="18"/>
                <w:szCs w:val="18"/>
              </w:rPr>
            </w:pPr>
          </w:p>
        </w:tc>
        <w:tc>
          <w:tcPr>
            <w:tcW w:w="1418" w:type="dxa"/>
            <w:vMerge w:val="continue"/>
            <w:noWrap w:val="0"/>
            <w:vAlign w:val="center"/>
          </w:tcPr>
          <w:p>
            <w:pPr>
              <w:tabs>
                <w:tab w:val="left" w:pos="960"/>
              </w:tabs>
              <w:spacing w:line="240" w:lineRule="exact"/>
              <w:jc w:val="center"/>
              <w:rPr>
                <w:rFonts w:eastAsia="方正仿宋_GBK"/>
                <w:sz w:val="18"/>
                <w:szCs w:val="18"/>
              </w:rPr>
            </w:pP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除农村商店及小型超市外的农村生产生活配套的社区服务设施用地</w:t>
            </w:r>
          </w:p>
        </w:tc>
        <w:tc>
          <w:tcPr>
            <w:tcW w:w="1559" w:type="dxa"/>
            <w:vMerge w:val="restart"/>
            <w:noWrap w:val="0"/>
            <w:vAlign w:val="center"/>
          </w:tcPr>
          <w:p>
            <w:pPr>
              <w:tabs>
                <w:tab w:val="left" w:pos="960"/>
              </w:tabs>
              <w:spacing w:line="240" w:lineRule="exact"/>
              <w:jc w:val="center"/>
              <w:rPr>
                <w:rFonts w:eastAsia="方正仿宋_GBK"/>
                <w:sz w:val="18"/>
                <w:szCs w:val="18"/>
              </w:rPr>
            </w:pPr>
            <w:r>
              <w:rPr>
                <w:rFonts w:eastAsia="方正仿宋_GBK"/>
                <w:sz w:val="18"/>
                <w:szCs w:val="18"/>
              </w:rPr>
              <w:t>其他类别</w:t>
            </w: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continue"/>
            <w:noWrap w:val="0"/>
            <w:vAlign w:val="center"/>
          </w:tcPr>
          <w:p>
            <w:pPr>
              <w:tabs>
                <w:tab w:val="left" w:pos="960"/>
              </w:tabs>
              <w:spacing w:line="240" w:lineRule="exact"/>
              <w:jc w:val="center"/>
              <w:rPr>
                <w:rFonts w:eastAsia="方正仿宋_GBK"/>
                <w:sz w:val="18"/>
                <w:szCs w:val="18"/>
              </w:rPr>
            </w:pPr>
          </w:p>
        </w:tc>
        <w:tc>
          <w:tcPr>
            <w:tcW w:w="1418" w:type="dxa"/>
            <w:vMerge w:val="restart"/>
            <w:noWrap w:val="0"/>
            <w:vAlign w:val="center"/>
          </w:tcPr>
          <w:p>
            <w:pPr>
              <w:tabs>
                <w:tab w:val="left" w:pos="960"/>
              </w:tabs>
              <w:spacing w:line="240" w:lineRule="exact"/>
              <w:jc w:val="center"/>
              <w:rPr>
                <w:rFonts w:eastAsia="方正仿宋_GBK"/>
                <w:sz w:val="18"/>
                <w:szCs w:val="18"/>
              </w:rPr>
            </w:pPr>
            <w:r>
              <w:rPr>
                <w:rFonts w:eastAsia="方正仿宋_GBK"/>
                <w:sz w:val="18"/>
                <w:szCs w:val="18"/>
              </w:rPr>
              <w:t>村庄基础设施用地</w:t>
            </w: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公用设施用地</w:t>
            </w:r>
          </w:p>
        </w:tc>
        <w:tc>
          <w:tcPr>
            <w:tcW w:w="1559" w:type="dxa"/>
            <w:vMerge w:val="continue"/>
            <w:noWrap w:val="0"/>
            <w:vAlign w:val="center"/>
          </w:tcPr>
          <w:p>
            <w:pPr>
              <w:tabs>
                <w:tab w:val="left" w:pos="960"/>
              </w:tabs>
              <w:spacing w:line="240" w:lineRule="exact"/>
              <w:jc w:val="center"/>
              <w:rPr>
                <w:rFonts w:eastAsia="方正仿宋_GBK"/>
                <w:sz w:val="18"/>
                <w:szCs w:val="18"/>
              </w:rPr>
            </w:pP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vMerge w:val="continue"/>
            <w:noWrap w:val="0"/>
            <w:vAlign w:val="center"/>
          </w:tcPr>
          <w:p>
            <w:pPr>
              <w:tabs>
                <w:tab w:val="left" w:pos="960"/>
              </w:tabs>
              <w:spacing w:line="240" w:lineRule="exact"/>
              <w:jc w:val="center"/>
              <w:rPr>
                <w:rFonts w:eastAsia="方正仿宋_GBK"/>
                <w:sz w:val="18"/>
                <w:szCs w:val="18"/>
              </w:rPr>
            </w:pPr>
          </w:p>
        </w:tc>
        <w:tc>
          <w:tcPr>
            <w:tcW w:w="1418" w:type="dxa"/>
            <w:vMerge w:val="continue"/>
            <w:noWrap w:val="0"/>
            <w:vAlign w:val="center"/>
          </w:tcPr>
          <w:p>
            <w:pPr>
              <w:tabs>
                <w:tab w:val="left" w:pos="960"/>
              </w:tabs>
              <w:spacing w:line="240" w:lineRule="exact"/>
              <w:jc w:val="center"/>
              <w:rPr>
                <w:rFonts w:eastAsia="方正仿宋_GBK"/>
                <w:sz w:val="18"/>
                <w:szCs w:val="18"/>
              </w:rPr>
            </w:pPr>
          </w:p>
        </w:tc>
        <w:tc>
          <w:tcPr>
            <w:tcW w:w="3260"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交通运输用地</w:t>
            </w:r>
          </w:p>
        </w:tc>
        <w:tc>
          <w:tcPr>
            <w:tcW w:w="1559" w:type="dxa"/>
            <w:vMerge w:val="continue"/>
            <w:noWrap w:val="0"/>
            <w:vAlign w:val="center"/>
          </w:tcPr>
          <w:p>
            <w:pPr>
              <w:tabs>
                <w:tab w:val="left" w:pos="960"/>
              </w:tabs>
              <w:spacing w:line="240" w:lineRule="exact"/>
              <w:jc w:val="center"/>
              <w:rPr>
                <w:rFonts w:eastAsia="方正仿宋_GBK"/>
                <w:sz w:val="18"/>
                <w:szCs w:val="18"/>
              </w:rPr>
            </w:pPr>
          </w:p>
        </w:tc>
        <w:tc>
          <w:tcPr>
            <w:tcW w:w="1559" w:type="dxa"/>
            <w:noWrap w:val="0"/>
            <w:vAlign w:val="center"/>
          </w:tcPr>
          <w:p>
            <w:pPr>
              <w:tabs>
                <w:tab w:val="left" w:pos="960"/>
              </w:tabs>
              <w:spacing w:line="240" w:lineRule="exact"/>
              <w:jc w:val="center"/>
              <w:rPr>
                <w:rFonts w:eastAsia="方正仿宋_GBK"/>
                <w:sz w:val="18"/>
                <w:szCs w:val="18"/>
              </w:rPr>
            </w:pPr>
            <w:r>
              <w:rPr>
                <w:rFonts w:eastAsia="方正仿宋_GBK"/>
                <w:sz w:val="18"/>
                <w:szCs w:val="18"/>
              </w:rPr>
              <w:t>0.6</w:t>
            </w:r>
          </w:p>
        </w:tc>
      </w:tr>
    </w:tbl>
    <w:p>
      <w:pPr>
        <w:rPr>
          <w:rFonts w:eastAsia="方正黑体_GBK"/>
          <w:bCs/>
          <w:sz w:val="32"/>
          <w:szCs w:val="32"/>
        </w:rPr>
      </w:pPr>
    </w:p>
    <w:p>
      <w:pPr>
        <w:adjustRightInd w:val="0"/>
        <w:snapToGrid w:val="0"/>
        <w:spacing w:line="578" w:lineRule="exact"/>
        <w:jc w:val="center"/>
        <w:rPr>
          <w:rFonts w:eastAsia="方正黑体_GBK"/>
          <w:bCs/>
          <w:sz w:val="32"/>
          <w:szCs w:val="32"/>
        </w:rPr>
      </w:pPr>
      <w:r>
        <w:rPr>
          <w:rFonts w:eastAsia="方正黑体_GBK"/>
          <w:bCs/>
          <w:sz w:val="32"/>
          <w:szCs w:val="32"/>
        </w:rPr>
        <w:t>3.1.2容积率修正系数表</w:t>
      </w:r>
    </w:p>
    <w:tbl>
      <w:tblPr>
        <w:tblStyle w:val="5"/>
        <w:tblW w:w="45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01"/>
        <w:gridCol w:w="2558"/>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1711" w:type="pct"/>
            <w:noWrap w:val="0"/>
            <w:vAlign w:val="center"/>
          </w:tcPr>
          <w:p>
            <w:pPr>
              <w:tabs>
                <w:tab w:val="left" w:pos="960"/>
              </w:tabs>
              <w:spacing w:line="240" w:lineRule="exact"/>
              <w:jc w:val="center"/>
              <w:rPr>
                <w:rFonts w:eastAsia="方正仿宋_GBK"/>
                <w:b/>
                <w:bCs/>
                <w:sz w:val="18"/>
                <w:szCs w:val="18"/>
              </w:rPr>
            </w:pPr>
            <w:r>
              <w:rPr>
                <w:rFonts w:eastAsia="方正仿宋_GBK"/>
                <w:b/>
                <w:bCs/>
                <w:sz w:val="18"/>
                <w:szCs w:val="18"/>
              </w:rPr>
              <w:t>容积率</w:t>
            </w:r>
          </w:p>
        </w:tc>
        <w:tc>
          <w:tcPr>
            <w:tcW w:w="1563" w:type="pct"/>
            <w:noWrap w:val="0"/>
            <w:vAlign w:val="center"/>
          </w:tcPr>
          <w:p>
            <w:pPr>
              <w:tabs>
                <w:tab w:val="left" w:pos="960"/>
              </w:tabs>
              <w:spacing w:line="240" w:lineRule="exact"/>
              <w:jc w:val="center"/>
              <w:rPr>
                <w:rFonts w:eastAsia="方正仿宋_GBK"/>
                <w:b/>
                <w:bCs/>
                <w:sz w:val="18"/>
                <w:szCs w:val="18"/>
              </w:rPr>
            </w:pPr>
            <w:r>
              <w:rPr>
                <w:rFonts w:eastAsia="方正仿宋_GBK"/>
                <w:b/>
                <w:bCs/>
                <w:sz w:val="18"/>
                <w:szCs w:val="18"/>
              </w:rPr>
              <w:t>商服</w:t>
            </w:r>
          </w:p>
        </w:tc>
        <w:tc>
          <w:tcPr>
            <w:tcW w:w="1726" w:type="pct"/>
            <w:noWrap w:val="0"/>
            <w:vAlign w:val="center"/>
          </w:tcPr>
          <w:p>
            <w:pPr>
              <w:tabs>
                <w:tab w:val="left" w:pos="960"/>
              </w:tabs>
              <w:spacing w:line="240" w:lineRule="exact"/>
              <w:jc w:val="center"/>
              <w:rPr>
                <w:rFonts w:eastAsia="方正仿宋_GBK"/>
                <w:b/>
                <w:bCs/>
                <w:sz w:val="18"/>
                <w:szCs w:val="18"/>
              </w:rPr>
            </w:pPr>
            <w:r>
              <w:rPr>
                <w:rFonts w:eastAsia="方正仿宋_GBK"/>
                <w:b/>
                <w:bCs/>
                <w:sz w:val="18"/>
                <w:szCs w:val="18"/>
              </w:rPr>
              <w:t>公共管理与公共服务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1711"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1及以下</w:t>
            </w:r>
          </w:p>
        </w:tc>
        <w:tc>
          <w:tcPr>
            <w:tcW w:w="1563"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0.95</w:t>
            </w:r>
          </w:p>
        </w:tc>
        <w:tc>
          <w:tcPr>
            <w:tcW w:w="1726"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1711"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1.5</w:t>
            </w:r>
          </w:p>
        </w:tc>
        <w:tc>
          <w:tcPr>
            <w:tcW w:w="1563"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w:t>
            </w:r>
          </w:p>
        </w:tc>
        <w:tc>
          <w:tcPr>
            <w:tcW w:w="1726"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1711"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2</w:t>
            </w:r>
          </w:p>
        </w:tc>
        <w:tc>
          <w:tcPr>
            <w:tcW w:w="1563"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1.06</w:t>
            </w:r>
          </w:p>
        </w:tc>
        <w:tc>
          <w:tcPr>
            <w:tcW w:w="1726"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1711"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2.5</w:t>
            </w:r>
          </w:p>
        </w:tc>
        <w:tc>
          <w:tcPr>
            <w:tcW w:w="1563"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1.1</w:t>
            </w:r>
          </w:p>
        </w:tc>
        <w:tc>
          <w:tcPr>
            <w:tcW w:w="1726"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1711"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3及以上</w:t>
            </w:r>
          </w:p>
        </w:tc>
        <w:tc>
          <w:tcPr>
            <w:tcW w:w="1563"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1.16</w:t>
            </w:r>
          </w:p>
        </w:tc>
        <w:tc>
          <w:tcPr>
            <w:tcW w:w="1726" w:type="pct"/>
            <w:noWrap w:val="0"/>
            <w:vAlign w:val="center"/>
          </w:tcPr>
          <w:p>
            <w:pPr>
              <w:tabs>
                <w:tab w:val="left" w:pos="960"/>
              </w:tabs>
              <w:spacing w:line="240" w:lineRule="exact"/>
              <w:jc w:val="center"/>
              <w:rPr>
                <w:rFonts w:eastAsia="方正仿宋_GBK"/>
                <w:sz w:val="18"/>
                <w:szCs w:val="18"/>
              </w:rPr>
            </w:pPr>
            <w:r>
              <w:rPr>
                <w:rFonts w:eastAsia="方正仿宋_GBK"/>
                <w:sz w:val="18"/>
                <w:szCs w:val="18"/>
              </w:rPr>
              <w:t>1.16</w:t>
            </w:r>
          </w:p>
        </w:tc>
      </w:tr>
    </w:tbl>
    <w:p>
      <w:pPr>
        <w:spacing w:line="240" w:lineRule="exact"/>
        <w:rPr>
          <w:rFonts w:eastAsia="方正黑体_GBK"/>
          <w:bCs/>
          <w:sz w:val="32"/>
          <w:szCs w:val="32"/>
        </w:rPr>
      </w:pPr>
    </w:p>
    <w:p>
      <w:pPr>
        <w:adjustRightInd w:val="0"/>
        <w:snapToGrid w:val="0"/>
        <w:spacing w:line="578" w:lineRule="exact"/>
        <w:jc w:val="center"/>
        <w:rPr>
          <w:rFonts w:eastAsia="方正黑体_GBK"/>
          <w:bCs/>
          <w:sz w:val="32"/>
          <w:szCs w:val="32"/>
        </w:rPr>
      </w:pPr>
      <w:r>
        <w:rPr>
          <w:rFonts w:eastAsia="方正黑体_GBK"/>
          <w:bCs/>
          <w:sz w:val="32"/>
          <w:szCs w:val="32"/>
        </w:rPr>
        <w:t>3.1.3土地开发程度修正值表</w:t>
      </w:r>
    </w:p>
    <w:p>
      <w:pPr>
        <w:adjustRightInd w:val="0"/>
        <w:snapToGrid w:val="0"/>
        <w:spacing w:line="600" w:lineRule="exact"/>
        <w:ind w:firstLine="480" w:firstLineChars="200"/>
        <w:jc w:val="right"/>
        <w:rPr>
          <w:rFonts w:eastAsia="方正仿宋_GBK"/>
          <w:color w:val="000000"/>
          <w:sz w:val="24"/>
          <w:szCs w:val="30"/>
        </w:rPr>
      </w:pPr>
      <w:r>
        <w:rPr>
          <w:rFonts w:eastAsia="方正仿宋_GBK"/>
          <w:color w:val="000000"/>
          <w:sz w:val="24"/>
          <w:szCs w:val="30"/>
        </w:rPr>
        <w:t>单位：元/平方米（土地面积）</w:t>
      </w:r>
    </w:p>
    <w:tbl>
      <w:tblPr>
        <w:tblStyle w:val="5"/>
        <w:tblW w:w="87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873"/>
        <w:gridCol w:w="873"/>
        <w:gridCol w:w="872"/>
        <w:gridCol w:w="872"/>
        <w:gridCol w:w="1128"/>
        <w:gridCol w:w="1128"/>
        <w:gridCol w:w="1128"/>
        <w:gridCol w:w="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121" w:type="dxa"/>
            <w:noWrap w:val="0"/>
            <w:vAlign w:val="center"/>
          </w:tcPr>
          <w:p>
            <w:pPr>
              <w:widowControl/>
              <w:snapToGrid w:val="0"/>
              <w:spacing w:line="280" w:lineRule="exact"/>
              <w:jc w:val="center"/>
              <w:rPr>
                <w:rFonts w:eastAsia="方正仿宋_GBK"/>
                <w:b/>
                <w:bCs/>
                <w:color w:val="000000"/>
                <w:sz w:val="18"/>
                <w:szCs w:val="18"/>
              </w:rPr>
            </w:pPr>
            <w:r>
              <w:rPr>
                <w:rFonts w:eastAsia="方正仿宋_GBK"/>
                <w:b/>
                <w:bCs/>
                <w:color w:val="000000"/>
                <w:sz w:val="18"/>
                <w:szCs w:val="18"/>
              </w:rPr>
              <w:t>开发程度</w:t>
            </w:r>
          </w:p>
        </w:tc>
        <w:tc>
          <w:tcPr>
            <w:tcW w:w="873" w:type="dxa"/>
            <w:noWrap w:val="0"/>
            <w:vAlign w:val="center"/>
          </w:tcPr>
          <w:p>
            <w:pPr>
              <w:widowControl/>
              <w:snapToGrid w:val="0"/>
              <w:spacing w:line="280" w:lineRule="exact"/>
              <w:jc w:val="center"/>
              <w:rPr>
                <w:rFonts w:eastAsia="方正仿宋_GBK"/>
                <w:b/>
                <w:bCs/>
                <w:color w:val="000000"/>
                <w:sz w:val="18"/>
                <w:szCs w:val="18"/>
              </w:rPr>
            </w:pPr>
            <w:r>
              <w:rPr>
                <w:rFonts w:eastAsia="方正仿宋_GBK"/>
                <w:b/>
                <w:bCs/>
                <w:color w:val="000000"/>
                <w:sz w:val="18"/>
                <w:szCs w:val="18"/>
              </w:rPr>
              <w:t>通路</w:t>
            </w:r>
          </w:p>
        </w:tc>
        <w:tc>
          <w:tcPr>
            <w:tcW w:w="873" w:type="dxa"/>
            <w:noWrap w:val="0"/>
            <w:vAlign w:val="center"/>
          </w:tcPr>
          <w:p>
            <w:pPr>
              <w:widowControl/>
              <w:snapToGrid w:val="0"/>
              <w:spacing w:line="280" w:lineRule="exact"/>
              <w:jc w:val="center"/>
              <w:rPr>
                <w:rFonts w:eastAsia="方正仿宋_GBK"/>
                <w:b/>
                <w:bCs/>
                <w:color w:val="000000"/>
                <w:sz w:val="18"/>
                <w:szCs w:val="18"/>
              </w:rPr>
            </w:pPr>
            <w:r>
              <w:rPr>
                <w:rFonts w:eastAsia="方正仿宋_GBK"/>
                <w:b/>
                <w:bCs/>
                <w:color w:val="000000"/>
                <w:sz w:val="18"/>
                <w:szCs w:val="18"/>
              </w:rPr>
              <w:t>通上水</w:t>
            </w:r>
          </w:p>
        </w:tc>
        <w:tc>
          <w:tcPr>
            <w:tcW w:w="872" w:type="dxa"/>
            <w:noWrap w:val="0"/>
            <w:vAlign w:val="center"/>
          </w:tcPr>
          <w:p>
            <w:pPr>
              <w:widowControl/>
              <w:snapToGrid w:val="0"/>
              <w:spacing w:line="280" w:lineRule="exact"/>
              <w:jc w:val="center"/>
              <w:rPr>
                <w:rFonts w:eastAsia="方正仿宋_GBK"/>
                <w:b/>
                <w:bCs/>
                <w:color w:val="000000"/>
                <w:sz w:val="18"/>
                <w:szCs w:val="18"/>
              </w:rPr>
            </w:pPr>
            <w:r>
              <w:rPr>
                <w:rFonts w:eastAsia="方正仿宋_GBK"/>
                <w:b/>
                <w:bCs/>
                <w:color w:val="000000"/>
                <w:sz w:val="18"/>
                <w:szCs w:val="18"/>
              </w:rPr>
              <w:t>通下水</w:t>
            </w:r>
          </w:p>
        </w:tc>
        <w:tc>
          <w:tcPr>
            <w:tcW w:w="872" w:type="dxa"/>
            <w:noWrap w:val="0"/>
            <w:vAlign w:val="center"/>
          </w:tcPr>
          <w:p>
            <w:pPr>
              <w:widowControl/>
              <w:snapToGrid w:val="0"/>
              <w:spacing w:line="280" w:lineRule="exact"/>
              <w:jc w:val="center"/>
              <w:rPr>
                <w:rFonts w:eastAsia="方正仿宋_GBK"/>
                <w:b/>
                <w:bCs/>
                <w:color w:val="000000"/>
                <w:sz w:val="18"/>
                <w:szCs w:val="18"/>
              </w:rPr>
            </w:pPr>
            <w:r>
              <w:rPr>
                <w:rFonts w:eastAsia="方正仿宋_GBK"/>
                <w:b/>
                <w:bCs/>
                <w:color w:val="000000"/>
                <w:sz w:val="18"/>
                <w:szCs w:val="18"/>
              </w:rPr>
              <w:t>通电</w:t>
            </w:r>
          </w:p>
        </w:tc>
        <w:tc>
          <w:tcPr>
            <w:tcW w:w="1128" w:type="dxa"/>
            <w:noWrap w:val="0"/>
            <w:vAlign w:val="center"/>
          </w:tcPr>
          <w:p>
            <w:pPr>
              <w:widowControl/>
              <w:snapToGrid w:val="0"/>
              <w:spacing w:line="280" w:lineRule="exact"/>
              <w:jc w:val="center"/>
              <w:rPr>
                <w:rFonts w:eastAsia="方正仿宋_GBK"/>
                <w:b/>
                <w:bCs/>
                <w:color w:val="000000"/>
                <w:sz w:val="18"/>
                <w:szCs w:val="18"/>
              </w:rPr>
            </w:pPr>
            <w:r>
              <w:rPr>
                <w:rFonts w:eastAsia="方正仿宋_GBK"/>
                <w:b/>
                <w:bCs/>
                <w:color w:val="000000"/>
                <w:sz w:val="18"/>
                <w:szCs w:val="18"/>
              </w:rPr>
              <w:t>通气</w:t>
            </w:r>
          </w:p>
        </w:tc>
        <w:tc>
          <w:tcPr>
            <w:tcW w:w="1128" w:type="dxa"/>
            <w:noWrap w:val="0"/>
            <w:vAlign w:val="center"/>
          </w:tcPr>
          <w:p>
            <w:pPr>
              <w:widowControl/>
              <w:snapToGrid w:val="0"/>
              <w:spacing w:line="280" w:lineRule="exact"/>
              <w:jc w:val="center"/>
              <w:rPr>
                <w:rFonts w:eastAsia="方正仿宋_GBK"/>
                <w:b/>
                <w:bCs/>
                <w:color w:val="000000"/>
                <w:sz w:val="18"/>
                <w:szCs w:val="18"/>
              </w:rPr>
            </w:pPr>
            <w:r>
              <w:rPr>
                <w:rFonts w:eastAsia="方正仿宋_GBK"/>
                <w:b/>
                <w:bCs/>
                <w:color w:val="000000"/>
                <w:sz w:val="18"/>
                <w:szCs w:val="18"/>
              </w:rPr>
              <w:t>通讯</w:t>
            </w:r>
          </w:p>
        </w:tc>
        <w:tc>
          <w:tcPr>
            <w:tcW w:w="1128" w:type="dxa"/>
            <w:noWrap w:val="0"/>
            <w:vAlign w:val="center"/>
          </w:tcPr>
          <w:p>
            <w:pPr>
              <w:widowControl/>
              <w:snapToGrid w:val="0"/>
              <w:spacing w:line="280" w:lineRule="exact"/>
              <w:jc w:val="center"/>
              <w:rPr>
                <w:rFonts w:eastAsia="方正仿宋_GBK"/>
                <w:b/>
                <w:bCs/>
                <w:color w:val="000000"/>
                <w:sz w:val="18"/>
                <w:szCs w:val="18"/>
              </w:rPr>
            </w:pPr>
            <w:r>
              <w:rPr>
                <w:rFonts w:eastAsia="方正仿宋_GBK"/>
                <w:b/>
                <w:bCs/>
                <w:color w:val="000000"/>
                <w:sz w:val="18"/>
                <w:szCs w:val="18"/>
              </w:rPr>
              <w:t>场地平整</w:t>
            </w:r>
          </w:p>
        </w:tc>
        <w:tc>
          <w:tcPr>
            <w:tcW w:w="795" w:type="dxa"/>
            <w:noWrap w:val="0"/>
            <w:vAlign w:val="center"/>
          </w:tcPr>
          <w:p>
            <w:pPr>
              <w:widowControl/>
              <w:snapToGrid w:val="0"/>
              <w:spacing w:line="280" w:lineRule="exact"/>
              <w:jc w:val="center"/>
              <w:rPr>
                <w:rFonts w:eastAsia="方正仿宋_GBK"/>
                <w:b/>
                <w:bCs/>
                <w:color w:val="000000"/>
                <w:sz w:val="18"/>
                <w:szCs w:val="18"/>
              </w:rPr>
            </w:pPr>
            <w:r>
              <w:rPr>
                <w:rFonts w:eastAsia="方正仿宋_GBK"/>
                <w:b/>
                <w:bCs/>
                <w:color w:val="000000"/>
                <w:sz w:val="18"/>
                <w:szCs w:val="18"/>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21" w:type="dxa"/>
            <w:noWrap w:val="0"/>
            <w:vAlign w:val="center"/>
          </w:tcPr>
          <w:p>
            <w:pPr>
              <w:widowControl/>
              <w:snapToGrid w:val="0"/>
              <w:spacing w:line="280" w:lineRule="exact"/>
              <w:jc w:val="center"/>
              <w:rPr>
                <w:rFonts w:eastAsia="方正仿宋_GBK"/>
                <w:color w:val="000000"/>
                <w:sz w:val="18"/>
                <w:szCs w:val="18"/>
              </w:rPr>
            </w:pPr>
            <w:r>
              <w:rPr>
                <w:rFonts w:eastAsia="方正仿宋_GBK"/>
                <w:color w:val="000000"/>
                <w:sz w:val="18"/>
                <w:szCs w:val="18"/>
              </w:rPr>
              <w:t>开发费用</w:t>
            </w:r>
          </w:p>
        </w:tc>
        <w:tc>
          <w:tcPr>
            <w:tcW w:w="873" w:type="dxa"/>
            <w:noWrap w:val="0"/>
            <w:vAlign w:val="center"/>
          </w:tcPr>
          <w:p>
            <w:pPr>
              <w:widowControl/>
              <w:snapToGrid w:val="0"/>
              <w:spacing w:line="280" w:lineRule="exact"/>
              <w:jc w:val="center"/>
              <w:rPr>
                <w:rFonts w:eastAsia="方正仿宋_GBK"/>
                <w:color w:val="000000"/>
                <w:sz w:val="18"/>
                <w:szCs w:val="18"/>
              </w:rPr>
            </w:pPr>
            <w:r>
              <w:rPr>
                <w:rFonts w:eastAsia="方正仿宋_GBK"/>
                <w:color w:val="000000"/>
                <w:kern w:val="0"/>
                <w:sz w:val="18"/>
                <w:szCs w:val="18"/>
              </w:rPr>
              <w:t>20</w:t>
            </w:r>
          </w:p>
        </w:tc>
        <w:tc>
          <w:tcPr>
            <w:tcW w:w="873" w:type="dxa"/>
            <w:noWrap w:val="0"/>
            <w:vAlign w:val="center"/>
          </w:tcPr>
          <w:p>
            <w:pPr>
              <w:widowControl/>
              <w:snapToGrid w:val="0"/>
              <w:spacing w:line="280" w:lineRule="exact"/>
              <w:jc w:val="center"/>
              <w:rPr>
                <w:rFonts w:eastAsia="方正仿宋_GBK"/>
                <w:color w:val="000000"/>
                <w:sz w:val="18"/>
                <w:szCs w:val="18"/>
              </w:rPr>
            </w:pPr>
            <w:r>
              <w:rPr>
                <w:rFonts w:eastAsia="方正仿宋_GBK"/>
                <w:color w:val="000000"/>
                <w:kern w:val="0"/>
                <w:sz w:val="18"/>
                <w:szCs w:val="18"/>
              </w:rPr>
              <w:t>15</w:t>
            </w:r>
          </w:p>
        </w:tc>
        <w:tc>
          <w:tcPr>
            <w:tcW w:w="872" w:type="dxa"/>
            <w:noWrap w:val="0"/>
            <w:vAlign w:val="center"/>
          </w:tcPr>
          <w:p>
            <w:pPr>
              <w:widowControl/>
              <w:snapToGrid w:val="0"/>
              <w:spacing w:line="280" w:lineRule="exact"/>
              <w:jc w:val="center"/>
              <w:rPr>
                <w:rFonts w:eastAsia="方正仿宋_GBK"/>
                <w:color w:val="000000"/>
                <w:sz w:val="18"/>
                <w:szCs w:val="18"/>
              </w:rPr>
            </w:pPr>
            <w:r>
              <w:rPr>
                <w:rFonts w:eastAsia="方正仿宋_GBK"/>
                <w:color w:val="000000"/>
                <w:kern w:val="0"/>
                <w:sz w:val="18"/>
                <w:szCs w:val="18"/>
              </w:rPr>
              <w:t>10</w:t>
            </w:r>
          </w:p>
        </w:tc>
        <w:tc>
          <w:tcPr>
            <w:tcW w:w="872" w:type="dxa"/>
            <w:noWrap w:val="0"/>
            <w:vAlign w:val="center"/>
          </w:tcPr>
          <w:p>
            <w:pPr>
              <w:widowControl/>
              <w:snapToGrid w:val="0"/>
              <w:spacing w:line="280" w:lineRule="exact"/>
              <w:jc w:val="center"/>
              <w:rPr>
                <w:rFonts w:eastAsia="方正仿宋_GBK"/>
                <w:color w:val="000000"/>
                <w:sz w:val="18"/>
                <w:szCs w:val="18"/>
              </w:rPr>
            </w:pPr>
            <w:r>
              <w:rPr>
                <w:rFonts w:eastAsia="方正仿宋_GBK"/>
                <w:color w:val="000000"/>
                <w:kern w:val="0"/>
                <w:sz w:val="18"/>
                <w:szCs w:val="18"/>
              </w:rPr>
              <w:t>15</w:t>
            </w:r>
          </w:p>
        </w:tc>
        <w:tc>
          <w:tcPr>
            <w:tcW w:w="1128" w:type="dxa"/>
            <w:noWrap w:val="0"/>
            <w:vAlign w:val="center"/>
          </w:tcPr>
          <w:p>
            <w:pPr>
              <w:widowControl/>
              <w:snapToGrid w:val="0"/>
              <w:spacing w:line="280" w:lineRule="exact"/>
              <w:jc w:val="center"/>
              <w:rPr>
                <w:rFonts w:eastAsia="方正仿宋_GBK"/>
                <w:color w:val="000000"/>
                <w:sz w:val="18"/>
                <w:szCs w:val="18"/>
              </w:rPr>
            </w:pPr>
            <w:r>
              <w:rPr>
                <w:rFonts w:eastAsia="方正仿宋_GBK"/>
                <w:color w:val="000000"/>
                <w:kern w:val="0"/>
                <w:sz w:val="18"/>
                <w:szCs w:val="18"/>
              </w:rPr>
              <w:t>15</w:t>
            </w:r>
          </w:p>
        </w:tc>
        <w:tc>
          <w:tcPr>
            <w:tcW w:w="1128" w:type="dxa"/>
            <w:noWrap w:val="0"/>
            <w:vAlign w:val="center"/>
          </w:tcPr>
          <w:p>
            <w:pPr>
              <w:widowControl/>
              <w:snapToGrid w:val="0"/>
              <w:spacing w:line="280" w:lineRule="exact"/>
              <w:jc w:val="center"/>
              <w:rPr>
                <w:rFonts w:eastAsia="方正仿宋_GBK"/>
                <w:color w:val="000000"/>
                <w:sz w:val="18"/>
                <w:szCs w:val="18"/>
              </w:rPr>
            </w:pPr>
            <w:r>
              <w:rPr>
                <w:rFonts w:eastAsia="方正仿宋_GBK"/>
                <w:color w:val="000000"/>
                <w:kern w:val="0"/>
                <w:sz w:val="18"/>
                <w:szCs w:val="18"/>
              </w:rPr>
              <w:t>5</w:t>
            </w:r>
          </w:p>
        </w:tc>
        <w:tc>
          <w:tcPr>
            <w:tcW w:w="1128" w:type="dxa"/>
            <w:noWrap w:val="0"/>
            <w:vAlign w:val="center"/>
          </w:tcPr>
          <w:p>
            <w:pPr>
              <w:widowControl/>
              <w:snapToGrid w:val="0"/>
              <w:spacing w:line="280" w:lineRule="exact"/>
              <w:jc w:val="center"/>
              <w:rPr>
                <w:rFonts w:eastAsia="方正仿宋_GBK"/>
                <w:color w:val="000000"/>
                <w:sz w:val="18"/>
                <w:szCs w:val="18"/>
              </w:rPr>
            </w:pPr>
            <w:r>
              <w:rPr>
                <w:rFonts w:eastAsia="方正仿宋_GBK"/>
                <w:color w:val="000000"/>
                <w:kern w:val="0"/>
                <w:sz w:val="18"/>
                <w:szCs w:val="18"/>
              </w:rPr>
              <w:t>20</w:t>
            </w:r>
          </w:p>
        </w:tc>
        <w:tc>
          <w:tcPr>
            <w:tcW w:w="795" w:type="dxa"/>
            <w:noWrap w:val="0"/>
            <w:vAlign w:val="center"/>
          </w:tcPr>
          <w:p>
            <w:pPr>
              <w:widowControl/>
              <w:snapToGrid w:val="0"/>
              <w:spacing w:line="280" w:lineRule="exact"/>
              <w:jc w:val="center"/>
              <w:rPr>
                <w:rFonts w:eastAsia="方正仿宋_GBK"/>
                <w:color w:val="000000"/>
                <w:sz w:val="18"/>
                <w:szCs w:val="18"/>
              </w:rPr>
            </w:pPr>
            <w:r>
              <w:rPr>
                <w:rFonts w:eastAsia="方正仿宋_GBK"/>
                <w:color w:val="000000"/>
                <w:kern w:val="0"/>
                <w:sz w:val="18"/>
                <w:szCs w:val="18"/>
              </w:rPr>
              <w:t>100</w:t>
            </w:r>
          </w:p>
        </w:tc>
      </w:tr>
    </w:tbl>
    <w:p>
      <w:pPr>
        <w:adjustRightInd w:val="0"/>
        <w:snapToGrid w:val="0"/>
        <w:spacing w:line="578" w:lineRule="exact"/>
        <w:jc w:val="center"/>
        <w:rPr>
          <w:b/>
          <w:bCs/>
          <w:color w:val="000000"/>
          <w:sz w:val="30"/>
          <w:szCs w:val="30"/>
        </w:rPr>
        <w:sectPr>
          <w:headerReference r:id="rId3" w:type="default"/>
          <w:footerReference r:id="rId4" w:type="default"/>
          <w:pgSz w:w="11907" w:h="16840"/>
          <w:pgMar w:top="2098" w:right="1531" w:bottom="1984" w:left="1531" w:header="851" w:footer="1474" w:gutter="0"/>
          <w:cols w:space="720" w:num="1"/>
          <w:docGrid w:linePitch="312" w:charSpace="0"/>
        </w:sectPr>
      </w:pPr>
    </w:p>
    <w:p>
      <w:pPr>
        <w:jc w:val="center"/>
        <w:rPr>
          <w:rFonts w:eastAsia="方正黑体_GBK"/>
          <w:bCs/>
          <w:sz w:val="32"/>
          <w:szCs w:val="32"/>
        </w:rPr>
      </w:pPr>
      <w:bookmarkStart w:id="4" w:name="_Toc12302230"/>
      <w:bookmarkStart w:id="5" w:name="_Toc9272789"/>
      <w:bookmarkStart w:id="6" w:name="_Toc9331202"/>
      <w:bookmarkStart w:id="7" w:name="_Toc12368128"/>
      <w:r>
        <w:rPr>
          <w:rFonts w:eastAsia="方正黑体_GBK"/>
          <w:bCs/>
          <w:sz w:val="32"/>
          <w:szCs w:val="32"/>
        </w:rPr>
        <w:t>3.1.4区域和个别因素修正系数表</w:t>
      </w:r>
      <w:bookmarkEnd w:id="3"/>
      <w:bookmarkEnd w:id="4"/>
      <w:bookmarkEnd w:id="5"/>
      <w:bookmarkEnd w:id="6"/>
      <w:bookmarkEnd w:id="7"/>
      <w:bookmarkStart w:id="8" w:name="_Toc12302231"/>
      <w:bookmarkStart w:id="9" w:name="_Toc12368129"/>
      <w:bookmarkStart w:id="10" w:name="_Toc9272790"/>
      <w:bookmarkStart w:id="11" w:name="_Toc9331203"/>
    </w:p>
    <w:p>
      <w:pPr>
        <w:jc w:val="center"/>
        <w:rPr>
          <w:rFonts w:eastAsia="方正楷体_GBK"/>
          <w:sz w:val="28"/>
          <w:szCs w:val="28"/>
        </w:rPr>
      </w:pPr>
    </w:p>
    <w:p>
      <w:pPr>
        <w:jc w:val="center"/>
        <w:rPr>
          <w:rFonts w:eastAsia="方正楷体_GBK"/>
          <w:sz w:val="28"/>
          <w:szCs w:val="28"/>
        </w:rPr>
      </w:pPr>
      <w:r>
        <w:rPr>
          <w:rFonts w:eastAsia="方正楷体_GBK"/>
          <w:sz w:val="28"/>
          <w:szCs w:val="28"/>
        </w:rPr>
        <w:t>表3.1.4.1：云阳县商服用地基准地价修正因素指标说明及修正系数表</w:t>
      </w:r>
      <w:bookmarkEnd w:id="8"/>
      <w:bookmarkEnd w:id="9"/>
      <w:bookmarkEnd w:id="10"/>
      <w:bookmarkEnd w:id="11"/>
    </w:p>
    <w:tbl>
      <w:tblPr>
        <w:tblStyle w:val="5"/>
        <w:tblW w:w="129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721"/>
        <w:gridCol w:w="1278"/>
        <w:gridCol w:w="1261"/>
        <w:gridCol w:w="1261"/>
        <w:gridCol w:w="1026"/>
        <w:gridCol w:w="1014"/>
        <w:gridCol w:w="959"/>
        <w:gridCol w:w="817"/>
        <w:gridCol w:w="816"/>
        <w:gridCol w:w="817"/>
        <w:gridCol w:w="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731" w:type="dxa"/>
            <w:gridSpan w:val="2"/>
            <w:vMerge w:val="restart"/>
            <w:noWrap w:val="0"/>
            <w:vAlign w:val="center"/>
          </w:tcPr>
          <w:p>
            <w:pPr>
              <w:widowControl/>
              <w:spacing w:line="300" w:lineRule="exact"/>
              <w:jc w:val="center"/>
              <w:rPr>
                <w:rFonts w:eastAsia="方正仿宋_GBK"/>
                <w:b/>
                <w:bCs/>
                <w:color w:val="000000"/>
                <w:kern w:val="0"/>
                <w:sz w:val="18"/>
                <w:szCs w:val="18"/>
              </w:rPr>
            </w:pPr>
            <w:bookmarkStart w:id="12" w:name="_Toc12368133"/>
            <w:bookmarkStart w:id="13" w:name="_Hlk72165214"/>
            <w:bookmarkStart w:id="14" w:name="_Toc9272794"/>
            <w:bookmarkStart w:id="15" w:name="_Toc12302235"/>
            <w:bookmarkStart w:id="16" w:name="_Toc9331207"/>
            <w:r>
              <w:rPr>
                <w:rFonts w:eastAsia="方正仿宋_GBK"/>
                <w:b/>
                <w:bCs/>
                <w:color w:val="000000"/>
                <w:kern w:val="0"/>
                <w:sz w:val="18"/>
                <w:szCs w:val="18"/>
              </w:rPr>
              <w:t>宗地修正因素</w:t>
            </w:r>
          </w:p>
        </w:tc>
        <w:tc>
          <w:tcPr>
            <w:tcW w:w="5840" w:type="dxa"/>
            <w:gridSpan w:val="5"/>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指标说明</w:t>
            </w:r>
          </w:p>
        </w:tc>
        <w:tc>
          <w:tcPr>
            <w:tcW w:w="4373" w:type="dxa"/>
            <w:gridSpan w:val="5"/>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731" w:type="dxa"/>
            <w:gridSpan w:val="2"/>
            <w:vMerge w:val="continue"/>
            <w:noWrap w:val="0"/>
            <w:vAlign w:val="center"/>
          </w:tcPr>
          <w:p>
            <w:pPr>
              <w:widowControl/>
              <w:spacing w:line="300" w:lineRule="exact"/>
              <w:jc w:val="center"/>
              <w:rPr>
                <w:rFonts w:eastAsia="方正仿宋_GBK"/>
                <w:b/>
                <w:bCs/>
                <w:color w:val="000000"/>
                <w:kern w:val="0"/>
                <w:sz w:val="18"/>
                <w:szCs w:val="18"/>
              </w:rPr>
            </w:pPr>
          </w:p>
        </w:tc>
        <w:tc>
          <w:tcPr>
            <w:tcW w:w="1278"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优</w:t>
            </w:r>
          </w:p>
        </w:tc>
        <w:tc>
          <w:tcPr>
            <w:tcW w:w="1261"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较优</w:t>
            </w:r>
          </w:p>
        </w:tc>
        <w:tc>
          <w:tcPr>
            <w:tcW w:w="1261"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一般</w:t>
            </w:r>
          </w:p>
        </w:tc>
        <w:tc>
          <w:tcPr>
            <w:tcW w:w="1026"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较差</w:t>
            </w:r>
          </w:p>
        </w:tc>
        <w:tc>
          <w:tcPr>
            <w:tcW w:w="1014"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差</w:t>
            </w:r>
          </w:p>
        </w:tc>
        <w:tc>
          <w:tcPr>
            <w:tcW w:w="959"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优</w:t>
            </w:r>
          </w:p>
        </w:tc>
        <w:tc>
          <w:tcPr>
            <w:tcW w:w="817"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较优</w:t>
            </w:r>
          </w:p>
        </w:tc>
        <w:tc>
          <w:tcPr>
            <w:tcW w:w="816"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一般</w:t>
            </w:r>
          </w:p>
        </w:tc>
        <w:tc>
          <w:tcPr>
            <w:tcW w:w="817"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较差</w:t>
            </w:r>
          </w:p>
        </w:tc>
        <w:tc>
          <w:tcPr>
            <w:tcW w:w="964"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10" w:type="dxa"/>
            <w:vMerge w:val="restart"/>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区域因素</w:t>
            </w: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距城镇中心距离(m)</w:t>
            </w:r>
          </w:p>
        </w:tc>
        <w:tc>
          <w:tcPr>
            <w:tcW w:w="1278"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500-1000（含）</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1000-2000（含）</w:t>
            </w:r>
          </w:p>
        </w:tc>
        <w:tc>
          <w:tcPr>
            <w:tcW w:w="102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2000-3000（含）</w:t>
            </w:r>
          </w:p>
        </w:tc>
        <w:tc>
          <w:tcPr>
            <w:tcW w:w="101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＞3000</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-2.51%</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-1.26%</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-1.30%</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10" w:type="dxa"/>
            <w:vMerge w:val="continue"/>
            <w:noWrap w:val="0"/>
            <w:vAlign w:val="center"/>
          </w:tcPr>
          <w:p>
            <w:pPr>
              <w:widowControl/>
              <w:spacing w:line="300" w:lineRule="exact"/>
              <w:jc w:val="center"/>
              <w:rPr>
                <w:rFonts w:eastAsia="方正仿宋_GBK"/>
                <w:color w:val="000000"/>
                <w:kern w:val="0"/>
                <w:sz w:val="18"/>
                <w:szCs w:val="18"/>
              </w:rPr>
            </w:pP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距农贸市场、电商营销中心、固定物流配送中心的距离(m)</w:t>
            </w:r>
          </w:p>
        </w:tc>
        <w:tc>
          <w:tcPr>
            <w:tcW w:w="1278"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500-1000（含）</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1000-2000（含）</w:t>
            </w:r>
          </w:p>
        </w:tc>
        <w:tc>
          <w:tcPr>
            <w:tcW w:w="102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2000-3000（含）</w:t>
            </w:r>
          </w:p>
        </w:tc>
        <w:tc>
          <w:tcPr>
            <w:tcW w:w="101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＞3000</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-0.88%</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-0.44%</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10" w:type="dxa"/>
            <w:vMerge w:val="continue"/>
            <w:noWrap w:val="0"/>
            <w:vAlign w:val="center"/>
          </w:tcPr>
          <w:p>
            <w:pPr>
              <w:widowControl/>
              <w:spacing w:line="300" w:lineRule="exact"/>
              <w:jc w:val="center"/>
              <w:rPr>
                <w:rFonts w:eastAsia="方正仿宋_GBK"/>
                <w:color w:val="000000"/>
                <w:kern w:val="0"/>
                <w:sz w:val="18"/>
                <w:szCs w:val="18"/>
              </w:rPr>
            </w:pP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产业规划</w:t>
            </w:r>
          </w:p>
        </w:tc>
        <w:tc>
          <w:tcPr>
            <w:tcW w:w="2539"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旅游业、观光农业</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工业仓储</w:t>
            </w:r>
          </w:p>
        </w:tc>
        <w:tc>
          <w:tcPr>
            <w:tcW w:w="2040"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农业</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-1.63%</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-0.82%</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-0.85%</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10" w:type="dxa"/>
            <w:vMerge w:val="continue"/>
            <w:noWrap w:val="0"/>
            <w:vAlign w:val="center"/>
          </w:tcPr>
          <w:p>
            <w:pPr>
              <w:widowControl/>
              <w:spacing w:line="300" w:lineRule="exact"/>
              <w:jc w:val="center"/>
              <w:rPr>
                <w:rFonts w:eastAsia="方正仿宋_GBK"/>
                <w:color w:val="000000"/>
                <w:kern w:val="0"/>
                <w:sz w:val="18"/>
                <w:szCs w:val="18"/>
              </w:rPr>
            </w:pP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村庄规划</w:t>
            </w:r>
          </w:p>
        </w:tc>
        <w:tc>
          <w:tcPr>
            <w:tcW w:w="2539"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特色保护、城郊融合</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集聚提升</w:t>
            </w:r>
          </w:p>
        </w:tc>
        <w:tc>
          <w:tcPr>
            <w:tcW w:w="2040"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搬迁撤并</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-1.63%</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-0.82%</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-0.85%</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0" w:type="dxa"/>
            <w:vMerge w:val="continue"/>
            <w:noWrap w:val="0"/>
            <w:vAlign w:val="center"/>
          </w:tcPr>
          <w:p>
            <w:pPr>
              <w:widowControl/>
              <w:spacing w:line="300" w:lineRule="exact"/>
              <w:jc w:val="center"/>
              <w:rPr>
                <w:rFonts w:eastAsia="方正仿宋_GBK"/>
                <w:color w:val="000000"/>
                <w:kern w:val="0"/>
                <w:sz w:val="18"/>
                <w:szCs w:val="18"/>
              </w:rPr>
            </w:pP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供水、供电保证度(%)</w:t>
            </w:r>
          </w:p>
        </w:tc>
        <w:tc>
          <w:tcPr>
            <w:tcW w:w="2539"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≥95</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90（含）-95</w:t>
            </w:r>
          </w:p>
        </w:tc>
        <w:tc>
          <w:tcPr>
            <w:tcW w:w="2040"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＜90</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-2.01%</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-1.00%</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-1.04%</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10" w:type="dxa"/>
            <w:vMerge w:val="continue"/>
            <w:noWrap w:val="0"/>
            <w:vAlign w:val="center"/>
          </w:tcPr>
          <w:p>
            <w:pPr>
              <w:widowControl/>
              <w:spacing w:line="300" w:lineRule="exact"/>
              <w:jc w:val="center"/>
              <w:rPr>
                <w:rFonts w:eastAsia="方正仿宋_GBK"/>
                <w:color w:val="000000"/>
                <w:kern w:val="0"/>
                <w:sz w:val="18"/>
                <w:szCs w:val="18"/>
              </w:rPr>
            </w:pP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公用设施完备度</w:t>
            </w:r>
          </w:p>
        </w:tc>
        <w:tc>
          <w:tcPr>
            <w:tcW w:w="1278"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各类公用服务设施齐全，能很好满足居民生活</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公用服务设施较齐全，能较好满足居民生活</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公用服务设施基本齐全，基本能满足居民生活</w:t>
            </w:r>
          </w:p>
        </w:tc>
        <w:tc>
          <w:tcPr>
            <w:tcW w:w="102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公用服务设施不够齐全, 对居民生活有一定影响</w:t>
            </w:r>
          </w:p>
        </w:tc>
        <w:tc>
          <w:tcPr>
            <w:tcW w:w="101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仅零星设施分布有少量公用服务设施</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-2.26%</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-1.13%</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-1.17%</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10" w:type="dxa"/>
            <w:vMerge w:val="restart"/>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个别因素</w:t>
            </w: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噪声、大气污染</w:t>
            </w:r>
          </w:p>
        </w:tc>
        <w:tc>
          <w:tcPr>
            <w:tcW w:w="1278"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无</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轻微污染</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一般</w:t>
            </w:r>
          </w:p>
        </w:tc>
        <w:tc>
          <w:tcPr>
            <w:tcW w:w="102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较重污染</w:t>
            </w:r>
          </w:p>
        </w:tc>
        <w:tc>
          <w:tcPr>
            <w:tcW w:w="101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严重污染</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-0.88%</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-0.44%</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0" w:type="dxa"/>
            <w:vMerge w:val="continue"/>
            <w:noWrap w:val="0"/>
            <w:vAlign w:val="center"/>
          </w:tcPr>
          <w:p>
            <w:pPr>
              <w:widowControl/>
              <w:spacing w:line="300" w:lineRule="exact"/>
              <w:jc w:val="center"/>
              <w:rPr>
                <w:rFonts w:eastAsia="方正仿宋_GBK"/>
                <w:color w:val="000000"/>
                <w:kern w:val="0"/>
                <w:sz w:val="18"/>
                <w:szCs w:val="18"/>
              </w:rPr>
            </w:pP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自然灾害影响情况</w:t>
            </w:r>
          </w:p>
        </w:tc>
        <w:tc>
          <w:tcPr>
            <w:tcW w:w="1278"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无</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危险性小</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危险性中等</w:t>
            </w:r>
          </w:p>
        </w:tc>
        <w:tc>
          <w:tcPr>
            <w:tcW w:w="2040"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危险性高等</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-0.13%</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-0.13%</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-0.06%</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10" w:type="dxa"/>
            <w:vMerge w:val="continue"/>
            <w:noWrap w:val="0"/>
            <w:vAlign w:val="center"/>
          </w:tcPr>
          <w:p>
            <w:pPr>
              <w:widowControl/>
              <w:spacing w:line="300" w:lineRule="exact"/>
              <w:jc w:val="center"/>
              <w:rPr>
                <w:rFonts w:eastAsia="方正仿宋_GBK"/>
                <w:color w:val="000000"/>
                <w:kern w:val="0"/>
                <w:sz w:val="18"/>
                <w:szCs w:val="18"/>
              </w:rPr>
            </w:pP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距旅游景点的距离(m)</w:t>
            </w:r>
          </w:p>
        </w:tc>
        <w:tc>
          <w:tcPr>
            <w:tcW w:w="1278"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500-1000（含）</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1000-1500（含）</w:t>
            </w:r>
          </w:p>
        </w:tc>
        <w:tc>
          <w:tcPr>
            <w:tcW w:w="102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1500-2000（含）</w:t>
            </w:r>
          </w:p>
        </w:tc>
        <w:tc>
          <w:tcPr>
            <w:tcW w:w="101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＞2000</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-0.88%</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-0.44%</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10" w:type="dxa"/>
            <w:vMerge w:val="continue"/>
            <w:noWrap w:val="0"/>
            <w:vAlign w:val="center"/>
          </w:tcPr>
          <w:p>
            <w:pPr>
              <w:widowControl/>
              <w:spacing w:line="300" w:lineRule="exact"/>
              <w:jc w:val="center"/>
              <w:rPr>
                <w:rFonts w:eastAsia="方正仿宋_GBK"/>
                <w:color w:val="000000"/>
                <w:kern w:val="0"/>
                <w:sz w:val="18"/>
                <w:szCs w:val="18"/>
              </w:rPr>
            </w:pP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距山、水景等景观资源的距离(m)</w:t>
            </w:r>
          </w:p>
        </w:tc>
        <w:tc>
          <w:tcPr>
            <w:tcW w:w="1278"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500-1000（含）</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1000-1500（含）</w:t>
            </w:r>
          </w:p>
        </w:tc>
        <w:tc>
          <w:tcPr>
            <w:tcW w:w="102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1500-2000（含）</w:t>
            </w:r>
          </w:p>
        </w:tc>
        <w:tc>
          <w:tcPr>
            <w:tcW w:w="101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＞2000</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-0.88%</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-0.44%</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10" w:type="dxa"/>
            <w:vMerge w:val="continue"/>
            <w:noWrap w:val="0"/>
            <w:vAlign w:val="center"/>
          </w:tcPr>
          <w:p>
            <w:pPr>
              <w:widowControl/>
              <w:spacing w:line="300" w:lineRule="exact"/>
              <w:jc w:val="center"/>
              <w:rPr>
                <w:rFonts w:eastAsia="方正仿宋_GBK"/>
                <w:color w:val="000000"/>
                <w:kern w:val="0"/>
                <w:sz w:val="18"/>
                <w:szCs w:val="18"/>
              </w:rPr>
            </w:pP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宗地整形度</w:t>
            </w:r>
          </w:p>
        </w:tc>
        <w:tc>
          <w:tcPr>
            <w:tcW w:w="1278"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规则</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较规则</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一般</w:t>
            </w:r>
          </w:p>
        </w:tc>
        <w:tc>
          <w:tcPr>
            <w:tcW w:w="102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较不规则</w:t>
            </w:r>
          </w:p>
        </w:tc>
        <w:tc>
          <w:tcPr>
            <w:tcW w:w="101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不规则</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-0.13%</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-0.06%</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-0.07%</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1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合计</w:t>
            </w:r>
          </w:p>
        </w:tc>
        <w:tc>
          <w:tcPr>
            <w:tcW w:w="172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278"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26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02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01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959"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-13.81%</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-6.90%</w:t>
            </w:r>
          </w:p>
        </w:tc>
        <w:tc>
          <w:tcPr>
            <w:tcW w:w="816"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817"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-7.17%</w:t>
            </w:r>
          </w:p>
        </w:tc>
        <w:tc>
          <w:tcPr>
            <w:tcW w:w="964"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-14.34%</w:t>
            </w:r>
          </w:p>
        </w:tc>
      </w:tr>
      <w:bookmarkEnd w:id="12"/>
      <w:bookmarkEnd w:id="13"/>
      <w:bookmarkEnd w:id="14"/>
      <w:bookmarkEnd w:id="15"/>
      <w:bookmarkEnd w:id="16"/>
    </w:tbl>
    <w:p>
      <w:pPr>
        <w:jc w:val="center"/>
        <w:rPr>
          <w:rFonts w:eastAsia="方正楷体_GBK"/>
          <w:sz w:val="28"/>
          <w:szCs w:val="28"/>
        </w:rPr>
        <w:sectPr>
          <w:footerReference r:id="rId5" w:type="default"/>
          <w:footerReference r:id="rId6" w:type="even"/>
          <w:pgSz w:w="16840" w:h="11907" w:orient="landscape"/>
          <w:pgMar w:top="1134" w:right="1134" w:bottom="1134" w:left="1134" w:header="851" w:footer="850" w:gutter="0"/>
          <w:cols w:space="720" w:num="1"/>
          <w:docGrid w:linePitch="312" w:charSpace="0"/>
        </w:sectPr>
      </w:pPr>
    </w:p>
    <w:p>
      <w:pPr>
        <w:jc w:val="center"/>
        <w:rPr>
          <w:rFonts w:eastAsia="方正楷体_GBK"/>
          <w:sz w:val="28"/>
          <w:szCs w:val="28"/>
        </w:rPr>
      </w:pPr>
      <w:r>
        <w:rPr>
          <w:rFonts w:eastAsia="方正楷体_GBK"/>
          <w:sz w:val="28"/>
          <w:szCs w:val="28"/>
        </w:rPr>
        <w:t>表3.1.4.2：云阳县工业仓储用地基准地价修正因素指标说明及修正系数表</w:t>
      </w:r>
    </w:p>
    <w:tbl>
      <w:tblPr>
        <w:tblStyle w:val="5"/>
        <w:tblW w:w="144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491"/>
        <w:gridCol w:w="1317"/>
        <w:gridCol w:w="1484"/>
        <w:gridCol w:w="1499"/>
        <w:gridCol w:w="1233"/>
        <w:gridCol w:w="1169"/>
        <w:gridCol w:w="971"/>
        <w:gridCol w:w="971"/>
        <w:gridCol w:w="929"/>
        <w:gridCol w:w="971"/>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982" w:type="dxa"/>
            <w:gridSpan w:val="2"/>
            <w:vMerge w:val="restart"/>
            <w:noWrap w:val="0"/>
            <w:vAlign w:val="center"/>
          </w:tcPr>
          <w:p>
            <w:pPr>
              <w:widowControl/>
              <w:spacing w:line="320" w:lineRule="exact"/>
              <w:jc w:val="center"/>
              <w:rPr>
                <w:rFonts w:eastAsia="方正仿宋_GBK"/>
                <w:b/>
                <w:bCs/>
                <w:color w:val="000000"/>
                <w:kern w:val="0"/>
                <w:sz w:val="18"/>
                <w:szCs w:val="18"/>
              </w:rPr>
            </w:pPr>
            <w:bookmarkStart w:id="17" w:name="_Hlk72852046"/>
            <w:r>
              <w:rPr>
                <w:rFonts w:eastAsia="方正仿宋_GBK"/>
                <w:b/>
                <w:bCs/>
                <w:color w:val="000000"/>
                <w:kern w:val="0"/>
                <w:sz w:val="18"/>
                <w:szCs w:val="18"/>
              </w:rPr>
              <w:t>宗地修正因素</w:t>
            </w:r>
          </w:p>
        </w:tc>
        <w:tc>
          <w:tcPr>
            <w:tcW w:w="6702" w:type="dxa"/>
            <w:gridSpan w:val="5"/>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指标说明</w:t>
            </w:r>
          </w:p>
        </w:tc>
        <w:tc>
          <w:tcPr>
            <w:tcW w:w="4741" w:type="dxa"/>
            <w:gridSpan w:val="5"/>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982" w:type="dxa"/>
            <w:gridSpan w:val="2"/>
            <w:vMerge w:val="continue"/>
            <w:noWrap w:val="0"/>
            <w:vAlign w:val="center"/>
          </w:tcPr>
          <w:p>
            <w:pPr>
              <w:widowControl/>
              <w:spacing w:line="320" w:lineRule="exact"/>
              <w:jc w:val="center"/>
              <w:rPr>
                <w:rFonts w:eastAsia="方正仿宋_GBK"/>
                <w:b/>
                <w:bCs/>
                <w:color w:val="000000"/>
                <w:kern w:val="0"/>
                <w:sz w:val="18"/>
                <w:szCs w:val="18"/>
              </w:rPr>
            </w:pPr>
          </w:p>
        </w:tc>
        <w:tc>
          <w:tcPr>
            <w:tcW w:w="1317"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优</w:t>
            </w:r>
          </w:p>
        </w:tc>
        <w:tc>
          <w:tcPr>
            <w:tcW w:w="1484"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较优</w:t>
            </w:r>
          </w:p>
        </w:tc>
        <w:tc>
          <w:tcPr>
            <w:tcW w:w="1499"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一般</w:t>
            </w:r>
          </w:p>
        </w:tc>
        <w:tc>
          <w:tcPr>
            <w:tcW w:w="1233"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较差</w:t>
            </w:r>
          </w:p>
        </w:tc>
        <w:tc>
          <w:tcPr>
            <w:tcW w:w="1169"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差</w:t>
            </w:r>
          </w:p>
        </w:tc>
        <w:tc>
          <w:tcPr>
            <w:tcW w:w="971"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优</w:t>
            </w:r>
          </w:p>
        </w:tc>
        <w:tc>
          <w:tcPr>
            <w:tcW w:w="971"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较优</w:t>
            </w:r>
          </w:p>
        </w:tc>
        <w:tc>
          <w:tcPr>
            <w:tcW w:w="929"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一般</w:t>
            </w:r>
          </w:p>
        </w:tc>
        <w:tc>
          <w:tcPr>
            <w:tcW w:w="971"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较差</w:t>
            </w:r>
          </w:p>
        </w:tc>
        <w:tc>
          <w:tcPr>
            <w:tcW w:w="899" w:type="dxa"/>
            <w:noWrap w:val="0"/>
            <w:vAlign w:val="center"/>
          </w:tcPr>
          <w:p>
            <w:pPr>
              <w:widowControl/>
              <w:spacing w:line="320" w:lineRule="exact"/>
              <w:jc w:val="center"/>
              <w:rPr>
                <w:rFonts w:eastAsia="方正仿宋_GBK"/>
                <w:b/>
                <w:bCs/>
                <w:color w:val="000000"/>
                <w:kern w:val="0"/>
                <w:sz w:val="18"/>
                <w:szCs w:val="18"/>
              </w:rPr>
            </w:pPr>
            <w:r>
              <w:rPr>
                <w:rFonts w:eastAsia="方正仿宋_GBK"/>
                <w:b/>
                <w:bCs/>
                <w:color w:val="000000"/>
                <w:kern w:val="0"/>
                <w:sz w:val="18"/>
                <w:szCs w:val="18"/>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491" w:type="dxa"/>
            <w:vMerge w:val="restart"/>
            <w:noWrap w:val="0"/>
            <w:vAlign w:val="center"/>
          </w:tcPr>
          <w:p>
            <w:pPr>
              <w:widowControl/>
              <w:spacing w:line="320" w:lineRule="exact"/>
              <w:jc w:val="center"/>
              <w:rPr>
                <w:rFonts w:eastAsia="方正仿宋_GBK"/>
                <w:color w:val="000000"/>
                <w:kern w:val="0"/>
                <w:sz w:val="18"/>
                <w:szCs w:val="18"/>
              </w:rPr>
            </w:pPr>
            <w:bookmarkStart w:id="18" w:name="_Hlk72165206"/>
            <w:r>
              <w:rPr>
                <w:rFonts w:eastAsia="方正仿宋_GBK"/>
                <w:color w:val="000000"/>
                <w:kern w:val="0"/>
                <w:sz w:val="18"/>
                <w:szCs w:val="18"/>
              </w:rPr>
              <w:t>区域因素</w:t>
            </w: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距城镇中心距离(m)</w:t>
            </w:r>
          </w:p>
        </w:tc>
        <w:tc>
          <w:tcPr>
            <w:tcW w:w="1317"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≤500</w:t>
            </w:r>
          </w:p>
        </w:tc>
        <w:tc>
          <w:tcPr>
            <w:tcW w:w="1484"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500-1000（含）</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1000-2000（含）</w:t>
            </w:r>
          </w:p>
        </w:tc>
        <w:tc>
          <w:tcPr>
            <w:tcW w:w="1233"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2000-3000（含）</w:t>
            </w:r>
          </w:p>
        </w:tc>
        <w:tc>
          <w:tcPr>
            <w:tcW w:w="116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＞3000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1.78%</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0.89%</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0.87%</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1" w:type="dxa"/>
            <w:vMerge w:val="continue"/>
            <w:noWrap w:val="0"/>
            <w:vAlign w:val="center"/>
          </w:tcPr>
          <w:p>
            <w:pPr>
              <w:widowControl/>
              <w:spacing w:line="320" w:lineRule="exact"/>
              <w:jc w:val="center"/>
              <w:rPr>
                <w:rFonts w:eastAsia="方正仿宋_GBK"/>
                <w:color w:val="000000"/>
                <w:kern w:val="0"/>
                <w:sz w:val="18"/>
                <w:szCs w:val="18"/>
              </w:rPr>
            </w:pP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产业规划</w:t>
            </w:r>
          </w:p>
        </w:tc>
        <w:tc>
          <w:tcPr>
            <w:tcW w:w="2801" w:type="dxa"/>
            <w:gridSpan w:val="2"/>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工业仓储</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农业</w:t>
            </w:r>
          </w:p>
        </w:tc>
        <w:tc>
          <w:tcPr>
            <w:tcW w:w="2402" w:type="dxa"/>
            <w:gridSpan w:val="2"/>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旅游业、观光农业</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0.62%</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0.31%</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0.87%</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1" w:type="dxa"/>
            <w:vMerge w:val="continue"/>
            <w:noWrap w:val="0"/>
            <w:vAlign w:val="center"/>
          </w:tcPr>
          <w:p>
            <w:pPr>
              <w:widowControl/>
              <w:spacing w:line="320" w:lineRule="exact"/>
              <w:jc w:val="center"/>
              <w:rPr>
                <w:rFonts w:eastAsia="方正仿宋_GBK"/>
                <w:color w:val="000000"/>
                <w:kern w:val="0"/>
                <w:sz w:val="18"/>
                <w:szCs w:val="18"/>
              </w:rPr>
            </w:pP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村庄规划</w:t>
            </w:r>
          </w:p>
        </w:tc>
        <w:tc>
          <w:tcPr>
            <w:tcW w:w="2801" w:type="dxa"/>
            <w:gridSpan w:val="2"/>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特色保护、城郊融合</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集聚提升</w:t>
            </w:r>
          </w:p>
        </w:tc>
        <w:tc>
          <w:tcPr>
            <w:tcW w:w="2402" w:type="dxa"/>
            <w:gridSpan w:val="2"/>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搬迁撤并</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1.16%</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0.58%</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0.20%</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491" w:type="dxa"/>
            <w:vMerge w:val="continue"/>
            <w:noWrap w:val="0"/>
            <w:vAlign w:val="center"/>
          </w:tcPr>
          <w:p>
            <w:pPr>
              <w:widowControl/>
              <w:spacing w:line="320" w:lineRule="exact"/>
              <w:jc w:val="center"/>
              <w:rPr>
                <w:rFonts w:eastAsia="方正仿宋_GBK"/>
                <w:color w:val="000000"/>
                <w:kern w:val="0"/>
                <w:sz w:val="18"/>
                <w:szCs w:val="18"/>
              </w:rPr>
            </w:pP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距高速公路出口距离(m)</w:t>
            </w:r>
          </w:p>
        </w:tc>
        <w:tc>
          <w:tcPr>
            <w:tcW w:w="1317"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≤500</w:t>
            </w:r>
          </w:p>
        </w:tc>
        <w:tc>
          <w:tcPr>
            <w:tcW w:w="1484"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500-1000（含）</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1000-2000（含）</w:t>
            </w:r>
          </w:p>
        </w:tc>
        <w:tc>
          <w:tcPr>
            <w:tcW w:w="1233"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2000-3000（含）</w:t>
            </w:r>
          </w:p>
        </w:tc>
        <w:tc>
          <w:tcPr>
            <w:tcW w:w="116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＞3000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1.16%</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0.58%</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0.60%</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491" w:type="dxa"/>
            <w:vMerge w:val="continue"/>
            <w:noWrap w:val="0"/>
            <w:vAlign w:val="center"/>
          </w:tcPr>
          <w:p>
            <w:pPr>
              <w:widowControl/>
              <w:spacing w:line="320" w:lineRule="exact"/>
              <w:jc w:val="center"/>
              <w:rPr>
                <w:rFonts w:eastAsia="方正仿宋_GBK"/>
                <w:color w:val="000000"/>
                <w:kern w:val="0"/>
                <w:sz w:val="18"/>
                <w:szCs w:val="18"/>
              </w:rPr>
            </w:pP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供水、供电保证度(%)</w:t>
            </w:r>
          </w:p>
        </w:tc>
        <w:tc>
          <w:tcPr>
            <w:tcW w:w="2801" w:type="dxa"/>
            <w:gridSpan w:val="2"/>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≥95</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90（含）-95</w:t>
            </w:r>
          </w:p>
        </w:tc>
        <w:tc>
          <w:tcPr>
            <w:tcW w:w="2402" w:type="dxa"/>
            <w:gridSpan w:val="2"/>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＜90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1.43%</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0.71%</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0.60%</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1" w:type="dxa"/>
            <w:vMerge w:val="continue"/>
            <w:noWrap w:val="0"/>
            <w:vAlign w:val="center"/>
          </w:tcPr>
          <w:p>
            <w:pPr>
              <w:widowControl/>
              <w:spacing w:line="320" w:lineRule="exact"/>
              <w:jc w:val="center"/>
              <w:rPr>
                <w:rFonts w:eastAsia="方正仿宋_GBK"/>
                <w:color w:val="000000"/>
                <w:kern w:val="0"/>
                <w:sz w:val="18"/>
                <w:szCs w:val="18"/>
              </w:rPr>
            </w:pP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产业类型</w:t>
            </w:r>
          </w:p>
        </w:tc>
        <w:tc>
          <w:tcPr>
            <w:tcW w:w="2801" w:type="dxa"/>
            <w:gridSpan w:val="2"/>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物流仓储</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普通工业</w:t>
            </w:r>
          </w:p>
        </w:tc>
        <w:tc>
          <w:tcPr>
            <w:tcW w:w="2402" w:type="dxa"/>
            <w:gridSpan w:val="2"/>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农产品加工</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1.61%</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0.80%</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1.07%</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2.13%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491" w:type="dxa"/>
            <w:vMerge w:val="restart"/>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个别因素</w:t>
            </w: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自然灾害影响情况</w:t>
            </w:r>
          </w:p>
        </w:tc>
        <w:tc>
          <w:tcPr>
            <w:tcW w:w="1317"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无</w:t>
            </w:r>
          </w:p>
        </w:tc>
        <w:tc>
          <w:tcPr>
            <w:tcW w:w="1484"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危险性小</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危险性中等</w:t>
            </w:r>
          </w:p>
        </w:tc>
        <w:tc>
          <w:tcPr>
            <w:tcW w:w="2402" w:type="dxa"/>
            <w:gridSpan w:val="2"/>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危险性高等</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0.62%</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0.31%</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0.20%</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491" w:type="dxa"/>
            <w:vMerge w:val="continue"/>
            <w:noWrap w:val="0"/>
            <w:vAlign w:val="center"/>
          </w:tcPr>
          <w:p>
            <w:pPr>
              <w:widowControl/>
              <w:spacing w:line="320" w:lineRule="exact"/>
              <w:jc w:val="center"/>
              <w:rPr>
                <w:rFonts w:eastAsia="方正仿宋_GBK"/>
                <w:color w:val="000000"/>
                <w:kern w:val="0"/>
                <w:sz w:val="18"/>
                <w:szCs w:val="18"/>
              </w:rPr>
            </w:pP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宗地坡度</w:t>
            </w:r>
          </w:p>
        </w:tc>
        <w:tc>
          <w:tcPr>
            <w:tcW w:w="1317"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≤5°</w:t>
            </w:r>
          </w:p>
        </w:tc>
        <w:tc>
          <w:tcPr>
            <w:tcW w:w="1484"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5-10°（含）</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10-15°（含）</w:t>
            </w:r>
          </w:p>
        </w:tc>
        <w:tc>
          <w:tcPr>
            <w:tcW w:w="1233"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15-25°（含）</w:t>
            </w:r>
          </w:p>
        </w:tc>
        <w:tc>
          <w:tcPr>
            <w:tcW w:w="116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＞25°</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0.09%</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0.04%</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0.20%</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1" w:type="dxa"/>
            <w:vMerge w:val="continue"/>
            <w:noWrap w:val="0"/>
            <w:vAlign w:val="center"/>
          </w:tcPr>
          <w:p>
            <w:pPr>
              <w:widowControl/>
              <w:spacing w:line="320" w:lineRule="exact"/>
              <w:jc w:val="center"/>
              <w:rPr>
                <w:rFonts w:eastAsia="方正仿宋_GBK"/>
                <w:color w:val="000000"/>
                <w:kern w:val="0"/>
                <w:sz w:val="18"/>
                <w:szCs w:val="18"/>
              </w:rPr>
            </w:pP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宗地整形度</w:t>
            </w:r>
          </w:p>
        </w:tc>
        <w:tc>
          <w:tcPr>
            <w:tcW w:w="1317"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规则</w:t>
            </w:r>
          </w:p>
        </w:tc>
        <w:tc>
          <w:tcPr>
            <w:tcW w:w="1484"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较规则</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一般</w:t>
            </w:r>
          </w:p>
        </w:tc>
        <w:tc>
          <w:tcPr>
            <w:tcW w:w="1233"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较不规则</w:t>
            </w:r>
          </w:p>
        </w:tc>
        <w:tc>
          <w:tcPr>
            <w:tcW w:w="116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不规则</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0.62%</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0.31%</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0.20%</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合计</w:t>
            </w:r>
          </w:p>
        </w:tc>
        <w:tc>
          <w:tcPr>
            <w:tcW w:w="149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w:t>
            </w:r>
          </w:p>
        </w:tc>
        <w:tc>
          <w:tcPr>
            <w:tcW w:w="1317"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w:t>
            </w:r>
          </w:p>
        </w:tc>
        <w:tc>
          <w:tcPr>
            <w:tcW w:w="1484"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w:t>
            </w:r>
          </w:p>
        </w:tc>
        <w:tc>
          <w:tcPr>
            <w:tcW w:w="14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w:t>
            </w:r>
          </w:p>
        </w:tc>
        <w:tc>
          <w:tcPr>
            <w:tcW w:w="1233"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w:t>
            </w:r>
          </w:p>
        </w:tc>
        <w:tc>
          <w:tcPr>
            <w:tcW w:w="116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9.10%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4.55%</w:t>
            </w:r>
          </w:p>
        </w:tc>
        <w:tc>
          <w:tcPr>
            <w:tcW w:w="92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0</w:t>
            </w:r>
          </w:p>
        </w:tc>
        <w:tc>
          <w:tcPr>
            <w:tcW w:w="971"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4.80%</w:t>
            </w:r>
          </w:p>
        </w:tc>
        <w:tc>
          <w:tcPr>
            <w:tcW w:w="899" w:type="dxa"/>
            <w:noWrap w:val="0"/>
            <w:vAlign w:val="center"/>
          </w:tcPr>
          <w:p>
            <w:pPr>
              <w:widowControl/>
              <w:spacing w:line="320" w:lineRule="exact"/>
              <w:jc w:val="center"/>
              <w:rPr>
                <w:rFonts w:eastAsia="方正仿宋_GBK"/>
                <w:color w:val="000000"/>
                <w:kern w:val="0"/>
                <w:sz w:val="18"/>
                <w:szCs w:val="18"/>
              </w:rPr>
            </w:pPr>
            <w:r>
              <w:rPr>
                <w:rFonts w:eastAsia="方正仿宋_GBK"/>
                <w:color w:val="000000"/>
                <w:kern w:val="0"/>
                <w:sz w:val="18"/>
                <w:szCs w:val="18"/>
              </w:rPr>
              <w:t>9.61%</w:t>
            </w:r>
          </w:p>
        </w:tc>
      </w:tr>
      <w:bookmarkEnd w:id="17"/>
      <w:bookmarkEnd w:id="18"/>
    </w:tbl>
    <w:p/>
    <w:p>
      <w:pPr>
        <w:widowControl/>
        <w:jc w:val="center"/>
        <w:rPr>
          <w:rFonts w:eastAsia="方正楷体_GBK"/>
          <w:sz w:val="28"/>
          <w:szCs w:val="28"/>
        </w:rPr>
      </w:pPr>
      <w:r>
        <w:br w:type="page"/>
      </w:r>
      <w:r>
        <w:rPr>
          <w:rFonts w:eastAsia="方正楷体_GBK"/>
          <w:sz w:val="28"/>
          <w:szCs w:val="28"/>
        </w:rPr>
        <w:t>表3.1.4.3：云阳县公共管理与公共服务用地基准地价修正因素指标说明及修正系数表</w:t>
      </w:r>
    </w:p>
    <w:tbl>
      <w:tblPr>
        <w:tblStyle w:val="5"/>
        <w:tblW w:w="129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081"/>
        <w:gridCol w:w="1080"/>
        <w:gridCol w:w="1082"/>
        <w:gridCol w:w="1081"/>
        <w:gridCol w:w="1081"/>
        <w:gridCol w:w="1083"/>
        <w:gridCol w:w="1081"/>
        <w:gridCol w:w="1080"/>
        <w:gridCol w:w="1080"/>
        <w:gridCol w:w="1081"/>
        <w:gridCol w:w="10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162" w:type="dxa"/>
            <w:gridSpan w:val="2"/>
            <w:vMerge w:val="restart"/>
            <w:noWrap w:val="0"/>
            <w:vAlign w:val="center"/>
          </w:tcPr>
          <w:p>
            <w:pPr>
              <w:widowControl/>
              <w:spacing w:line="300" w:lineRule="exact"/>
              <w:jc w:val="center"/>
              <w:rPr>
                <w:rFonts w:eastAsia="方正仿宋_GBK"/>
                <w:b/>
                <w:bCs/>
                <w:color w:val="000000"/>
                <w:kern w:val="0"/>
                <w:sz w:val="18"/>
                <w:szCs w:val="18"/>
              </w:rPr>
            </w:pPr>
            <w:bookmarkStart w:id="19" w:name="_Hlk72165198"/>
            <w:r>
              <w:rPr>
                <w:rFonts w:eastAsia="方正仿宋_GBK"/>
                <w:b/>
                <w:bCs/>
                <w:color w:val="000000"/>
                <w:kern w:val="0"/>
                <w:sz w:val="18"/>
                <w:szCs w:val="18"/>
              </w:rPr>
              <w:t>宗地修正因素</w:t>
            </w:r>
          </w:p>
        </w:tc>
        <w:tc>
          <w:tcPr>
            <w:tcW w:w="5407" w:type="dxa"/>
            <w:gridSpan w:val="5"/>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指标说明</w:t>
            </w:r>
          </w:p>
        </w:tc>
        <w:tc>
          <w:tcPr>
            <w:tcW w:w="5412" w:type="dxa"/>
            <w:gridSpan w:val="5"/>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修正系数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162" w:type="dxa"/>
            <w:gridSpan w:val="2"/>
            <w:vMerge w:val="continue"/>
            <w:noWrap w:val="0"/>
            <w:vAlign w:val="center"/>
          </w:tcPr>
          <w:p>
            <w:pPr>
              <w:widowControl/>
              <w:spacing w:line="300" w:lineRule="exact"/>
              <w:jc w:val="center"/>
              <w:rPr>
                <w:rFonts w:eastAsia="方正仿宋_GBK"/>
                <w:b/>
                <w:bCs/>
                <w:color w:val="000000"/>
                <w:kern w:val="0"/>
                <w:sz w:val="18"/>
                <w:szCs w:val="18"/>
              </w:rPr>
            </w:pPr>
          </w:p>
        </w:tc>
        <w:tc>
          <w:tcPr>
            <w:tcW w:w="1080"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优</w:t>
            </w:r>
          </w:p>
        </w:tc>
        <w:tc>
          <w:tcPr>
            <w:tcW w:w="1082"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较优</w:t>
            </w:r>
          </w:p>
        </w:tc>
        <w:tc>
          <w:tcPr>
            <w:tcW w:w="1081"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一般</w:t>
            </w:r>
          </w:p>
        </w:tc>
        <w:tc>
          <w:tcPr>
            <w:tcW w:w="1081"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较差</w:t>
            </w:r>
          </w:p>
        </w:tc>
        <w:tc>
          <w:tcPr>
            <w:tcW w:w="1083"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差</w:t>
            </w:r>
          </w:p>
        </w:tc>
        <w:tc>
          <w:tcPr>
            <w:tcW w:w="1081"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优</w:t>
            </w:r>
          </w:p>
        </w:tc>
        <w:tc>
          <w:tcPr>
            <w:tcW w:w="1080"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较优</w:t>
            </w:r>
          </w:p>
        </w:tc>
        <w:tc>
          <w:tcPr>
            <w:tcW w:w="1080"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一般</w:t>
            </w:r>
          </w:p>
        </w:tc>
        <w:tc>
          <w:tcPr>
            <w:tcW w:w="1081"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较差</w:t>
            </w:r>
          </w:p>
        </w:tc>
        <w:tc>
          <w:tcPr>
            <w:tcW w:w="1081" w:type="dxa"/>
            <w:noWrap w:val="0"/>
            <w:vAlign w:val="center"/>
          </w:tcPr>
          <w:p>
            <w:pPr>
              <w:widowControl/>
              <w:spacing w:line="300" w:lineRule="exact"/>
              <w:jc w:val="center"/>
              <w:rPr>
                <w:rFonts w:eastAsia="方正仿宋_GBK"/>
                <w:b/>
                <w:bCs/>
                <w:color w:val="000000"/>
                <w:kern w:val="0"/>
                <w:sz w:val="18"/>
                <w:szCs w:val="18"/>
              </w:rPr>
            </w:pPr>
            <w:r>
              <w:rPr>
                <w:rFonts w:eastAsia="方正仿宋_GBK"/>
                <w:b/>
                <w:bCs/>
                <w:color w:val="000000"/>
                <w:kern w:val="0"/>
                <w:sz w:val="18"/>
                <w:szCs w:val="18"/>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81" w:type="dxa"/>
            <w:vMerge w:val="restart"/>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区域因素</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距城镇中心距离(m)</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≤1000</w:t>
            </w:r>
          </w:p>
        </w:tc>
        <w:tc>
          <w:tcPr>
            <w:tcW w:w="1082"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1000-2000（含）</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2000-3000（含）</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3000-4000（含）</w:t>
            </w:r>
          </w:p>
        </w:tc>
        <w:tc>
          <w:tcPr>
            <w:tcW w:w="1083"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＞4000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2.74%</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1.37%</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-1.30%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81" w:type="dxa"/>
            <w:vMerge w:val="continue"/>
            <w:noWrap w:val="0"/>
            <w:vAlign w:val="center"/>
          </w:tcPr>
          <w:p>
            <w:pPr>
              <w:widowControl/>
              <w:spacing w:line="300" w:lineRule="exact"/>
              <w:jc w:val="center"/>
              <w:rPr>
                <w:rFonts w:eastAsia="方正仿宋_GBK"/>
                <w:color w:val="000000"/>
                <w:kern w:val="0"/>
                <w:sz w:val="18"/>
                <w:szCs w:val="18"/>
              </w:rPr>
            </w:pP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产业规划</w:t>
            </w:r>
          </w:p>
        </w:tc>
        <w:tc>
          <w:tcPr>
            <w:tcW w:w="2162"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旅游业、观光农业</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工业仓储</w:t>
            </w:r>
          </w:p>
        </w:tc>
        <w:tc>
          <w:tcPr>
            <w:tcW w:w="2164"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农业</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1.98%</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0.99%</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-0.94%</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81" w:type="dxa"/>
            <w:vMerge w:val="continue"/>
            <w:noWrap w:val="0"/>
            <w:vAlign w:val="center"/>
          </w:tcPr>
          <w:p>
            <w:pPr>
              <w:widowControl/>
              <w:spacing w:line="300" w:lineRule="exact"/>
              <w:jc w:val="center"/>
              <w:rPr>
                <w:rFonts w:eastAsia="方正仿宋_GBK"/>
                <w:color w:val="000000"/>
                <w:kern w:val="0"/>
                <w:sz w:val="18"/>
                <w:szCs w:val="18"/>
              </w:rPr>
            </w:pP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村庄规划</w:t>
            </w:r>
          </w:p>
        </w:tc>
        <w:tc>
          <w:tcPr>
            <w:tcW w:w="2162"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特色保护、城郊融合</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集聚提升</w:t>
            </w:r>
          </w:p>
        </w:tc>
        <w:tc>
          <w:tcPr>
            <w:tcW w:w="2164"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搬迁撤并</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1.07%</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0.53%</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-0.51%</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81" w:type="dxa"/>
            <w:vMerge w:val="continue"/>
            <w:noWrap w:val="0"/>
            <w:vAlign w:val="center"/>
          </w:tcPr>
          <w:p>
            <w:pPr>
              <w:widowControl/>
              <w:spacing w:line="300" w:lineRule="exact"/>
              <w:jc w:val="center"/>
              <w:rPr>
                <w:rFonts w:eastAsia="方正仿宋_GBK"/>
                <w:color w:val="000000"/>
                <w:kern w:val="0"/>
                <w:sz w:val="18"/>
                <w:szCs w:val="18"/>
              </w:rPr>
            </w:pP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供水、供电保证度(%)</w:t>
            </w:r>
          </w:p>
        </w:tc>
        <w:tc>
          <w:tcPr>
            <w:tcW w:w="2162"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≥95</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90（含）-95</w:t>
            </w:r>
          </w:p>
        </w:tc>
        <w:tc>
          <w:tcPr>
            <w:tcW w:w="2164" w:type="dxa"/>
            <w:gridSpan w:val="2"/>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＜90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2.44%</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1.22%</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-1.16%</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81" w:type="dxa"/>
            <w:vMerge w:val="continue"/>
            <w:noWrap w:val="0"/>
            <w:vAlign w:val="center"/>
          </w:tcPr>
          <w:p>
            <w:pPr>
              <w:widowControl/>
              <w:spacing w:line="300" w:lineRule="exact"/>
              <w:jc w:val="center"/>
              <w:rPr>
                <w:rFonts w:eastAsia="方正仿宋_GBK"/>
                <w:color w:val="000000"/>
                <w:kern w:val="0"/>
                <w:sz w:val="18"/>
                <w:szCs w:val="18"/>
              </w:rPr>
            </w:pP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人口密度</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高</w:t>
            </w:r>
          </w:p>
        </w:tc>
        <w:tc>
          <w:tcPr>
            <w:tcW w:w="1082"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较高</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一般</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较低</w:t>
            </w:r>
          </w:p>
        </w:tc>
        <w:tc>
          <w:tcPr>
            <w:tcW w:w="1083"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低</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-0.43%</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81" w:type="dxa"/>
            <w:vMerge w:val="restart"/>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个别因素</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噪声、大气污染</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无</w:t>
            </w:r>
          </w:p>
        </w:tc>
        <w:tc>
          <w:tcPr>
            <w:tcW w:w="1082"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轻微污染</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一般</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较重污染</w:t>
            </w:r>
          </w:p>
        </w:tc>
        <w:tc>
          <w:tcPr>
            <w:tcW w:w="1083"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严重污染</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-0.43%</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81" w:type="dxa"/>
            <w:vMerge w:val="continue"/>
            <w:noWrap w:val="0"/>
            <w:vAlign w:val="center"/>
          </w:tcPr>
          <w:p>
            <w:pPr>
              <w:widowControl/>
              <w:spacing w:line="300" w:lineRule="exact"/>
              <w:jc w:val="center"/>
              <w:rPr>
                <w:rFonts w:eastAsia="方正仿宋_GBK"/>
                <w:color w:val="000000"/>
                <w:kern w:val="0"/>
                <w:sz w:val="18"/>
                <w:szCs w:val="18"/>
              </w:rPr>
            </w:pP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距旅游景点的距离(m)</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w:t>
            </w:r>
          </w:p>
        </w:tc>
        <w:tc>
          <w:tcPr>
            <w:tcW w:w="1082"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500-1000（含）</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1000-1500（含）</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1500-2000（含）</w:t>
            </w:r>
          </w:p>
        </w:tc>
        <w:tc>
          <w:tcPr>
            <w:tcW w:w="1083"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-0.43%</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081" w:type="dxa"/>
            <w:vMerge w:val="continue"/>
            <w:noWrap w:val="0"/>
            <w:vAlign w:val="center"/>
          </w:tcPr>
          <w:p>
            <w:pPr>
              <w:widowControl/>
              <w:spacing w:line="300" w:lineRule="exact"/>
              <w:jc w:val="center"/>
              <w:rPr>
                <w:rFonts w:eastAsia="方正仿宋_GBK"/>
                <w:color w:val="000000"/>
                <w:kern w:val="0"/>
                <w:sz w:val="18"/>
                <w:szCs w:val="18"/>
              </w:rPr>
            </w:pP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距山、水景等景观资源的距离(m)</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w:t>
            </w:r>
          </w:p>
        </w:tc>
        <w:tc>
          <w:tcPr>
            <w:tcW w:w="1082"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500-1000（含）</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1000-1500（含）</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1500-2000（含）</w:t>
            </w:r>
          </w:p>
        </w:tc>
        <w:tc>
          <w:tcPr>
            <w:tcW w:w="1083"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-0.43%</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81" w:type="dxa"/>
            <w:vMerge w:val="continue"/>
            <w:noWrap w:val="0"/>
            <w:vAlign w:val="center"/>
          </w:tcPr>
          <w:p>
            <w:pPr>
              <w:widowControl/>
              <w:spacing w:line="300" w:lineRule="exact"/>
              <w:jc w:val="center"/>
              <w:rPr>
                <w:rFonts w:eastAsia="方正仿宋_GBK"/>
                <w:color w:val="000000"/>
                <w:kern w:val="0"/>
                <w:sz w:val="18"/>
                <w:szCs w:val="18"/>
              </w:rPr>
            </w:pP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宗地坡度</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w:t>
            </w:r>
          </w:p>
        </w:tc>
        <w:tc>
          <w:tcPr>
            <w:tcW w:w="1082"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5-10°（含）</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10-15°（含）</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15-25°（含）</w:t>
            </w:r>
          </w:p>
        </w:tc>
        <w:tc>
          <w:tcPr>
            <w:tcW w:w="1083"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＞25°</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-0.43%</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81" w:type="dxa"/>
            <w:vMerge w:val="continue"/>
            <w:noWrap w:val="0"/>
            <w:vAlign w:val="center"/>
          </w:tcPr>
          <w:p>
            <w:pPr>
              <w:widowControl/>
              <w:spacing w:line="300" w:lineRule="exact"/>
              <w:jc w:val="center"/>
              <w:rPr>
                <w:rFonts w:eastAsia="方正仿宋_GBK"/>
                <w:color w:val="000000"/>
                <w:kern w:val="0"/>
                <w:sz w:val="18"/>
                <w:szCs w:val="18"/>
              </w:rPr>
            </w:pP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宗地整形度</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规则</w:t>
            </w:r>
          </w:p>
        </w:tc>
        <w:tc>
          <w:tcPr>
            <w:tcW w:w="1082"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较规则</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一般</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较不规则</w:t>
            </w:r>
          </w:p>
        </w:tc>
        <w:tc>
          <w:tcPr>
            <w:tcW w:w="1083"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不规则</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0.91%</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0.46%</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0.00%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-0.43%</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合计</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082"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083"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13.70%</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6.85%</w:t>
            </w:r>
          </w:p>
        </w:tc>
        <w:tc>
          <w:tcPr>
            <w:tcW w:w="1080"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-6.50%</w:t>
            </w:r>
          </w:p>
        </w:tc>
        <w:tc>
          <w:tcPr>
            <w:tcW w:w="1081" w:type="dxa"/>
            <w:noWrap w:val="0"/>
            <w:vAlign w:val="center"/>
          </w:tcPr>
          <w:p>
            <w:pPr>
              <w:widowControl/>
              <w:spacing w:line="300" w:lineRule="exact"/>
              <w:jc w:val="center"/>
              <w:rPr>
                <w:rFonts w:eastAsia="方正仿宋_GBK"/>
                <w:color w:val="000000"/>
                <w:kern w:val="0"/>
                <w:sz w:val="18"/>
                <w:szCs w:val="18"/>
              </w:rPr>
            </w:pPr>
            <w:r>
              <w:rPr>
                <w:rFonts w:eastAsia="方正仿宋_GBK"/>
                <w:color w:val="000000"/>
                <w:kern w:val="0"/>
                <w:sz w:val="18"/>
                <w:szCs w:val="18"/>
              </w:rPr>
              <w:t>-13.00%</w:t>
            </w:r>
          </w:p>
        </w:tc>
      </w:tr>
      <w:bookmarkEnd w:id="19"/>
    </w:tbl>
    <w:p/>
    <w:p>
      <w:pPr>
        <w:sectPr>
          <w:pgSz w:w="16840" w:h="11907" w:orient="landscape"/>
          <w:pgMar w:top="1701" w:right="1134" w:bottom="1984" w:left="1134" w:header="851" w:footer="1474" w:gutter="0"/>
          <w:cols w:space="720" w:num="1"/>
          <w:docGrid w:linePitch="312" w:charSpace="0"/>
        </w:sectPr>
      </w:pPr>
    </w:p>
    <w:p>
      <w:pPr>
        <w:spacing w:line="578" w:lineRule="exact"/>
        <w:rPr>
          <w:rFonts w:hint="eastAsia" w:eastAsia="方正黑体_GBK"/>
          <w:bCs/>
          <w:sz w:val="32"/>
          <w:szCs w:val="32"/>
          <w:lang w:val="en-US" w:eastAsia="zh-CN"/>
        </w:rPr>
      </w:pPr>
      <w:r>
        <w:rPr>
          <w:rFonts w:eastAsia="方正黑体_GBK"/>
          <w:bCs/>
          <w:sz w:val="32"/>
          <w:szCs w:val="32"/>
        </w:rPr>
        <w:t>附件</w:t>
      </w:r>
      <w:r>
        <w:rPr>
          <w:rFonts w:hint="eastAsia" w:eastAsia="方正黑体_GBK"/>
          <w:bCs/>
          <w:sz w:val="32"/>
          <w:szCs w:val="32"/>
          <w:lang w:val="en-US" w:eastAsia="zh-CN"/>
        </w:rPr>
        <w:t>4</w:t>
      </w:r>
    </w:p>
    <w:p>
      <w:pPr>
        <w:pStyle w:val="2"/>
        <w:rPr>
          <w:rFonts w:hint="eastAsia"/>
          <w:lang w:eastAsia="zh-CN"/>
        </w:rPr>
      </w:pPr>
    </w:p>
    <w:p>
      <w:pPr>
        <w:widowControl/>
        <w:spacing w:line="720" w:lineRule="exact"/>
        <w:jc w:val="center"/>
        <w:rPr>
          <w:rFonts w:eastAsia="方正小标宋_GBK"/>
          <w:bCs/>
          <w:sz w:val="44"/>
          <w:szCs w:val="44"/>
        </w:rPr>
      </w:pPr>
      <w:r>
        <w:rPr>
          <w:rFonts w:eastAsia="方正小标宋_GBK"/>
          <w:bCs/>
          <w:sz w:val="44"/>
          <w:szCs w:val="44"/>
        </w:rPr>
        <w:t>重庆市云阳县集体建设用地</w:t>
      </w:r>
    </w:p>
    <w:p>
      <w:pPr>
        <w:widowControl/>
        <w:spacing w:line="720" w:lineRule="exact"/>
        <w:jc w:val="center"/>
        <w:rPr>
          <w:rFonts w:eastAsia="方正小标宋_GBK"/>
          <w:bCs/>
          <w:sz w:val="44"/>
          <w:szCs w:val="44"/>
        </w:rPr>
      </w:pPr>
      <w:r>
        <w:rPr>
          <w:rFonts w:eastAsia="方正小标宋_GBK"/>
          <w:bCs/>
          <w:sz w:val="44"/>
          <w:szCs w:val="44"/>
        </w:rPr>
        <w:t>土地级别和基准地价图</w:t>
      </w:r>
    </w:p>
    <w:p>
      <w:pPr>
        <w:spacing w:line="240" w:lineRule="auto"/>
        <w:jc w:val="left"/>
        <w:rPr>
          <w:rFonts w:eastAsia="黑体"/>
          <w:sz w:val="18"/>
          <w:szCs w:val="18"/>
        </w:rPr>
      </w:pPr>
    </w:p>
    <w:p>
      <w:pPr>
        <w:pStyle w:val="2"/>
        <w:jc w:val="center"/>
      </w:pPr>
      <w:r>
        <w:rPr>
          <w:rFonts w:eastAsia="黑体"/>
          <w:sz w:val="18"/>
          <w:szCs w:val="18"/>
        </w:rPr>
        <w:drawing>
          <wp:inline distT="0" distB="0" distL="114300" distR="114300">
            <wp:extent cx="4637405" cy="6116955"/>
            <wp:effectExtent l="0" t="0" r="10795" b="171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4637405" cy="6116955"/>
                    </a:xfrm>
                    <a:prstGeom prst="rect">
                      <a:avLst/>
                    </a:prstGeom>
                    <a:noFill/>
                    <a:ln>
                      <a:noFill/>
                    </a:ln>
                  </pic:spPr>
                </pic:pic>
              </a:graphicData>
            </a:graphic>
          </wp:inline>
        </w:drawing>
      </w:r>
    </w:p>
    <w:p>
      <w:pPr>
        <w:spacing w:line="560" w:lineRule="exact"/>
        <w:jc w:val="left"/>
        <w:rPr>
          <w:rFonts w:eastAsia="黑体"/>
          <w:sz w:val="18"/>
          <w:szCs w:val="18"/>
        </w:rPr>
      </w:pPr>
    </w:p>
    <w:p>
      <w:pPr>
        <w:spacing w:line="560" w:lineRule="exact"/>
        <w:jc w:val="left"/>
        <w:rPr>
          <w:rFonts w:eastAsia="黑体"/>
          <w:sz w:val="18"/>
          <w:szCs w:val="18"/>
        </w:rPr>
      </w:pPr>
    </w:p>
    <w:p>
      <w:pPr>
        <w:spacing w:line="560" w:lineRule="exact"/>
        <w:jc w:val="left"/>
        <w:rPr>
          <w:rFonts w:eastAsia="黑体"/>
          <w:sz w:val="18"/>
          <w:szCs w:val="18"/>
        </w:rPr>
      </w:pPr>
    </w:p>
    <w:p>
      <w:pPr>
        <w:spacing w:line="240" w:lineRule="auto"/>
        <w:jc w:val="left"/>
        <w:rPr>
          <w:rFonts w:eastAsia="黑体"/>
          <w:sz w:val="18"/>
          <w:szCs w:val="18"/>
        </w:rPr>
      </w:pPr>
    </w:p>
    <w:p>
      <w:pPr>
        <w:spacing w:line="240" w:lineRule="auto"/>
        <w:jc w:val="left"/>
        <w:rPr>
          <w:rFonts w:eastAsia="黑体"/>
          <w:sz w:val="18"/>
          <w:szCs w:val="18"/>
        </w:rPr>
      </w:pPr>
      <w:r>
        <w:rPr>
          <w:rFonts w:eastAsia="黑体"/>
          <w:sz w:val="18"/>
          <w:szCs w:val="18"/>
        </w:rPr>
        <w:drawing>
          <wp:inline distT="0" distB="0" distL="114300" distR="114300">
            <wp:extent cx="5630545" cy="7426325"/>
            <wp:effectExtent l="0" t="0" r="8255" b="317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1"/>
                    <a:stretch>
                      <a:fillRect/>
                    </a:stretch>
                  </pic:blipFill>
                  <pic:spPr>
                    <a:xfrm>
                      <a:off x="0" y="0"/>
                      <a:ext cx="5630545" cy="7426325"/>
                    </a:xfrm>
                    <a:prstGeom prst="rect">
                      <a:avLst/>
                    </a:prstGeom>
                    <a:noFill/>
                    <a:ln>
                      <a:noFill/>
                    </a:ln>
                  </pic:spPr>
                </pic:pic>
              </a:graphicData>
            </a:graphic>
          </wp:inline>
        </w:drawing>
      </w:r>
    </w:p>
    <w:p>
      <w:pPr>
        <w:spacing w:line="240" w:lineRule="auto"/>
        <w:jc w:val="left"/>
        <w:rPr>
          <w:rFonts w:eastAsia="黑体"/>
          <w:sz w:val="18"/>
          <w:szCs w:val="18"/>
        </w:rPr>
      </w:pPr>
    </w:p>
    <w:p>
      <w:pPr>
        <w:spacing w:line="240" w:lineRule="auto"/>
        <w:jc w:val="left"/>
        <w:rPr>
          <w:rFonts w:eastAsia="黑体"/>
          <w:sz w:val="18"/>
          <w:szCs w:val="18"/>
        </w:rPr>
      </w:pPr>
    </w:p>
    <w:p>
      <w:pPr>
        <w:spacing w:line="240" w:lineRule="auto"/>
        <w:jc w:val="left"/>
        <w:rPr>
          <w:rFonts w:eastAsia="黑体"/>
          <w:sz w:val="18"/>
          <w:szCs w:val="18"/>
        </w:rPr>
      </w:pPr>
    </w:p>
    <w:p>
      <w:pPr>
        <w:spacing w:line="240" w:lineRule="auto"/>
        <w:jc w:val="left"/>
        <w:rPr>
          <w:rFonts w:eastAsia="黑体"/>
          <w:sz w:val="18"/>
          <w:szCs w:val="18"/>
        </w:rPr>
      </w:pPr>
    </w:p>
    <w:p>
      <w:pPr>
        <w:spacing w:line="240" w:lineRule="auto"/>
        <w:jc w:val="left"/>
        <w:rPr>
          <w:rFonts w:hint="eastAsia" w:ascii="方正黑体_GBK" w:eastAsia="方正黑体_GBK"/>
          <w:kern w:val="0"/>
          <w:szCs w:val="32"/>
        </w:rPr>
      </w:pPr>
    </w:p>
    <w:p>
      <w:pPr>
        <w:pStyle w:val="2"/>
        <w:rPr>
          <w:rFonts w:hint="eastAsia"/>
        </w:rPr>
      </w:pPr>
    </w:p>
    <w:p>
      <w:pPr>
        <w:spacing w:line="240" w:lineRule="auto"/>
        <w:jc w:val="left"/>
        <w:rPr>
          <w:rFonts w:hint="eastAsia" w:ascii="方正黑体_GBK" w:eastAsia="方正黑体_GBK"/>
          <w:kern w:val="0"/>
          <w:szCs w:val="32"/>
        </w:rPr>
      </w:pPr>
      <w:r>
        <w:rPr>
          <w:rFonts w:eastAsia="黑体"/>
          <w:sz w:val="18"/>
          <w:szCs w:val="18"/>
        </w:rPr>
        <w:drawing>
          <wp:inline distT="0" distB="0" distL="114300" distR="114300">
            <wp:extent cx="5399405" cy="7120890"/>
            <wp:effectExtent l="0" t="0" r="10795" b="381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2"/>
                    <a:stretch>
                      <a:fillRect/>
                    </a:stretch>
                  </pic:blipFill>
                  <pic:spPr>
                    <a:xfrm>
                      <a:off x="0" y="0"/>
                      <a:ext cx="5399405" cy="7120890"/>
                    </a:xfrm>
                    <a:prstGeom prst="rect">
                      <a:avLst/>
                    </a:prstGeom>
                    <a:noFill/>
                    <a:ln>
                      <a:noFill/>
                    </a:ln>
                  </pic:spPr>
                </pic:pic>
              </a:graphicData>
            </a:graphic>
          </wp:inline>
        </w:drawing>
      </w:r>
    </w:p>
    <w:p>
      <w:pPr>
        <w:spacing w:line="240" w:lineRule="auto"/>
        <w:jc w:val="left"/>
        <w:rPr>
          <w:rFonts w:hint="eastAsia" w:ascii="方正黑体_GBK" w:eastAsia="方正黑体_GBK"/>
          <w:kern w:val="0"/>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overflowPunct w:val="0"/>
      <w:topLinePunct/>
      <w:adjustRightInd w:val="0"/>
      <w:ind w:left="210" w:leftChars="100" w:right="210" w:rightChars="100"/>
      <w:jc w:val="right"/>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
                            <w:overflowPunct w:val="0"/>
                            <w:topLinePunct/>
                            <w:adjustRightInd w:val="0"/>
                            <w:ind w:left="210" w:leftChars="100" w:right="210" w:rightChars="100"/>
                            <w:jc w:val="right"/>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O+K7L9IBAAClAwAADgAAAAAAAAABACAAAAAi&#10;AQAAZHJzL2Uyb0RvYy54bWxQSwUGAAAAAAYABgBZAQAAZgUAAAAA&#10;">
              <v:fill on="f" focussize="0,0"/>
              <v:stroke on="f" weight="1.25pt"/>
              <v:imagedata o:title=""/>
              <o:lock v:ext="edit" aspectratio="f"/>
              <v:textbox inset="0mm,0mm,0mm,0mm" style="mso-fit-shape-to-text:t;">
                <w:txbxContent>
                  <w:p>
                    <w:pPr>
                      <w:pStyle w:val="3"/>
                      <w:overflowPunct w:val="0"/>
                      <w:topLinePunct/>
                      <w:adjustRightInd w:val="0"/>
                      <w:ind w:left="210" w:leftChars="100" w:right="210" w:rightChars="100"/>
                      <w:jc w:val="right"/>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right"/>
      <w:rPr>
        <w:rFonts w:ascii="宋体" w:hAnsi="宋体"/>
        <w:sz w:val="24"/>
        <w:szCs w:val="18"/>
      </w:rPr>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tabs>
                              <w:tab w:val="center" w:pos="4153"/>
                              <w:tab w:val="right" w:pos="8306"/>
                            </w:tabs>
                            <w:snapToGrid w:val="0"/>
                            <w:ind w:left="210" w:leftChars="100" w:right="210" w:rightChars="100"/>
                            <w:jc w:val="right"/>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46</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A/ft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BY3YUmJZQYnfvr96/Tn&#10;3+nvT4I+FKj3UGPevcfMOHxyAybPfkBn4j3IYNIXGRGMo7zHs7xiiISnR9WyqkoMcYzNF8QvHp/7&#10;APGzcIYko6EB55dlZYevEMfUOSVVs+5WaZ1nqC3pEfWyurrML84hRNcWiyQWY7fJisN2mKhtXXtE&#10;Zj0uQUMt7jwl+otFjdO+zEaYje1s7H1Quy4vVGoF/M0+Yju5y1RhhJ0K4/Qyz2nT0no8veesx79r&#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UD9+1dIBAAClAwAADgAAAAAAAAABACAAAAAi&#10;AQAAZHJzL2Uyb0RvYy54bWxQSwUGAAAAAAYABgBZAQAAZgUAAAAA&#10;">
              <v:fill on="f" focussize="0,0"/>
              <v:stroke on="f" weight="1.25pt"/>
              <v:imagedata o:title=""/>
              <o:lock v:ext="edit" aspectratio="f"/>
              <v:textbox inset="0mm,0mm,0mm,0mm" style="mso-fit-shape-to-text:t;">
                <w:txbxContent>
                  <w:p>
                    <w:pPr>
                      <w:tabs>
                        <w:tab w:val="center" w:pos="4153"/>
                        <w:tab w:val="right" w:pos="8306"/>
                      </w:tabs>
                      <w:snapToGrid w:val="0"/>
                      <w:ind w:left="210" w:leftChars="100" w:right="210" w:rightChars="100"/>
                      <w:jc w:val="right"/>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46</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15"/>
        <w:tab w:val="left" w:pos="1175"/>
      </w:tabs>
      <w:snapToGrid w:val="0"/>
      <w:jc w:val="left"/>
      <w:rPr>
        <w:rFonts w:ascii="Calibri" w:hAnsi="Calibri"/>
        <w:sz w:val="18"/>
        <w:szCs w:val="18"/>
      </w:rPr>
    </w:pPr>
    <w:r>
      <w:rPr>
        <w:rFonts w:ascii="宋体" w:hAnsi="宋体"/>
        <w:kern w:val="0"/>
        <w:sz w:val="24"/>
        <w:szCs w:val="21"/>
      </w:rPr>
      <w:t xml:space="preserve">- </w:t>
    </w:r>
    <w:r>
      <w:rPr>
        <w:rFonts w:ascii="宋体" w:hAnsi="宋体"/>
        <w:kern w:val="0"/>
        <w:sz w:val="24"/>
        <w:szCs w:val="21"/>
      </w:rPr>
      <w:fldChar w:fldCharType="begin"/>
    </w:r>
    <w:r>
      <w:rPr>
        <w:rFonts w:ascii="宋体" w:hAnsi="宋体"/>
        <w:kern w:val="0"/>
        <w:sz w:val="24"/>
        <w:szCs w:val="21"/>
      </w:rPr>
      <w:instrText xml:space="preserve"> PAGE </w:instrText>
    </w:r>
    <w:r>
      <w:rPr>
        <w:rFonts w:ascii="宋体" w:hAnsi="宋体"/>
        <w:kern w:val="0"/>
        <w:sz w:val="24"/>
        <w:szCs w:val="21"/>
      </w:rPr>
      <w:fldChar w:fldCharType="separate"/>
    </w:r>
    <w:r>
      <w:rPr>
        <w:rFonts w:ascii="宋体" w:hAnsi="宋体"/>
        <w:kern w:val="0"/>
        <w:sz w:val="24"/>
        <w:szCs w:val="21"/>
      </w:rPr>
      <w:t>26</w:t>
    </w:r>
    <w:r>
      <w:rPr>
        <w:rFonts w:ascii="宋体" w:hAnsi="宋体"/>
        <w:kern w:val="0"/>
        <w:sz w:val="24"/>
        <w:szCs w:val="21"/>
      </w:rPr>
      <w:fldChar w:fldCharType="end"/>
    </w:r>
    <w:r>
      <w:rPr>
        <w:rFonts w:ascii="宋体" w:hAnsi="宋体"/>
        <w:kern w:val="0"/>
        <w:sz w:val="24"/>
        <w:szCs w:val="21"/>
      </w:rPr>
      <w:t xml:space="preserve"> -</w:t>
    </w:r>
    <w:r>
      <w:rPr>
        <w:rFonts w:ascii="宋体" w:hAnsi="宋体"/>
        <w:kern w:val="0"/>
        <w:sz w:val="24"/>
        <w:szCs w:val="21"/>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7D1CCB"/>
    <w:rsid w:val="02E179F2"/>
    <w:rsid w:val="15B10A56"/>
    <w:rsid w:val="1B7D1CCB"/>
    <w:rsid w:val="3BB54D17"/>
    <w:rsid w:val="3E2B5342"/>
    <w:rsid w:val="44D43786"/>
    <w:rsid w:val="4F3E5CB2"/>
    <w:rsid w:val="51D366E7"/>
    <w:rsid w:val="545640A9"/>
    <w:rsid w:val="5C5B4778"/>
    <w:rsid w:val="639F4BC8"/>
    <w:rsid w:val="6C6D1B17"/>
    <w:rsid w:val="6DCE4C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unhideWhenUsed/>
    <w:qFormat/>
    <w:uiPriority w:val="0"/>
    <w:pPr>
      <w:snapToGrid w:val="0"/>
    </w:pPr>
    <w:rPr>
      <w:kern w:val="0"/>
    </w:rPr>
  </w:style>
  <w:style w:type="paragraph" w:styleId="3">
    <w:name w:val="footer"/>
    <w:basedOn w:val="1"/>
    <w:semiHidden/>
    <w:unhideWhenUsed/>
    <w:qFormat/>
    <w:uiPriority w:val="0"/>
    <w:pPr>
      <w:tabs>
        <w:tab w:val="center" w:pos="4153"/>
        <w:tab w:val="right" w:pos="8306"/>
      </w:tabs>
      <w:snapToGrid w:val="0"/>
      <w:jc w:val="left"/>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7695</Words>
  <Characters>8918</Characters>
  <Lines>0</Lines>
  <Paragraphs>0</Paragraphs>
  <TotalTime>3</TotalTime>
  <ScaleCrop>false</ScaleCrop>
  <LinksUpToDate>false</LinksUpToDate>
  <CharactersWithSpaces>8927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2022-03-15T02:25:00Z</dcterms:created>
  <dc:creator>刘津良</dc:creator>
  <cp:lastModifiedBy>Administrator</cp:lastModifiedBy>
  <dcterms:modified xsi:type="dcterms:W3CDTF">2022-03-15T06:31:24Z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D4877FD09CE64718967BC016F4ED9AF8</vt:lpwstr>
  </property>
</Properties>
</file>