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20"/>
        </w:rPr>
      </w:pPr>
      <w:bookmarkStart w:id="2" w:name="_GoBack"/>
      <w:r>
        <w:rPr>
          <w:rFonts w:hint="default" w:ascii="Times New Roman" w:hAnsi="Times New Roman" w:eastAsia="方正仿宋_GBK" w:cs="Times New Roman"/>
          <w:sz w:val="32"/>
          <w:szCs w:val="20"/>
          <w:lang w:val="zh-CN" w:eastAsia="zh-CN"/>
        </w:rPr>
        <w:pict>
          <v:group id="_x0000_s1026" o:spid="_x0000_s1026" o:spt="203" style="position:absolute;left:0pt;margin-left:-20.6pt;margin-top:-33.35pt;height:700.25pt;width:481.9pt;z-index:251658240;mso-width-relative:page;mso-height-relative:page;" coordorigin="1134,1701" coordsize="9638,14005">
            <o:lock v:ext="edit"/>
            <v:shape id="_x0000_s1027" o:spid="_x0000_s1027" o:spt="136" type="#_x0000_t136" style="position:absolute;left:1701;top:1701;height:1077;width:8504;" fillcolor="#FF0000" filled="t" stroked="f" coordsize="21600,21600">
              <v:path/>
              <v:fill on="t" focussize="0,0"/>
              <v:stroke on="f" color="#FF0000"/>
              <v:imagedata o:title=""/>
              <o:lock v:ext="edit"/>
              <v:textpath on="t" fitshape="t" fitpath="t" trim="t" xscale="f" string="重庆市卫生健康委员会办公室" style="font-family:方正小标宋_GBK;font-size:36pt;font-weight:bold;v-rotate-letters:f;v-same-letter-heights:f;v-text-align:center;"/>
            </v:shape>
            <v:line id="_x0000_s1028" o:spid="_x0000_s1028" o:spt="20" style="position:absolute;left:1134;top:3005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/>
            </v:line>
            <v:line id="_x0000_s1029" o:spid="_x0000_s1029" o:spt="20" style="position:absolute;left:1134;top:15706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/>
            </v:line>
          </v:group>
        </w:pict>
      </w:r>
      <w:bookmarkEnd w:id="2"/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</w:pPr>
      <w:bookmarkStart w:id="0" w:name="文号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委办（2019—99）</w:t>
      </w:r>
      <w:bookmarkEnd w:id="0"/>
    </w:p>
    <w:p>
      <w:pPr>
        <w:rPr>
          <w:rFonts w:hint="default" w:ascii="Times New Roman" w:hAnsi="Times New Roman" w:eastAsia="方正小标宋_GBK" w:cs="Times New Roman"/>
          <w:sz w:val="44"/>
          <w:szCs w:val="20"/>
        </w:rPr>
      </w:pPr>
    </w:p>
    <w:p>
      <w:pPr>
        <w:spacing w:line="594" w:lineRule="exact"/>
        <w:ind w:left="220" w:hanging="218" w:hangingChars="5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1" w:name="End"/>
      <w:bookmarkEnd w:id="1"/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卫生健康委员会办公室</w:t>
      </w:r>
    </w:p>
    <w:p>
      <w:pPr>
        <w:spacing w:line="594" w:lineRule="exact"/>
        <w:ind w:left="220" w:hanging="218" w:hangingChars="5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关于进一步加强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城乡饮用水水龙头水质</w:t>
      </w:r>
    </w:p>
    <w:p>
      <w:pPr>
        <w:spacing w:line="594" w:lineRule="exact"/>
        <w:ind w:left="220" w:hanging="218" w:hangingChars="5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工作的通知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各区县（自治县）卫生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健康委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、万盛经开区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卫生计生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，市疾控中心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为贯彻落实习近平总书记在全国卫生与健康大会上的讲话精神，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切实解决影响人民群众健康的突出环境健康问题，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坚决打好污染防治攻坚战，按照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市贯彻落实国务院水污染防治行动计划实施方案》和《重庆市农业农村污染治理攻坚战行动计划实施方案》要求，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2019年起，我市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城市水龙头饮用水安全状况监测评估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的基础上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农村用户水龙头饮用水安全状况监测评估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。现就我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市城乡饮用水水龙头水质监测及水质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安全状况信息公开有关工作通知如下：</w:t>
      </w:r>
    </w:p>
    <w:p>
      <w:pPr>
        <w:spacing w:line="594" w:lineRule="exact"/>
        <w:ind w:firstLine="6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一、监测范围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全市3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个区县（自治县）、万盛经开区。</w:t>
      </w:r>
    </w:p>
    <w:p>
      <w:pPr>
        <w:spacing w:line="594" w:lineRule="exact"/>
        <w:ind w:firstLine="6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二、监测内容和方法</w:t>
      </w:r>
    </w:p>
    <w:p>
      <w:pPr>
        <w:spacing w:line="594" w:lineRule="exact"/>
        <w:ind w:firstLine="6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（一）监测点设置：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 城市：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各区县（自治县）每个市政水厂（自建水厂除外）设置一个出厂水监测点，各区县（自治县）行政辖区内按城市户籍人口每10万人至少设置一个末梢水监测点（原则上应覆盖辖区所有街道且不得随意更换）。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 农村：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城区（巴南区、北碚区、大渡口区、江北区、九龙坡区、沙坪坝区、南岸区、渝北区）选定2个农村集中式供水，其他区县选定3个农村集中式供水，每个集中式供水设置出厂水和末梢水（水龙头）监测点各一个，优先选择供水人口在10000人或日供水1000吨以上的农村水厂。</w:t>
      </w:r>
    </w:p>
    <w:p>
      <w:pPr>
        <w:spacing w:line="594" w:lineRule="exact"/>
        <w:ind w:firstLine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各区县（自治县）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选择水龙头水质监测点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尽量与中央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资金补助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项目城乡饮用水水质监测点一致。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（二）监测频次：每季度检测一次。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（三）监测指标：菌落总数、总大肠菌群、大肠埃希氏菌（或耐热大肠菌群）、色度、浑浊度、臭和味、耗氧量、肉眼可见物和消毒剂余量等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项指标。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（四）监测要求：水样采集、保存、运输、检测严格按照《生活饮用水标准检验方法》（GB/T5750-2006）规定执行。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（五）检测结果评价标准：按照《生活饮用水卫生标准》（GB5749-2006）中表1、表2、表4规定限值进行评价。</w:t>
      </w:r>
    </w:p>
    <w:p>
      <w:pPr>
        <w:spacing w:line="594" w:lineRule="exact"/>
        <w:ind w:firstLine="6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三、信息发布和结果报送</w:t>
      </w:r>
    </w:p>
    <w:p>
      <w:pPr>
        <w:spacing w:line="594" w:lineRule="exact"/>
        <w:ind w:firstLine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（一）信息发布。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县（自治县）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于每年的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日前、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日前、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日前和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日前，在本区县（自治县）政府门户网站上公布末梢水监测结果。同时，每年向公众公布一次末梢水监测点设点情况。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公布格式见附件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5-6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监测结果报送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。各区县（自治县）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卫生健康部门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将监测点设置情况（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-2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市卫生健康委。各区县（自治县）疾控中心将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每季度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水质检测结果以电子版和纸质件（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）在公示前上报当地卫生健康部门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全年水质检测结果电子版、纸质版（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附件1-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）统一整理报至市疾病预防控制中心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  <w:szCs w:val="20"/>
        </w:rPr>
        <w:fldChar w:fldCharType="begin"/>
      </w:r>
      <w:r>
        <w:rPr>
          <w:rFonts w:ascii="Times New Roman" w:hAnsi="Times New Roman" w:eastAsia="方正仿宋_GBK" w:cs="Times New Roman"/>
          <w:sz w:val="32"/>
          <w:szCs w:val="20"/>
        </w:rPr>
        <w:instrText xml:space="preserve"> HYPERLINK "mailto:cqsltszjc@163.com" </w:instrText>
      </w:r>
      <w:r>
        <w:rPr>
          <w:rFonts w:ascii="Times New Roman" w:hAnsi="Times New Roman" w:eastAsia="方正仿宋_GBK" w:cs="Times New Roman"/>
          <w:sz w:val="32"/>
          <w:szCs w:val="20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99"/>
          <w:kern w:val="0"/>
          <w:sz w:val="32"/>
          <w:szCs w:val="32"/>
          <w:u w:val="none"/>
        </w:rPr>
        <w:t>cqsltszjc@163.com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），原始资料归档备查。</w:t>
      </w:r>
    </w:p>
    <w:p>
      <w:pPr>
        <w:spacing w:line="594" w:lineRule="exact"/>
        <w:ind w:firstLine="6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组织保障和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职责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分工</w:t>
      </w:r>
    </w:p>
    <w:p>
      <w:pPr>
        <w:spacing w:line="594" w:lineRule="exact"/>
        <w:ind w:firstLine="632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（一）各区县（自治县）卫生健康部门负责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城乡饮用水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水龙头水质监测及水质安全状况信息公开工作的组织领导和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协调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，落实专项监测工作经费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顺利实施。</w:t>
      </w:r>
    </w:p>
    <w:p>
      <w:pPr>
        <w:spacing w:line="594" w:lineRule="exact"/>
        <w:ind w:firstLine="632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（二）各区县（自治县）卫生健康部门对水质卫生不达标的供水单位，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依照有关法律法规加强监督和管理，对公众提出的疑问咨询进行解答回复。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（三）各区县（自治县）疾控中心负责辖区内水样采集、实验室检测、质量控制、检测结果及数据统计分析上报等工作。</w:t>
      </w:r>
    </w:p>
    <w:p>
      <w:pPr>
        <w:spacing w:line="594" w:lineRule="exact"/>
        <w:ind w:firstLine="64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市卫生健康委陶友飞，联系电话：60393273；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市疾控中心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赵怡楠，联系电话：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68803215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13667632790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水龙头水质监测监测点设置（城市）</w:t>
      </w:r>
    </w:p>
    <w:p>
      <w:pPr>
        <w:spacing w:line="594" w:lineRule="exac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水龙头水质监测监测点设置（农村）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区（县）季度出厂水水质信息公布表（城市）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区（县）季度出厂水水质信息公布表（农村）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区（县）季度水龙头水质信息公布表（城市）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区（县）季度水龙头水质信息公布表（农村）</w:t>
      </w: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2519" w:firstLineChars="797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卫生健康委员会办公室</w:t>
      </w:r>
    </w:p>
    <w:p>
      <w:pPr>
        <w:spacing w:line="594" w:lineRule="exact"/>
        <w:ind w:firstLine="2519" w:firstLineChars="797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74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（城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市）</w:t>
      </w:r>
    </w:p>
    <w:tbl>
      <w:tblPr>
        <w:tblStyle w:val="2"/>
        <w:tblW w:w="139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085"/>
        <w:gridCol w:w="1646"/>
        <w:gridCol w:w="2552"/>
        <w:gridCol w:w="6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序号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市政水厂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）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水样类型（出厂水/末梢水）</w:t>
            </w: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3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4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5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6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7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8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9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32"/>
              </w:rPr>
              <w:t>0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32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20"/>
                <w:szCs w:val="32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601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（农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村）</w:t>
      </w:r>
    </w:p>
    <w:tbl>
      <w:tblPr>
        <w:tblStyle w:val="2"/>
        <w:tblW w:w="1394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086"/>
        <w:gridCol w:w="1647"/>
        <w:gridCol w:w="2692"/>
        <w:gridCol w:w="5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序号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农村集中式供水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）</w:t>
            </w:r>
          </w:p>
        </w:tc>
        <w:tc>
          <w:tcPr>
            <w:tcW w:w="269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水样类型（出厂水/末梢水）</w:t>
            </w: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1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2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3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4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5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32"/>
              </w:rPr>
              <w:t>6</w:t>
            </w:r>
          </w:p>
        </w:tc>
        <w:tc>
          <w:tcPr>
            <w:tcW w:w="308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16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2692" w:type="dxa"/>
            <w:vAlign w:val="top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  <w:tc>
          <w:tcPr>
            <w:tcW w:w="58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0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32"/>
          <w:szCs w:val="28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28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60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____区（县）____季度出厂水水质信息公布表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市政水厂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____区（县）____季度出厂水水质信息公布表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农村集中式供水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，浑浊度≤3，耗氧量≤5。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60"/>
        <w:gridCol w:w="941"/>
        <w:gridCol w:w="1206"/>
        <w:gridCol w:w="1209"/>
        <w:gridCol w:w="932"/>
        <w:gridCol w:w="932"/>
        <w:gridCol w:w="974"/>
        <w:gridCol w:w="650"/>
        <w:gridCol w:w="650"/>
        <w:gridCol w:w="671"/>
        <w:gridCol w:w="631"/>
        <w:gridCol w:w="737"/>
        <w:gridCol w:w="737"/>
        <w:gridCol w:w="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____区（县）____季度水龙头水质信息公布表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城市水龙头采样点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926"/>
        <w:gridCol w:w="921"/>
        <w:gridCol w:w="1181"/>
        <w:gridCol w:w="1184"/>
        <w:gridCol w:w="932"/>
        <w:gridCol w:w="932"/>
        <w:gridCol w:w="991"/>
        <w:gridCol w:w="670"/>
        <w:gridCol w:w="670"/>
        <w:gridCol w:w="673"/>
        <w:gridCol w:w="673"/>
        <w:gridCol w:w="737"/>
        <w:gridCol w:w="737"/>
        <w:gridCol w:w="5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____区（县）____季度水龙头水质信息公布表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（农村）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农村水龙头采样地点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季度</w:t>
            </w:r>
          </w:p>
        </w:tc>
        <w:tc>
          <w:tcPr>
            <w:tcW w:w="9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耐热大肠菌群（MPN/100mL或CFU/100mL）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耗氧量（CODMn法，以O2计，mg/L）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游离余氯（mg/L）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《生活饮用水卫生标准》（GB5749-2006）指标限值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≤100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不得检出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无异臭、异味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≥0.02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，浑浊度≤3，耗氧量≤5。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22"/>
          <w:szCs w:val="32"/>
        </w:rPr>
      </w:pPr>
    </w:p>
    <w:p>
      <w:pPr>
        <w:ind w:firstLine="630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20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587" w:right="1304" w:bottom="1304" w:left="1587" w:header="851" w:footer="1474" w:gutter="0"/>
      <w:pgNumType w:fmt="numberInDash"/>
      <w:cols w:space="720" w:num="1"/>
      <w:rtlGutter w:val="0"/>
      <w:docGrid w:type="linesAndChars" w:linePitch="601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right"/>
      <w:rPr>
        <w:rFonts w:ascii="宋体" w:hAnsi="宋体" w:eastAsia="宋体" w:cs="Times New Roman"/>
        <w:kern w:val="2"/>
        <w:sz w:val="28"/>
        <w:lang w:val="en-US" w:eastAsia="zh-CN" w:bidi="ar-SA"/>
      </w:rPr>
    </w:pPr>
    <w:r>
      <w:rPr>
        <w:rFonts w:ascii="Times New Roman" w:hAnsi="Times New Roman" w:eastAsia="方正仿宋_GBK" w:cs="Times New Roman"/>
        <w:kern w:val="0"/>
        <w:sz w:val="2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0"/>
        <w:sz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宋体" w:hAnsi="宋体" w:eastAsia="宋体" w:cs="Times New Roman"/>
        <w:kern w:val="0"/>
        <w:sz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0"/>
        <w:sz w:val="28"/>
        <w:lang w:val="zh-CN" w:eastAsia="zh-CN" w:bidi="ar-SA"/>
      </w:rPr>
      <w:t>- 1 -</w:t>
    </w:r>
    <w:r>
      <w:rPr>
        <w:rFonts w:ascii="宋体" w:hAnsi="宋体" w:eastAsia="宋体" w:cs="Times New Roman"/>
        <w:kern w:val="0"/>
        <w:sz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0"/>
        <w:sz w:val="28"/>
        <w:lang w:val="en-US" w:eastAsia="zh-CN" w:bidi="ar-S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- 2 -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- 1 -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13733"/>
    <w:rsid w:val="619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2022-10-12T08:16:00Z</dcterms:created>
  <dc:creator>Administrator</dc:creator>
  <cp:lastModifiedBy>Administrator</cp:lastModifiedBy>
  <dcterms:modified xsi:type="dcterms:W3CDTF">2022-10-12T08:19:50Z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