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3EFA48">
      <w:pPr>
        <w:spacing w:line="6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hint="eastAsia" w:eastAsia="方正小标宋_GBK"/>
          <w:bCs/>
          <w:sz w:val="44"/>
          <w:szCs w:val="44"/>
        </w:rPr>
        <w:t>云阳县</w:t>
      </w:r>
    </w:p>
    <w:p w14:paraId="4D42EAA0">
      <w:pPr>
        <w:spacing w:line="600" w:lineRule="exact"/>
        <w:jc w:val="center"/>
        <w:rPr>
          <w:rFonts w:eastAsia="方正楷体_GBK"/>
          <w:b/>
          <w:bCs/>
          <w:sz w:val="44"/>
          <w:szCs w:val="44"/>
        </w:rPr>
      </w:pPr>
      <w:r>
        <w:rPr>
          <w:rFonts w:hint="eastAsia" w:eastAsia="方正小标宋_GBK"/>
          <w:bCs/>
          <w:sz w:val="44"/>
          <w:szCs w:val="44"/>
        </w:rPr>
        <w:t>2020年国民经济和社会发展统计公报</w:t>
      </w:r>
    </w:p>
    <w:p w14:paraId="1C14CF07">
      <w:pPr>
        <w:spacing w:line="600" w:lineRule="exact"/>
        <w:jc w:val="center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云阳县统计局</w:t>
      </w:r>
    </w:p>
    <w:p w14:paraId="7355CFD6">
      <w:pPr>
        <w:spacing w:line="600" w:lineRule="exact"/>
        <w:jc w:val="center"/>
        <w:rPr>
          <w:rFonts w:eastAsia="方正楷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2021年3月29日</w:t>
      </w:r>
    </w:p>
    <w:p w14:paraId="61A07E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color w:val="000000"/>
          <w:sz w:val="32"/>
          <w:szCs w:val="32"/>
        </w:rPr>
        <w:t>2020年，</w:t>
      </w:r>
      <w:r>
        <w:rPr>
          <w:rFonts w:hint="eastAsia" w:eastAsia="方正仿宋_GBK"/>
          <w:kern w:val="0"/>
          <w:sz w:val="32"/>
          <w:szCs w:val="32"/>
        </w:rPr>
        <w:t>在县委、县政府领导下，深入贯彻党的十九大和十九届二中、三中、四中、五中全会精神，按照县委、县政府决策部署，沉着冷静应对风险挑战，坚持高质量发展方向不动摇，统筹疫情防控和经济社会发展，扎实做好“六稳”工作，全面落实“六保”任务，我县经济运行逐步改善、逐步恢复常态，脱贫攻坚战取得全面胜利，决胜全面建成小康社会取得决定性成就。</w:t>
      </w:r>
    </w:p>
    <w:p w14:paraId="72F529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一、综合</w:t>
      </w:r>
    </w:p>
    <w:p w14:paraId="4C7D4F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实现地区生产总值（GDP）462.59亿元，比上年增长2.6％。分产业看，第一产业增加值65.72亿元，比上年增长5.3%。第二产业增加值180.37亿元，增长2.3％，其中工业增加值87.66亿元，增长0.2％；建筑业增加值92.72亿元，增长4.7％。第三产业增加值216.49亿元，增长2.1%。三次产业结构调整为14.2:39:46.8。</w:t>
      </w:r>
    </w:p>
    <w:p w14:paraId="46ABAE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截止</w:t>
      </w:r>
      <w:r>
        <w:rPr>
          <w:rFonts w:hint="eastAsia" w:eastAsia="方正仿宋_GBK" w:cs="方正仿宋_GBK"/>
          <w:sz w:val="32"/>
          <w:szCs w:val="32"/>
          <w:lang w:val="en-US" w:eastAsia="zh-CN"/>
        </w:rPr>
        <w:t>到</w:t>
      </w:r>
      <w:bookmarkStart w:id="0" w:name="_GoBack"/>
      <w:bookmarkEnd w:id="0"/>
      <w:r>
        <w:rPr>
          <w:rFonts w:hint="eastAsia" w:eastAsia="方正仿宋_GBK" w:cs="方正仿宋_GBK"/>
          <w:sz w:val="32"/>
          <w:szCs w:val="32"/>
        </w:rPr>
        <w:t>2020年末，全县共有各类市场主体8.12万户，比上年增长9.6%，其中内资企业1.51万户，外资企业28户，个体工商户6.44万户，农村专业合作社1718户。2020年新发展微型企业2676户，年末微型企业达1.21万户，增长17.7%。</w:t>
      </w:r>
    </w:p>
    <w:p w14:paraId="3C2A9D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全县户籍总人口133.14万人，年平均人口133.43万人，男女性别比为1.1:1。其中，城镇人口45.78万人；乡村人口87.36万人；当年出生人口1.21万人，死亡人口1.15万人，自然增长率为0.5‰，出生率为9.1‰，死亡率为8.6‰。</w:t>
      </w:r>
    </w:p>
    <w:p w14:paraId="298E2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全县城镇新增就业人员15016人，比上年增长0.03%，城镇登记失业人员3239人，增长90.2%，城镇登记失业人员实现就业3051人，下降11.5%。</w:t>
      </w:r>
    </w:p>
    <w:p w14:paraId="34F5C16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  <w:lang w:val="zh-CN"/>
        </w:rPr>
      </w:pPr>
      <w:r>
        <w:rPr>
          <w:rFonts w:hint="eastAsia" w:eastAsia="方正黑体_GBK" w:cs="方正黑体_GBK"/>
          <w:sz w:val="32"/>
          <w:szCs w:val="32"/>
        </w:rPr>
        <w:t>农业</w:t>
      </w:r>
    </w:p>
    <w:p w14:paraId="43FB2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全年实现农林牧渔业增加值65.72亿元，比上年增长5.3%。农林牧渔服务业增加值3.3亿元，增长9.2%。</w:t>
      </w:r>
    </w:p>
    <w:p w14:paraId="5EEB28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全年粮食播种面积9.02万公顷，比上年增长0.1%，单产4513.83公斤/公顷。</w:t>
      </w:r>
    </w:p>
    <w:p w14:paraId="00766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粮食总产量40.73万吨。其中，夏粮产量8.99万吨，秋粮产量31.73万吨。蔬菜播种面积2.43万公顷，增长3.9%；产量 54.39万吨，增长6.0%。水果种植面积1.94万公顷，增长4.5%；产量36.53万吨，增长8.1%。</w:t>
      </w:r>
    </w:p>
    <w:p w14:paraId="0EDD36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全年全县农林牧渔业总产值达106.49亿元，其中农业、林业、牧业、渔业、农林牧渔服务业产值分别为51.81亿元、5.21亿元、42.30亿元、2.44亿元和4.73亿元。</w:t>
      </w:r>
    </w:p>
    <w:p w14:paraId="4D75F64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157" w:beforeLines="50" w:beforeAutospacing="0" w:after="0" w:afterAutospacing="0" w:line="578" w:lineRule="exact"/>
        <w:jc w:val="center"/>
        <w:textAlignment w:val="auto"/>
        <w:rPr>
          <w:rFonts w:ascii="Times New Roman" w:hAnsi="Times New Roman" w:eastAsia="方正仿宋_GBK" w:cs="方正仿宋_GBK"/>
          <w:b/>
          <w:bCs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32"/>
          <w:szCs w:val="32"/>
        </w:rPr>
        <w:t>表1  2020年主要农产品产量</w:t>
      </w:r>
    </w:p>
    <w:tbl>
      <w:tblPr>
        <w:tblStyle w:val="5"/>
        <w:tblW w:w="8342" w:type="dxa"/>
        <w:jc w:val="center"/>
        <w:tblBorders>
          <w:top w:val="single" w:color="000000" w:sz="4" w:space="0"/>
          <w:left w:val="none" w:color="auto" w:sz="0" w:space="0"/>
          <w:bottom w:val="sing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75"/>
        <w:gridCol w:w="1900"/>
        <w:gridCol w:w="1750"/>
        <w:gridCol w:w="2017"/>
      </w:tblGrid>
      <w:tr w14:paraId="072509DB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8" w:hRule="atLeast"/>
          <w:jc w:val="center"/>
        </w:trPr>
        <w:tc>
          <w:tcPr>
            <w:tcW w:w="2675" w:type="dxa"/>
            <w:tcBorders>
              <w:top w:val="single" w:color="000000" w:sz="12" w:space="0"/>
            </w:tcBorders>
            <w:shd w:val="clear" w:color="auto" w:fill="C5E0B3"/>
            <w:vAlign w:val="center"/>
          </w:tcPr>
          <w:p w14:paraId="6C5C55CE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指标名称</w:t>
            </w:r>
          </w:p>
        </w:tc>
        <w:tc>
          <w:tcPr>
            <w:tcW w:w="1900" w:type="dxa"/>
            <w:tcBorders>
              <w:top w:val="single" w:color="000000" w:sz="12" w:space="0"/>
            </w:tcBorders>
            <w:shd w:val="clear" w:color="auto" w:fill="C5E0B3"/>
            <w:vAlign w:val="center"/>
          </w:tcPr>
          <w:p w14:paraId="205CCBE9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计量单位</w:t>
            </w:r>
          </w:p>
        </w:tc>
        <w:tc>
          <w:tcPr>
            <w:tcW w:w="1750" w:type="dxa"/>
            <w:tcBorders>
              <w:top w:val="single" w:color="000000" w:sz="12" w:space="0"/>
            </w:tcBorders>
            <w:shd w:val="clear" w:color="auto" w:fill="C5E0B3"/>
            <w:vAlign w:val="center"/>
          </w:tcPr>
          <w:p w14:paraId="75E55342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2020年</w:t>
            </w:r>
          </w:p>
        </w:tc>
        <w:tc>
          <w:tcPr>
            <w:tcW w:w="2017" w:type="dxa"/>
            <w:tcBorders>
              <w:top w:val="single" w:color="000000" w:sz="12" w:space="0"/>
            </w:tcBorders>
            <w:shd w:val="clear" w:color="auto" w:fill="C5E0B3"/>
            <w:vAlign w:val="center"/>
          </w:tcPr>
          <w:p w14:paraId="6F1595FF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比上年±%</w:t>
            </w:r>
          </w:p>
        </w:tc>
      </w:tr>
      <w:tr w14:paraId="705EC8BD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3055E3DB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粮食</w:t>
            </w:r>
          </w:p>
        </w:tc>
        <w:tc>
          <w:tcPr>
            <w:tcW w:w="1900" w:type="dxa"/>
            <w:vAlign w:val="center"/>
          </w:tcPr>
          <w:p w14:paraId="4160EE9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万吨</w:t>
            </w:r>
          </w:p>
        </w:tc>
        <w:tc>
          <w:tcPr>
            <w:tcW w:w="1750" w:type="dxa"/>
            <w:vAlign w:val="center"/>
          </w:tcPr>
          <w:p w14:paraId="1F8CA4D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40.73</w:t>
            </w:r>
          </w:p>
        </w:tc>
        <w:tc>
          <w:tcPr>
            <w:tcW w:w="2017" w:type="dxa"/>
            <w:vAlign w:val="center"/>
          </w:tcPr>
          <w:p w14:paraId="05592EF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0.5</w:t>
            </w:r>
          </w:p>
        </w:tc>
      </w:tr>
      <w:tr w14:paraId="2E6DB11E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7E52D77B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油料</w:t>
            </w:r>
          </w:p>
        </w:tc>
        <w:tc>
          <w:tcPr>
            <w:tcW w:w="1900" w:type="dxa"/>
            <w:vAlign w:val="center"/>
          </w:tcPr>
          <w:p w14:paraId="4316974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万吨</w:t>
            </w:r>
          </w:p>
        </w:tc>
        <w:tc>
          <w:tcPr>
            <w:tcW w:w="1750" w:type="dxa"/>
            <w:vAlign w:val="center"/>
          </w:tcPr>
          <w:p w14:paraId="116A2D4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3.52</w:t>
            </w:r>
          </w:p>
        </w:tc>
        <w:tc>
          <w:tcPr>
            <w:tcW w:w="2017" w:type="dxa"/>
            <w:vAlign w:val="center"/>
          </w:tcPr>
          <w:p w14:paraId="271142A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4.5</w:t>
            </w:r>
          </w:p>
        </w:tc>
      </w:tr>
      <w:tr w14:paraId="75EF1F14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09B9EC34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肉类总产量</w:t>
            </w:r>
          </w:p>
        </w:tc>
        <w:tc>
          <w:tcPr>
            <w:tcW w:w="1900" w:type="dxa"/>
            <w:vAlign w:val="center"/>
          </w:tcPr>
          <w:p w14:paraId="04F4F051">
            <w:pPr>
              <w:jc w:val="center"/>
              <w:rPr>
                <w:rFonts w:eastAsia="方正仿宋_GBK" w:cs="方正仿宋_GBK"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sz w:val="24"/>
              </w:rPr>
              <w:t>万吨</w:t>
            </w:r>
          </w:p>
        </w:tc>
        <w:tc>
          <w:tcPr>
            <w:tcW w:w="1750" w:type="dxa"/>
            <w:vAlign w:val="center"/>
          </w:tcPr>
          <w:p w14:paraId="4730125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-</w:t>
            </w:r>
          </w:p>
        </w:tc>
        <w:tc>
          <w:tcPr>
            <w:tcW w:w="2017" w:type="dxa"/>
            <w:vAlign w:val="center"/>
          </w:tcPr>
          <w:p w14:paraId="0A17B1E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-</w:t>
            </w:r>
          </w:p>
        </w:tc>
      </w:tr>
      <w:tr w14:paraId="733C765F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070DC51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#猪肉</w:t>
            </w:r>
          </w:p>
        </w:tc>
        <w:tc>
          <w:tcPr>
            <w:tcW w:w="1900" w:type="dxa"/>
            <w:vAlign w:val="center"/>
          </w:tcPr>
          <w:p w14:paraId="31C90CB1">
            <w:pPr>
              <w:jc w:val="center"/>
              <w:rPr>
                <w:rFonts w:eastAsia="方正仿宋_GBK" w:cs="方正仿宋_GBK"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sz w:val="24"/>
              </w:rPr>
              <w:t>万吨</w:t>
            </w:r>
          </w:p>
        </w:tc>
        <w:tc>
          <w:tcPr>
            <w:tcW w:w="1750" w:type="dxa"/>
            <w:vAlign w:val="center"/>
          </w:tcPr>
          <w:p w14:paraId="7881D35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5.50</w:t>
            </w:r>
          </w:p>
        </w:tc>
        <w:tc>
          <w:tcPr>
            <w:tcW w:w="2017" w:type="dxa"/>
            <w:vAlign w:val="center"/>
          </w:tcPr>
          <w:p w14:paraId="7740409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-2.1</w:t>
            </w:r>
          </w:p>
        </w:tc>
      </w:tr>
      <w:tr w14:paraId="52DC895E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505B2349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禽蛋产量</w:t>
            </w:r>
          </w:p>
        </w:tc>
        <w:tc>
          <w:tcPr>
            <w:tcW w:w="1900" w:type="dxa"/>
            <w:vAlign w:val="center"/>
          </w:tcPr>
          <w:p w14:paraId="4B138122">
            <w:pPr>
              <w:jc w:val="center"/>
              <w:rPr>
                <w:rFonts w:eastAsia="方正仿宋_GBK" w:cs="方正仿宋_GBK"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sz w:val="24"/>
              </w:rPr>
              <w:t>万吨</w:t>
            </w:r>
          </w:p>
        </w:tc>
        <w:tc>
          <w:tcPr>
            <w:tcW w:w="1750" w:type="dxa"/>
            <w:vAlign w:val="center"/>
          </w:tcPr>
          <w:p w14:paraId="6245664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2.18</w:t>
            </w:r>
          </w:p>
        </w:tc>
        <w:tc>
          <w:tcPr>
            <w:tcW w:w="2017" w:type="dxa"/>
            <w:vAlign w:val="center"/>
          </w:tcPr>
          <w:p w14:paraId="09EBF4F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2.5</w:t>
            </w:r>
          </w:p>
        </w:tc>
      </w:tr>
      <w:tr w14:paraId="19C8CA55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6" w:hRule="atLeast"/>
          <w:jc w:val="center"/>
        </w:trPr>
        <w:tc>
          <w:tcPr>
            <w:tcW w:w="2675" w:type="dxa"/>
            <w:vAlign w:val="center"/>
          </w:tcPr>
          <w:p w14:paraId="482237CA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水果</w:t>
            </w:r>
          </w:p>
        </w:tc>
        <w:tc>
          <w:tcPr>
            <w:tcW w:w="1900" w:type="dxa"/>
            <w:vAlign w:val="center"/>
          </w:tcPr>
          <w:p w14:paraId="6FE20E61">
            <w:pPr>
              <w:jc w:val="center"/>
              <w:rPr>
                <w:rFonts w:eastAsia="方正仿宋_GBK" w:cs="方正仿宋_GBK"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sz w:val="24"/>
              </w:rPr>
              <w:t>万吨</w:t>
            </w:r>
          </w:p>
        </w:tc>
        <w:tc>
          <w:tcPr>
            <w:tcW w:w="1750" w:type="dxa"/>
            <w:vAlign w:val="center"/>
          </w:tcPr>
          <w:p w14:paraId="56BB529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36.53</w:t>
            </w:r>
          </w:p>
        </w:tc>
        <w:tc>
          <w:tcPr>
            <w:tcW w:w="2017" w:type="dxa"/>
            <w:vAlign w:val="center"/>
          </w:tcPr>
          <w:p w14:paraId="6FD71BE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8.1</w:t>
            </w:r>
          </w:p>
        </w:tc>
      </w:tr>
      <w:tr w14:paraId="30D41EF5">
        <w:tblPrEx>
          <w:tblBorders>
            <w:top w:val="single" w:color="000000" w:sz="4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1" w:hRule="atLeast"/>
          <w:jc w:val="center"/>
        </w:trPr>
        <w:tc>
          <w:tcPr>
            <w:tcW w:w="2675" w:type="dxa"/>
            <w:tcBorders>
              <w:bottom w:val="single" w:color="000000" w:sz="12" w:space="0"/>
            </w:tcBorders>
            <w:vAlign w:val="center"/>
          </w:tcPr>
          <w:p w14:paraId="688DA170">
            <w:pPr>
              <w:pStyle w:val="4"/>
              <w:spacing w:before="0" w:beforeAutospacing="0" w:after="0" w:afterAutospacing="0"/>
              <w:ind w:firstLine="352" w:firstLineChars="147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蔬菜</w:t>
            </w:r>
          </w:p>
        </w:tc>
        <w:tc>
          <w:tcPr>
            <w:tcW w:w="1900" w:type="dxa"/>
            <w:tcBorders>
              <w:bottom w:val="single" w:color="000000" w:sz="12" w:space="0"/>
            </w:tcBorders>
            <w:vAlign w:val="center"/>
          </w:tcPr>
          <w:p w14:paraId="58382977">
            <w:pPr>
              <w:jc w:val="center"/>
              <w:rPr>
                <w:rFonts w:eastAsia="方正仿宋_GBK" w:cs="方正仿宋_GBK"/>
                <w:color w:val="000000"/>
                <w:sz w:val="24"/>
              </w:rPr>
            </w:pPr>
            <w:r>
              <w:rPr>
                <w:rFonts w:hint="eastAsia" w:eastAsia="方正仿宋_GBK" w:cs="方正仿宋_GBK"/>
                <w:sz w:val="24"/>
              </w:rPr>
              <w:t>万吨</w:t>
            </w:r>
          </w:p>
        </w:tc>
        <w:tc>
          <w:tcPr>
            <w:tcW w:w="1750" w:type="dxa"/>
            <w:tcBorders>
              <w:bottom w:val="single" w:color="000000" w:sz="12" w:space="0"/>
            </w:tcBorders>
            <w:vAlign w:val="center"/>
          </w:tcPr>
          <w:p w14:paraId="701EC17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54.39</w:t>
            </w:r>
          </w:p>
        </w:tc>
        <w:tc>
          <w:tcPr>
            <w:tcW w:w="2017" w:type="dxa"/>
            <w:tcBorders>
              <w:bottom w:val="single" w:color="000000" w:sz="12" w:space="0"/>
            </w:tcBorders>
            <w:vAlign w:val="center"/>
          </w:tcPr>
          <w:p w14:paraId="0D0686E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color w:val="000000"/>
              </w:rPr>
            </w:pPr>
            <w:r>
              <w:rPr>
                <w:rFonts w:hint="eastAsia" w:ascii="Times New Roman" w:hAnsi="Times New Roman" w:eastAsia="方正仿宋_GBK" w:cs="方正仿宋_GBK"/>
                <w:color w:val="000000"/>
              </w:rPr>
              <w:t>6.0</w:t>
            </w:r>
          </w:p>
        </w:tc>
      </w:tr>
    </w:tbl>
    <w:p w14:paraId="0D1B0CD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jc w:val="center"/>
        <w:textAlignment w:val="auto"/>
        <w:rPr>
          <w:rFonts w:ascii="Times New Roman" w:hAnsi="Times New Roman" w:eastAsia="方正仿宋_GBK" w:cs="方正仿宋_GBK"/>
          <w:b/>
          <w:bCs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32"/>
          <w:szCs w:val="32"/>
        </w:rPr>
        <w:t>表2  2020年畜牧业生产情况</w:t>
      </w:r>
    </w:p>
    <w:tbl>
      <w:tblPr>
        <w:tblStyle w:val="5"/>
        <w:tblW w:w="8460" w:type="dxa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1615"/>
        <w:gridCol w:w="2029"/>
        <w:gridCol w:w="2026"/>
        <w:gridCol w:w="1795"/>
      </w:tblGrid>
      <w:tr w14:paraId="1C522151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  <w:jc w:val="center"/>
        </w:trPr>
        <w:tc>
          <w:tcPr>
            <w:tcW w:w="2610" w:type="dxa"/>
            <w:gridSpan w:val="2"/>
            <w:tcBorders>
              <w:top w:val="single" w:color="auto" w:sz="12" w:space="0"/>
            </w:tcBorders>
            <w:shd w:val="clear" w:color="auto" w:fill="C5E0B3"/>
            <w:vAlign w:val="center"/>
          </w:tcPr>
          <w:p w14:paraId="2ED3F459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指标名称</w:t>
            </w:r>
          </w:p>
        </w:tc>
        <w:tc>
          <w:tcPr>
            <w:tcW w:w="2029" w:type="dxa"/>
            <w:tcBorders>
              <w:top w:val="single" w:color="auto" w:sz="12" w:space="0"/>
            </w:tcBorders>
            <w:shd w:val="clear" w:color="auto" w:fill="C5E0B3"/>
            <w:vAlign w:val="center"/>
          </w:tcPr>
          <w:p w14:paraId="731743AB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2026" w:type="dxa"/>
            <w:tcBorders>
              <w:top w:val="single" w:color="auto" w:sz="12" w:space="0"/>
            </w:tcBorders>
            <w:shd w:val="clear" w:color="auto" w:fill="C5E0B3"/>
            <w:vAlign w:val="center"/>
          </w:tcPr>
          <w:p w14:paraId="49EDE76E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2020年</w:t>
            </w:r>
          </w:p>
        </w:tc>
        <w:tc>
          <w:tcPr>
            <w:tcW w:w="1795" w:type="dxa"/>
            <w:tcBorders>
              <w:top w:val="single" w:color="auto" w:sz="12" w:space="0"/>
            </w:tcBorders>
            <w:shd w:val="clear" w:color="auto" w:fill="C5E0B3"/>
            <w:vAlign w:val="center"/>
          </w:tcPr>
          <w:p w14:paraId="3864BE60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比上年±%</w:t>
            </w:r>
          </w:p>
        </w:tc>
      </w:tr>
      <w:tr w14:paraId="0571934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995" w:type="dxa"/>
            <w:vMerge w:val="restart"/>
            <w:vAlign w:val="center"/>
          </w:tcPr>
          <w:p w14:paraId="0CE7247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出</w:t>
            </w:r>
          </w:p>
          <w:p w14:paraId="6CB01F7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栏</w:t>
            </w:r>
          </w:p>
        </w:tc>
        <w:tc>
          <w:tcPr>
            <w:tcW w:w="1615" w:type="dxa"/>
            <w:vAlign w:val="center"/>
          </w:tcPr>
          <w:p w14:paraId="284B6BB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生猪</w:t>
            </w:r>
          </w:p>
        </w:tc>
        <w:tc>
          <w:tcPr>
            <w:tcW w:w="2029" w:type="dxa"/>
            <w:vAlign w:val="center"/>
          </w:tcPr>
          <w:p w14:paraId="784C63C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万头</w:t>
            </w:r>
          </w:p>
        </w:tc>
        <w:tc>
          <w:tcPr>
            <w:tcW w:w="2026" w:type="dxa"/>
            <w:vAlign w:val="center"/>
          </w:tcPr>
          <w:p w14:paraId="2F22C78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72.59</w:t>
            </w:r>
          </w:p>
        </w:tc>
        <w:tc>
          <w:tcPr>
            <w:tcW w:w="1795" w:type="dxa"/>
            <w:vAlign w:val="center"/>
          </w:tcPr>
          <w:p w14:paraId="793AF4D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-2.2</w:t>
            </w:r>
          </w:p>
        </w:tc>
      </w:tr>
      <w:tr w14:paraId="375C462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995" w:type="dxa"/>
            <w:vMerge w:val="continue"/>
            <w:vAlign w:val="center"/>
          </w:tcPr>
          <w:p w14:paraId="2704459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615" w:type="dxa"/>
            <w:vAlign w:val="center"/>
          </w:tcPr>
          <w:p w14:paraId="7C844B4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山羊</w:t>
            </w:r>
          </w:p>
        </w:tc>
        <w:tc>
          <w:tcPr>
            <w:tcW w:w="2029" w:type="dxa"/>
            <w:vAlign w:val="center"/>
          </w:tcPr>
          <w:p w14:paraId="7D73044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万只</w:t>
            </w:r>
          </w:p>
        </w:tc>
        <w:tc>
          <w:tcPr>
            <w:tcW w:w="2026" w:type="dxa"/>
            <w:vAlign w:val="center"/>
          </w:tcPr>
          <w:p w14:paraId="22B9A7C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58.27</w:t>
            </w:r>
          </w:p>
        </w:tc>
        <w:tc>
          <w:tcPr>
            <w:tcW w:w="1795" w:type="dxa"/>
            <w:vAlign w:val="center"/>
          </w:tcPr>
          <w:p w14:paraId="2FAAAE9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1.5</w:t>
            </w:r>
          </w:p>
        </w:tc>
      </w:tr>
      <w:tr w14:paraId="1DAFAB1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995" w:type="dxa"/>
            <w:vMerge w:val="continue"/>
            <w:vAlign w:val="center"/>
          </w:tcPr>
          <w:p w14:paraId="12A9979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615" w:type="dxa"/>
            <w:vAlign w:val="center"/>
          </w:tcPr>
          <w:p w14:paraId="1BEF62D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牛</w:t>
            </w:r>
          </w:p>
        </w:tc>
        <w:tc>
          <w:tcPr>
            <w:tcW w:w="2029" w:type="dxa"/>
            <w:vAlign w:val="center"/>
          </w:tcPr>
          <w:p w14:paraId="1D05CEF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万头</w:t>
            </w:r>
          </w:p>
        </w:tc>
        <w:tc>
          <w:tcPr>
            <w:tcW w:w="2026" w:type="dxa"/>
            <w:vAlign w:val="center"/>
          </w:tcPr>
          <w:p w14:paraId="3515A75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5.05</w:t>
            </w:r>
          </w:p>
        </w:tc>
        <w:tc>
          <w:tcPr>
            <w:tcW w:w="1795" w:type="dxa"/>
            <w:vAlign w:val="center"/>
          </w:tcPr>
          <w:p w14:paraId="68CE06B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2.6</w:t>
            </w:r>
          </w:p>
        </w:tc>
      </w:tr>
      <w:tr w14:paraId="4EAB88E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995" w:type="dxa"/>
            <w:vMerge w:val="restart"/>
            <w:vAlign w:val="center"/>
          </w:tcPr>
          <w:p w14:paraId="1CEFC65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存</w:t>
            </w:r>
          </w:p>
          <w:p w14:paraId="0925ED2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栏</w:t>
            </w:r>
          </w:p>
        </w:tc>
        <w:tc>
          <w:tcPr>
            <w:tcW w:w="1615" w:type="dxa"/>
            <w:vAlign w:val="center"/>
          </w:tcPr>
          <w:p w14:paraId="28A6153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生猪</w:t>
            </w:r>
          </w:p>
        </w:tc>
        <w:tc>
          <w:tcPr>
            <w:tcW w:w="2029" w:type="dxa"/>
            <w:vAlign w:val="center"/>
          </w:tcPr>
          <w:p w14:paraId="2CB402F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万头</w:t>
            </w:r>
          </w:p>
        </w:tc>
        <w:tc>
          <w:tcPr>
            <w:tcW w:w="2026" w:type="dxa"/>
            <w:vAlign w:val="center"/>
          </w:tcPr>
          <w:p w14:paraId="109797D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61.03</w:t>
            </w:r>
          </w:p>
        </w:tc>
        <w:tc>
          <w:tcPr>
            <w:tcW w:w="1795" w:type="dxa"/>
            <w:vAlign w:val="center"/>
          </w:tcPr>
          <w:p w14:paraId="5AF8EDA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6.8</w:t>
            </w:r>
          </w:p>
        </w:tc>
      </w:tr>
      <w:tr w14:paraId="16C0EBC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995" w:type="dxa"/>
            <w:vMerge w:val="continue"/>
            <w:vAlign w:val="center"/>
          </w:tcPr>
          <w:p w14:paraId="7D9D423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615" w:type="dxa"/>
            <w:vAlign w:val="center"/>
          </w:tcPr>
          <w:p w14:paraId="0294C94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山羊</w:t>
            </w:r>
          </w:p>
        </w:tc>
        <w:tc>
          <w:tcPr>
            <w:tcW w:w="2029" w:type="dxa"/>
            <w:vAlign w:val="center"/>
          </w:tcPr>
          <w:p w14:paraId="3D10E07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万只</w:t>
            </w:r>
          </w:p>
        </w:tc>
        <w:tc>
          <w:tcPr>
            <w:tcW w:w="2026" w:type="dxa"/>
            <w:vAlign w:val="center"/>
          </w:tcPr>
          <w:p w14:paraId="00B0AD2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44.03</w:t>
            </w:r>
          </w:p>
        </w:tc>
        <w:tc>
          <w:tcPr>
            <w:tcW w:w="1795" w:type="dxa"/>
            <w:vAlign w:val="center"/>
          </w:tcPr>
          <w:p w14:paraId="2EA9DE3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6.3</w:t>
            </w:r>
          </w:p>
        </w:tc>
      </w:tr>
      <w:tr w14:paraId="0AB402D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995" w:type="dxa"/>
            <w:vMerge w:val="continue"/>
            <w:tcBorders>
              <w:bottom w:val="single" w:color="auto" w:sz="12" w:space="0"/>
            </w:tcBorders>
            <w:vAlign w:val="center"/>
          </w:tcPr>
          <w:p w14:paraId="0CF4A9F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615" w:type="dxa"/>
            <w:tcBorders>
              <w:bottom w:val="single" w:color="auto" w:sz="12" w:space="0"/>
            </w:tcBorders>
            <w:vAlign w:val="center"/>
          </w:tcPr>
          <w:p w14:paraId="41843EA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牛</w:t>
            </w:r>
          </w:p>
        </w:tc>
        <w:tc>
          <w:tcPr>
            <w:tcW w:w="2029" w:type="dxa"/>
            <w:tcBorders>
              <w:bottom w:val="single" w:color="auto" w:sz="12" w:space="0"/>
            </w:tcBorders>
            <w:vAlign w:val="center"/>
          </w:tcPr>
          <w:p w14:paraId="617A9F7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万头</w:t>
            </w:r>
          </w:p>
        </w:tc>
        <w:tc>
          <w:tcPr>
            <w:tcW w:w="2026" w:type="dxa"/>
            <w:tcBorders>
              <w:bottom w:val="single" w:color="auto" w:sz="12" w:space="0"/>
            </w:tcBorders>
            <w:vAlign w:val="center"/>
          </w:tcPr>
          <w:p w14:paraId="1B0AB13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10.14</w:t>
            </w:r>
          </w:p>
        </w:tc>
        <w:tc>
          <w:tcPr>
            <w:tcW w:w="1795" w:type="dxa"/>
            <w:tcBorders>
              <w:bottom w:val="single" w:color="auto" w:sz="12" w:space="0"/>
            </w:tcBorders>
            <w:vAlign w:val="center"/>
          </w:tcPr>
          <w:p w14:paraId="4BABC48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5.7</w:t>
            </w:r>
          </w:p>
        </w:tc>
      </w:tr>
    </w:tbl>
    <w:p w14:paraId="3217C1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atLeas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三、工业和建筑业</w:t>
      </w:r>
    </w:p>
    <w:p w14:paraId="69965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atLeas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全年实现工业增加值87.66亿元，比上年增长0.2%，占全县GDP的18.9%。其中，规模以上工业增加值增长-3.9%。全县规模以上工业总产值增长-8.2%。</w:t>
      </w:r>
    </w:p>
    <w:p w14:paraId="2C9E90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atLeast"/>
        <w:ind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年末规模以上工业企业达到106家，营业务收入比上年增长-12.2%，利税总额增长-19%，利润总额增长-24%。</w:t>
      </w:r>
    </w:p>
    <w:p w14:paraId="4C920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atLeast"/>
        <w:ind w:firstLine="643" w:firstLineChars="200"/>
        <w:jc w:val="center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b/>
          <w:bCs/>
          <w:sz w:val="32"/>
          <w:szCs w:val="32"/>
        </w:rPr>
        <w:t>表3  2020年主要工业产品产量表</w:t>
      </w:r>
    </w:p>
    <w:tbl>
      <w:tblPr>
        <w:tblStyle w:val="5"/>
        <w:tblW w:w="8480" w:type="dxa"/>
        <w:jc w:val="center"/>
        <w:tblBorders>
          <w:top w:val="single" w:color="000000" w:sz="18" w:space="0"/>
          <w:left w:val="none" w:color="auto" w:sz="0" w:space="0"/>
          <w:bottom w:val="single" w:color="000000" w:sz="18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602"/>
        <w:gridCol w:w="1223"/>
        <w:gridCol w:w="1849"/>
        <w:gridCol w:w="1806"/>
      </w:tblGrid>
      <w:tr w14:paraId="09ACCFFF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9" w:hRule="atLeast"/>
          <w:jc w:val="center"/>
        </w:trPr>
        <w:tc>
          <w:tcPr>
            <w:tcW w:w="3602" w:type="dxa"/>
            <w:tcBorders>
              <w:top w:val="single" w:color="000000" w:sz="4" w:space="0"/>
            </w:tcBorders>
            <w:shd w:val="clear" w:color="auto" w:fill="C5E0B3" w:themeFill="accent6" w:themeFillTint="66"/>
            <w:vAlign w:val="center"/>
          </w:tcPr>
          <w:p w14:paraId="146AA9FB">
            <w:pPr>
              <w:widowControl/>
              <w:jc w:val="center"/>
              <w:textAlignment w:val="center"/>
              <w:rPr>
                <w:rFonts w:eastAsiaTheme="majorEastAsia" w:cstheme="major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Theme="majorEastAsia" w:cstheme="majorEastAsia"/>
                <w:b/>
                <w:bCs/>
                <w:color w:val="000000"/>
                <w:kern w:val="0"/>
                <w:sz w:val="24"/>
              </w:rPr>
              <w:t>指标名称</w:t>
            </w:r>
          </w:p>
        </w:tc>
        <w:tc>
          <w:tcPr>
            <w:tcW w:w="1223" w:type="dxa"/>
            <w:tcBorders>
              <w:top w:val="single" w:color="000000" w:sz="4" w:space="0"/>
            </w:tcBorders>
            <w:shd w:val="clear" w:color="auto" w:fill="C5E0B3" w:themeFill="accent6" w:themeFillTint="66"/>
            <w:vAlign w:val="center"/>
          </w:tcPr>
          <w:p w14:paraId="6EC428B6">
            <w:pPr>
              <w:widowControl/>
              <w:jc w:val="center"/>
              <w:textAlignment w:val="center"/>
              <w:rPr>
                <w:rFonts w:eastAsiaTheme="majorEastAsia" w:cstheme="major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Theme="majorEastAsia" w:cstheme="majorEastAsia"/>
                <w:b/>
                <w:bCs/>
                <w:color w:val="000000"/>
                <w:kern w:val="0"/>
                <w:sz w:val="24"/>
              </w:rPr>
              <w:t>计量单位</w:t>
            </w:r>
          </w:p>
        </w:tc>
        <w:tc>
          <w:tcPr>
            <w:tcW w:w="1849" w:type="dxa"/>
            <w:tcBorders>
              <w:top w:val="single" w:color="000000" w:sz="4" w:space="0"/>
            </w:tcBorders>
            <w:shd w:val="clear" w:color="auto" w:fill="C5E0B3" w:themeFill="accent6" w:themeFillTint="66"/>
            <w:vAlign w:val="center"/>
          </w:tcPr>
          <w:p w14:paraId="542BC29F">
            <w:pPr>
              <w:widowControl/>
              <w:jc w:val="center"/>
              <w:textAlignment w:val="center"/>
              <w:rPr>
                <w:rFonts w:eastAsiaTheme="majorEastAsia" w:cstheme="major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Theme="majorEastAsia" w:cstheme="majorEastAsia"/>
                <w:b/>
                <w:bCs/>
                <w:color w:val="000000"/>
                <w:kern w:val="0"/>
                <w:sz w:val="24"/>
              </w:rPr>
              <w:t>2020年</w:t>
            </w:r>
          </w:p>
        </w:tc>
        <w:tc>
          <w:tcPr>
            <w:tcW w:w="1806" w:type="dxa"/>
            <w:tcBorders>
              <w:top w:val="single" w:color="000000" w:sz="4" w:space="0"/>
            </w:tcBorders>
            <w:shd w:val="clear" w:color="auto" w:fill="C5E0B3" w:themeFill="accent6" w:themeFillTint="66"/>
            <w:vAlign w:val="center"/>
          </w:tcPr>
          <w:p w14:paraId="3A0E962E">
            <w:pPr>
              <w:widowControl/>
              <w:jc w:val="center"/>
              <w:textAlignment w:val="center"/>
              <w:rPr>
                <w:rFonts w:eastAsiaTheme="majorEastAsia" w:cstheme="majorEastAsia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Theme="majorEastAsia" w:cstheme="majorEastAsia"/>
                <w:b/>
                <w:bCs/>
                <w:color w:val="000000"/>
                <w:kern w:val="0"/>
                <w:sz w:val="24"/>
              </w:rPr>
              <w:t>比上年±%</w:t>
            </w:r>
          </w:p>
        </w:tc>
      </w:tr>
      <w:tr w14:paraId="14360555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7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7FF3DAF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工业总产值增速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DD4743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%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04BA427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-5.2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6CA8E5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sz w:val="22"/>
                <w:szCs w:val="22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</w:rPr>
              <w:t>下降18个百分点</w:t>
            </w:r>
          </w:p>
        </w:tc>
      </w:tr>
      <w:tr w14:paraId="00627FB8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4B9E961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规模以上工业总产值增速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0D64688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%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4B37EF2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-8.2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0779EF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  <w:sz w:val="22"/>
                <w:szCs w:val="22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</w:rPr>
              <w:t>下降18.6个百分点</w:t>
            </w:r>
          </w:p>
        </w:tc>
      </w:tr>
      <w:tr w14:paraId="492D5813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182FEE8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规模以上工业销售产值增速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6D212E2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%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02BEF38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-9.5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11CF2A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  <w:sz w:val="22"/>
                <w:szCs w:val="22"/>
              </w:rPr>
              <w:t xml:space="preserve">下降20个百分点 </w:t>
            </w:r>
          </w:p>
        </w:tc>
      </w:tr>
      <w:tr w14:paraId="30E88A04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23ED8D4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规模以上工业用电量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0556908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亿度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5C7326C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2.44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66A822A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-19.01</w:t>
            </w:r>
          </w:p>
        </w:tc>
      </w:tr>
      <w:tr w14:paraId="37A9FCEA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tcBorders>
              <w:right w:val="nil"/>
            </w:tcBorders>
            <w:shd w:val="clear" w:color="auto" w:fill="auto"/>
            <w:vAlign w:val="center"/>
          </w:tcPr>
          <w:p w14:paraId="69521C2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规模以上工业企业主要产品产量</w:t>
            </w:r>
          </w:p>
        </w:tc>
        <w:tc>
          <w:tcPr>
            <w:tcW w:w="122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35A60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84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C5AC3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  <w:tc>
          <w:tcPr>
            <w:tcW w:w="1806" w:type="dxa"/>
            <w:tcBorders>
              <w:left w:val="nil"/>
            </w:tcBorders>
            <w:shd w:val="clear" w:color="auto" w:fill="auto"/>
            <w:vAlign w:val="center"/>
          </w:tcPr>
          <w:p w14:paraId="2CF352E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</w:p>
        </w:tc>
      </w:tr>
      <w:tr w14:paraId="12D665C7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3D58F86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#水泥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A84FF7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万吨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62F92E8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34.7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4B9641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23.6</w:t>
            </w:r>
          </w:p>
        </w:tc>
      </w:tr>
      <w:tr w14:paraId="79708C22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52777AB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摩配件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0929AFE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万元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3450DF4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10066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4D1C83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5.3</w:t>
            </w:r>
          </w:p>
        </w:tc>
      </w:tr>
      <w:tr w14:paraId="43659956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02B835B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饮料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17A257E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万吨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38A2B39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15.7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0011BE2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-1.3</w:t>
            </w:r>
          </w:p>
        </w:tc>
      </w:tr>
      <w:tr w14:paraId="2079F5B5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15630A7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发电量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6A7DB47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万度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6874805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58140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5DE36E5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34.3</w:t>
            </w:r>
          </w:p>
        </w:tc>
      </w:tr>
      <w:tr w14:paraId="407DB6CD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5E4A39E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中成药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6B8CF8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吨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359B151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5718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4BA4278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19.2</w:t>
            </w:r>
          </w:p>
        </w:tc>
      </w:tr>
      <w:tr w14:paraId="50074D43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684935A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塑料制品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20F6CCB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吨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0C31901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122593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0FC400D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23.5</w:t>
            </w:r>
          </w:p>
        </w:tc>
      </w:tr>
      <w:tr w14:paraId="068399C1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shd w:val="clear" w:color="auto" w:fill="auto"/>
            <w:vAlign w:val="center"/>
          </w:tcPr>
          <w:p w14:paraId="507AE1F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鲜、冷藏肉</w:t>
            </w:r>
          </w:p>
        </w:tc>
        <w:tc>
          <w:tcPr>
            <w:tcW w:w="1223" w:type="dxa"/>
            <w:shd w:val="clear" w:color="auto" w:fill="auto"/>
            <w:vAlign w:val="center"/>
          </w:tcPr>
          <w:p w14:paraId="576F94B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吨</w:t>
            </w:r>
          </w:p>
        </w:tc>
        <w:tc>
          <w:tcPr>
            <w:tcW w:w="1849" w:type="dxa"/>
            <w:shd w:val="clear" w:color="auto" w:fill="auto"/>
            <w:vAlign w:val="center"/>
          </w:tcPr>
          <w:p w14:paraId="37F920D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2008.8</w:t>
            </w:r>
          </w:p>
        </w:tc>
        <w:tc>
          <w:tcPr>
            <w:tcW w:w="1806" w:type="dxa"/>
            <w:shd w:val="clear" w:color="auto" w:fill="auto"/>
            <w:vAlign w:val="center"/>
          </w:tcPr>
          <w:p w14:paraId="24F164A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-92.4</w:t>
            </w:r>
          </w:p>
        </w:tc>
      </w:tr>
      <w:tr w14:paraId="04B06DD7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0" w:hRule="atLeast"/>
          <w:jc w:val="center"/>
        </w:trPr>
        <w:tc>
          <w:tcPr>
            <w:tcW w:w="3602" w:type="dxa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185219B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饲料</w:t>
            </w:r>
          </w:p>
        </w:tc>
        <w:tc>
          <w:tcPr>
            <w:tcW w:w="1223" w:type="dxa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67907D4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吨</w:t>
            </w:r>
          </w:p>
        </w:tc>
        <w:tc>
          <w:tcPr>
            <w:tcW w:w="1849" w:type="dxa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3ECCB2B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33069.0</w:t>
            </w:r>
          </w:p>
        </w:tc>
        <w:tc>
          <w:tcPr>
            <w:tcW w:w="1806" w:type="dxa"/>
            <w:tcBorders>
              <w:bottom w:val="single" w:color="000000" w:sz="4" w:space="0"/>
            </w:tcBorders>
            <w:shd w:val="clear" w:color="auto" w:fill="auto"/>
            <w:vAlign w:val="center"/>
          </w:tcPr>
          <w:p w14:paraId="4D1A035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44.4</w:t>
            </w:r>
          </w:p>
        </w:tc>
      </w:tr>
    </w:tbl>
    <w:p w14:paraId="6E2B0F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实现建筑业增加值92.72亿元，比上年增长4.7%。全县具有资质等级的总承包和专业承包建筑企业共85家，实现注册地总产值281.77亿元，增长15%。全年建筑施工面积375.67万平方米，下降23.7%；建筑竣工面积168.18万平方米，下降19.3%。</w:t>
      </w:r>
    </w:p>
    <w:p w14:paraId="75834A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四、固定资产投资</w:t>
      </w:r>
    </w:p>
    <w:p w14:paraId="4449C5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全年全社会固定资产投资实现222.98 亿元，比上年增长10.6%。基础设施投资实现 82.45亿元，增长4.4%，占固定资产投资（不含农户）的比重为37%。民间固定资产投资实现136.86亿元 ，增长5.4%，占固定资产投资（不含农户）的比重为61.4%。</w:t>
      </w:r>
    </w:p>
    <w:p w14:paraId="3E2748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项目完成投资（单个项目500万元以上）173.29亿元，比上年增长10.2%；房地产开发投资49.69亿元，增长11.8%。按产业划分，第一产业投资37.58亿元，增长30.7%；第二产业投资21.46亿元，增长27.3%，其中，工业投资21.37亿元，增长26.8%；第三产业投资163.94亿元，增长5.1%，其中，房地产开发投资占第三产业投资的比重为30.3%。</w:t>
      </w:r>
    </w:p>
    <w:p w14:paraId="595F1F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商品房屋施工面积303.86万平方米，比上年下降18.1%。其中，新开工面积达28.27万平方米，下降55.1%。商品房屋建筑竣工面积39.97万平方米，增长54.3%；商品房销售面积92.29万平方米，增长17.7%；实现商品房销售额60.51亿元，增长18.6%。</w:t>
      </w:r>
    </w:p>
    <w:p w14:paraId="07438B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五、国内贸易和对外经济</w:t>
      </w:r>
    </w:p>
    <w:p w14:paraId="7E40BC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全年完成社会消费品零售总额299.01亿元，比上年增长4.0%。全年实现商品销售额增长13.0%。住宿和餐饮业营业额增长8.2%。</w:t>
      </w:r>
    </w:p>
    <w:p w14:paraId="35B21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限上批发和零售企业168家，其中：批发企业45家，当年新增8家；零售企业123家，当年新增37家。限上住宿和餐饮业79家，其中：住宿企业23家，当年新增5家；餐饮企业56家，当年新增18家。</w:t>
      </w:r>
    </w:p>
    <w:p w14:paraId="1017B3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 xml:space="preserve">招商引资有成效，招商引资协议资金218.3亿元，比上年增长45%。其中，千万元以上项目77个，增长24.2%；到位资金125.5亿元，增长3.7%；在建项目106个，增长11.6%。 </w:t>
      </w:r>
    </w:p>
    <w:p w14:paraId="564AA6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color w:val="000000"/>
          <w:sz w:val="32"/>
          <w:szCs w:val="32"/>
          <w:shd w:val="clear" w:color="auto" w:fill="FFFFFF"/>
        </w:rPr>
        <w:t>全年货物进出口总额26936.3万元，比上年增长18%。其中，出口18764.8万元，增长105%；进口8171.5万元，下降40.2%。</w:t>
      </w:r>
    </w:p>
    <w:p w14:paraId="0DFF65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六、交通和邮电</w:t>
      </w:r>
    </w:p>
    <w:p w14:paraId="6BD45A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公路通车总里程9339公里。其中，高速公路70公里；二级公路41公里。公路桥梁达到4座，全县支流通航里程达到137公里，长江干线69.5公里，共计206.5公里。乡镇通畅率、行政村公路通畅率、行政村公路通达率均达100%。</w:t>
      </w:r>
    </w:p>
    <w:p w14:paraId="15E678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全年交通运输业完成客运量</w:t>
      </w:r>
      <w:r>
        <w:rPr>
          <w:rFonts w:hint="eastAsia" w:eastAsia="方正仿宋_GBK"/>
          <w:sz w:val="32"/>
          <w:szCs w:val="32"/>
        </w:rPr>
        <w:t>1158.1</w:t>
      </w:r>
      <w:r>
        <w:rPr>
          <w:rFonts w:eastAsia="方正仿宋_GBK"/>
          <w:sz w:val="32"/>
          <w:szCs w:val="32"/>
        </w:rPr>
        <w:t>万人次，比上年</w:t>
      </w:r>
      <w:r>
        <w:rPr>
          <w:rFonts w:hint="eastAsia" w:eastAsia="方正仿宋_GBK"/>
          <w:sz w:val="32"/>
          <w:szCs w:val="32"/>
        </w:rPr>
        <w:t>下降19.9</w:t>
      </w:r>
      <w:r>
        <w:rPr>
          <w:rFonts w:eastAsia="方正仿宋_GBK"/>
          <w:sz w:val="32"/>
          <w:szCs w:val="32"/>
        </w:rPr>
        <w:t>%，其中，公路客运量</w:t>
      </w:r>
      <w:r>
        <w:rPr>
          <w:rFonts w:hint="eastAsia" w:eastAsia="方正仿宋_GBK"/>
          <w:sz w:val="32"/>
          <w:szCs w:val="32"/>
        </w:rPr>
        <w:t>1146</w:t>
      </w:r>
      <w:r>
        <w:rPr>
          <w:rFonts w:eastAsia="方正仿宋_GBK"/>
          <w:sz w:val="32"/>
          <w:szCs w:val="32"/>
        </w:rPr>
        <w:t>万人次，</w:t>
      </w:r>
      <w:r>
        <w:rPr>
          <w:rFonts w:hint="eastAsia" w:eastAsia="方正仿宋_GBK"/>
          <w:sz w:val="32"/>
          <w:szCs w:val="32"/>
        </w:rPr>
        <w:t>下降19.4</w:t>
      </w:r>
      <w:r>
        <w:rPr>
          <w:rFonts w:eastAsia="方正仿宋_GBK"/>
          <w:sz w:val="32"/>
          <w:szCs w:val="32"/>
        </w:rPr>
        <w:t>%；水路客运量</w:t>
      </w:r>
      <w:r>
        <w:rPr>
          <w:rFonts w:hint="eastAsia" w:eastAsia="方正仿宋_GBK"/>
          <w:sz w:val="32"/>
          <w:szCs w:val="32"/>
        </w:rPr>
        <w:t>12.1</w:t>
      </w:r>
      <w:r>
        <w:rPr>
          <w:rFonts w:eastAsia="方正仿宋_GBK"/>
          <w:sz w:val="32"/>
          <w:szCs w:val="32"/>
        </w:rPr>
        <w:t>万人次，</w:t>
      </w:r>
      <w:r>
        <w:rPr>
          <w:rFonts w:hint="eastAsia" w:eastAsia="方正仿宋_GBK"/>
          <w:sz w:val="32"/>
          <w:szCs w:val="32"/>
        </w:rPr>
        <w:t>下降49.2%</w:t>
      </w:r>
      <w:r>
        <w:rPr>
          <w:rFonts w:eastAsia="方正仿宋_GBK"/>
          <w:sz w:val="32"/>
          <w:szCs w:val="32"/>
        </w:rPr>
        <w:t>。全年交通运输货运量</w:t>
      </w:r>
      <w:r>
        <w:rPr>
          <w:rFonts w:hint="eastAsia" w:eastAsia="方正仿宋_GBK"/>
          <w:sz w:val="32"/>
          <w:szCs w:val="32"/>
        </w:rPr>
        <w:t>1834</w:t>
      </w:r>
      <w:r>
        <w:rPr>
          <w:rFonts w:eastAsia="方正仿宋_GBK"/>
          <w:sz w:val="32"/>
          <w:szCs w:val="32"/>
        </w:rPr>
        <w:t>万吨，增长</w:t>
      </w:r>
      <w:r>
        <w:rPr>
          <w:rFonts w:hint="eastAsia" w:eastAsia="方正仿宋_GBK"/>
          <w:sz w:val="32"/>
          <w:szCs w:val="32"/>
        </w:rPr>
        <w:t>5.3</w:t>
      </w:r>
      <w:r>
        <w:rPr>
          <w:rFonts w:eastAsia="方正仿宋_GBK"/>
          <w:sz w:val="32"/>
          <w:szCs w:val="32"/>
        </w:rPr>
        <w:t>%，其中，公路货运量</w:t>
      </w:r>
      <w:r>
        <w:rPr>
          <w:rFonts w:hint="eastAsia" w:eastAsia="方正仿宋_GBK"/>
          <w:sz w:val="32"/>
          <w:szCs w:val="32"/>
        </w:rPr>
        <w:t>456</w:t>
      </w:r>
      <w:r>
        <w:rPr>
          <w:rFonts w:eastAsia="方正仿宋_GBK"/>
          <w:sz w:val="32"/>
          <w:szCs w:val="32"/>
        </w:rPr>
        <w:t>万吨，</w:t>
      </w:r>
      <w:r>
        <w:rPr>
          <w:rFonts w:hint="eastAsia" w:eastAsia="方正仿宋_GBK"/>
          <w:sz w:val="32"/>
          <w:szCs w:val="32"/>
        </w:rPr>
        <w:t>增长18.3</w:t>
      </w:r>
      <w:r>
        <w:rPr>
          <w:rFonts w:eastAsia="方正仿宋_GBK"/>
          <w:sz w:val="32"/>
          <w:szCs w:val="32"/>
        </w:rPr>
        <w:t>%；水路货运量</w:t>
      </w:r>
      <w:r>
        <w:rPr>
          <w:rFonts w:hint="eastAsia" w:eastAsia="方正仿宋_GBK"/>
          <w:sz w:val="32"/>
          <w:szCs w:val="32"/>
        </w:rPr>
        <w:t>1378</w:t>
      </w:r>
      <w:r>
        <w:rPr>
          <w:rFonts w:eastAsia="方正仿宋_GBK"/>
          <w:sz w:val="32"/>
          <w:szCs w:val="32"/>
        </w:rPr>
        <w:t>万吨，增长</w:t>
      </w:r>
      <w:r>
        <w:rPr>
          <w:rFonts w:hint="eastAsia" w:eastAsia="方正仿宋_GBK"/>
          <w:sz w:val="32"/>
          <w:szCs w:val="32"/>
        </w:rPr>
        <w:t>1.6</w:t>
      </w:r>
      <w:r>
        <w:rPr>
          <w:rFonts w:eastAsia="方正仿宋_GBK"/>
          <w:sz w:val="32"/>
          <w:szCs w:val="32"/>
        </w:rPr>
        <w:t>%。</w:t>
      </w:r>
    </w:p>
    <w:p w14:paraId="618DC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3" w:firstLineChars="200"/>
        <w:jc w:val="center"/>
        <w:textAlignment w:val="auto"/>
        <w:rPr>
          <w:rFonts w:eastAsia="方正仿宋_GBK"/>
          <w:b/>
          <w:bCs/>
          <w:sz w:val="32"/>
          <w:szCs w:val="32"/>
        </w:rPr>
      </w:pPr>
      <w:r>
        <w:rPr>
          <w:rFonts w:eastAsia="方正仿宋_GBK"/>
          <w:b/>
          <w:bCs/>
          <w:sz w:val="32"/>
          <w:szCs w:val="32"/>
        </w:rPr>
        <w:t>表4  20</w:t>
      </w:r>
      <w:r>
        <w:rPr>
          <w:rFonts w:hint="eastAsia" w:eastAsia="方正仿宋_GBK"/>
          <w:b/>
          <w:bCs/>
          <w:sz w:val="32"/>
          <w:szCs w:val="32"/>
        </w:rPr>
        <w:t>20</w:t>
      </w:r>
      <w:r>
        <w:rPr>
          <w:rFonts w:eastAsia="方正仿宋_GBK"/>
          <w:b/>
          <w:bCs/>
          <w:sz w:val="32"/>
          <w:szCs w:val="32"/>
        </w:rPr>
        <w:t>年客货运输量</w:t>
      </w:r>
    </w:p>
    <w:tbl>
      <w:tblPr>
        <w:tblStyle w:val="5"/>
        <w:tblW w:w="804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64"/>
        <w:gridCol w:w="2300"/>
        <w:gridCol w:w="2576"/>
      </w:tblGrid>
      <w:tr w14:paraId="3D7C107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9" w:hRule="atLeast"/>
          <w:jc w:val="center"/>
        </w:trPr>
        <w:tc>
          <w:tcPr>
            <w:tcW w:w="3164" w:type="dxa"/>
            <w:tcBorders>
              <w:top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C5E0B3" w:themeFill="accent6" w:themeFillTint="66"/>
            <w:vAlign w:val="center"/>
          </w:tcPr>
          <w:p w14:paraId="5271E512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指标名称</w:t>
            </w:r>
          </w:p>
        </w:tc>
        <w:tc>
          <w:tcPr>
            <w:tcW w:w="2300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 w:themeFill="accent6" w:themeFillTint="66"/>
            <w:vAlign w:val="center"/>
          </w:tcPr>
          <w:p w14:paraId="03384E42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绝对额</w:t>
            </w:r>
          </w:p>
        </w:tc>
        <w:tc>
          <w:tcPr>
            <w:tcW w:w="2576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C5E0B3" w:themeFill="accent6" w:themeFillTint="66"/>
            <w:vAlign w:val="center"/>
          </w:tcPr>
          <w:p w14:paraId="603FBC8F">
            <w:pPr>
              <w:widowControl/>
              <w:jc w:val="center"/>
              <w:textAlignment w:val="center"/>
              <w:rPr>
                <w:rFonts w:eastAsia="方正仿宋_GBK" w:cs="方正仿宋_GBK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eastAsia="方正仿宋_GBK" w:cs="方正仿宋_GBK"/>
                <w:b/>
                <w:bCs/>
                <w:color w:val="000000"/>
                <w:kern w:val="0"/>
                <w:sz w:val="24"/>
              </w:rPr>
              <w:t>比上年增长±%</w:t>
            </w:r>
          </w:p>
        </w:tc>
      </w:tr>
      <w:tr w14:paraId="3FFEC3B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9857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旅客运输量(万人次）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A8B1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1158.1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5412D0D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-19.9</w:t>
            </w:r>
          </w:p>
        </w:tc>
      </w:tr>
      <w:tr w14:paraId="0D4CA2C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781C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＃公路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EFB4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1146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63905D3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-19.4</w:t>
            </w:r>
          </w:p>
        </w:tc>
      </w:tr>
      <w:tr w14:paraId="4BC3118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3940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水运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DE44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12.1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E55A7B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-49.2</w:t>
            </w:r>
          </w:p>
        </w:tc>
      </w:tr>
      <w:tr w14:paraId="3608792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9714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货物运输量（万吨）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7FD7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1834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674E7B9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5.3</w:t>
            </w:r>
          </w:p>
        </w:tc>
      </w:tr>
      <w:tr w14:paraId="17BDC2E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F62F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＃公路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41D0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456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113051A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18.3</w:t>
            </w:r>
          </w:p>
        </w:tc>
      </w:tr>
      <w:tr w14:paraId="31766A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3164" w:type="dxa"/>
            <w:tcBorders>
              <w:top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 w14:paraId="58EFB03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水运</w:t>
            </w:r>
          </w:p>
        </w:tc>
        <w:tc>
          <w:tcPr>
            <w:tcW w:w="230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 w14:paraId="4DE4FA85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1378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</w:tcBorders>
            <w:shd w:val="clear" w:color="auto" w:fill="auto"/>
            <w:vAlign w:val="center"/>
          </w:tcPr>
          <w:p w14:paraId="166450A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1.6</w:t>
            </w:r>
          </w:p>
        </w:tc>
      </w:tr>
    </w:tbl>
    <w:p w14:paraId="0CCB9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拥有营业性载客汽车889辆。其中，长安车275辆、公交车118辆、出租车225辆；营业性载货汽车1321辆。运输船舶实有数为325艘，其中，货运船舶239艘、普通客船14艘、机动渡船50艘、人力渡船9艘、清水河游览船13艘。</w:t>
      </w:r>
    </w:p>
    <w:p w14:paraId="108A44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/>
          <w:b/>
          <w:bCs/>
          <w:sz w:val="32"/>
          <w:szCs w:val="32"/>
        </w:rPr>
      </w:pPr>
      <w:r>
        <w:rPr>
          <w:rFonts w:eastAsia="方正仿宋_GBK"/>
          <w:sz w:val="32"/>
          <w:szCs w:val="32"/>
        </w:rPr>
        <w:t>全年完成邮电业务总量</w:t>
      </w:r>
      <w:r>
        <w:rPr>
          <w:rFonts w:hint="eastAsia" w:eastAsia="方正仿宋_GBK"/>
          <w:sz w:val="32"/>
          <w:szCs w:val="32"/>
        </w:rPr>
        <w:t>71182.9</w:t>
      </w:r>
      <w:r>
        <w:rPr>
          <w:rFonts w:eastAsia="方正仿宋_GBK"/>
          <w:sz w:val="32"/>
          <w:szCs w:val="32"/>
        </w:rPr>
        <w:t>万元，比上年</w:t>
      </w:r>
      <w:r>
        <w:rPr>
          <w:rFonts w:hint="eastAsia" w:eastAsia="方正仿宋_GBK"/>
          <w:sz w:val="32"/>
          <w:szCs w:val="32"/>
        </w:rPr>
        <w:t>增长3.6</w:t>
      </w:r>
      <w:r>
        <w:rPr>
          <w:rFonts w:eastAsia="方正仿宋_GBK"/>
          <w:sz w:val="32"/>
          <w:szCs w:val="32"/>
        </w:rPr>
        <w:t>%。年末固定电话用户</w:t>
      </w:r>
      <w:r>
        <w:rPr>
          <w:rFonts w:hint="eastAsia" w:eastAsia="方正仿宋_GBK"/>
          <w:sz w:val="32"/>
          <w:szCs w:val="32"/>
        </w:rPr>
        <w:t>8.47</w:t>
      </w:r>
      <w:r>
        <w:rPr>
          <w:rFonts w:eastAsia="方正仿宋_GBK"/>
          <w:sz w:val="32"/>
          <w:szCs w:val="32"/>
        </w:rPr>
        <w:t>万户，比上年</w:t>
      </w:r>
      <w:r>
        <w:rPr>
          <w:rFonts w:hint="eastAsia" w:eastAsia="方正仿宋_GBK"/>
          <w:sz w:val="32"/>
          <w:szCs w:val="32"/>
        </w:rPr>
        <w:t>下降6.2</w:t>
      </w:r>
      <w:r>
        <w:rPr>
          <w:rFonts w:eastAsia="方正仿宋_GBK"/>
          <w:sz w:val="32"/>
          <w:szCs w:val="32"/>
        </w:rPr>
        <w:t>%；移动电话年末用户达</w:t>
      </w:r>
      <w:r>
        <w:rPr>
          <w:rFonts w:hint="eastAsia" w:eastAsia="方正仿宋_GBK"/>
          <w:sz w:val="32"/>
          <w:szCs w:val="32"/>
        </w:rPr>
        <w:t>98.25</w:t>
      </w:r>
      <w:r>
        <w:rPr>
          <w:rFonts w:eastAsia="方正仿宋_GBK"/>
          <w:sz w:val="32"/>
          <w:szCs w:val="32"/>
        </w:rPr>
        <w:t>万户，增长</w:t>
      </w:r>
      <w:r>
        <w:rPr>
          <w:rFonts w:hint="eastAsia" w:eastAsia="方正仿宋_GBK"/>
          <w:sz w:val="32"/>
          <w:szCs w:val="32"/>
        </w:rPr>
        <w:t>14.1</w:t>
      </w:r>
      <w:r>
        <w:rPr>
          <w:rFonts w:eastAsia="方正仿宋_GBK"/>
          <w:sz w:val="32"/>
          <w:szCs w:val="32"/>
        </w:rPr>
        <w:t>%。</w:t>
      </w:r>
    </w:p>
    <w:p w14:paraId="1D58DA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黑体_GBK"/>
          <w:sz w:val="32"/>
          <w:szCs w:val="32"/>
        </w:rPr>
      </w:pPr>
      <w:r>
        <w:rPr>
          <w:rFonts w:eastAsia="方正黑体_GBK"/>
          <w:sz w:val="32"/>
          <w:szCs w:val="32"/>
        </w:rPr>
        <w:t>七、财政金融</w:t>
      </w:r>
    </w:p>
    <w:p w14:paraId="1A833D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全年地方财政收入</w:t>
      </w:r>
      <w:r>
        <w:rPr>
          <w:rFonts w:hint="eastAsia" w:eastAsia="方正仿宋_GBK"/>
          <w:sz w:val="32"/>
          <w:szCs w:val="32"/>
        </w:rPr>
        <w:t>33.18</w:t>
      </w:r>
      <w:r>
        <w:rPr>
          <w:rFonts w:eastAsia="方正仿宋_GBK"/>
          <w:sz w:val="32"/>
          <w:szCs w:val="32"/>
        </w:rPr>
        <w:t>亿元，比上年增长</w:t>
      </w:r>
      <w:r>
        <w:rPr>
          <w:rFonts w:hint="eastAsia" w:eastAsia="方正仿宋_GBK"/>
          <w:sz w:val="32"/>
          <w:szCs w:val="32"/>
        </w:rPr>
        <w:t>12</w:t>
      </w:r>
      <w:r>
        <w:rPr>
          <w:rFonts w:eastAsia="方正仿宋_GBK"/>
          <w:sz w:val="32"/>
          <w:szCs w:val="32"/>
        </w:rPr>
        <w:t>%。一般公共预算收入</w:t>
      </w:r>
      <w:r>
        <w:rPr>
          <w:rFonts w:hint="eastAsia" w:eastAsia="方正仿宋_GBK"/>
          <w:sz w:val="32"/>
          <w:szCs w:val="32"/>
        </w:rPr>
        <w:t>16.84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5.1</w:t>
      </w:r>
      <w:r>
        <w:rPr>
          <w:rFonts w:eastAsia="方正仿宋_GBK"/>
          <w:sz w:val="32"/>
          <w:szCs w:val="32"/>
        </w:rPr>
        <w:t>%，一般公共预算收入中，税收收入</w:t>
      </w:r>
      <w:r>
        <w:rPr>
          <w:rFonts w:hint="eastAsia" w:eastAsia="方正仿宋_GBK"/>
          <w:sz w:val="32"/>
          <w:szCs w:val="32"/>
        </w:rPr>
        <w:t>10.8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4.2</w:t>
      </w:r>
      <w:r>
        <w:rPr>
          <w:rFonts w:eastAsia="方正仿宋_GBK"/>
          <w:sz w:val="32"/>
          <w:szCs w:val="32"/>
        </w:rPr>
        <w:t>%；非税收收入</w:t>
      </w:r>
      <w:r>
        <w:rPr>
          <w:rFonts w:hint="eastAsia" w:eastAsia="方正仿宋_GBK"/>
          <w:sz w:val="32"/>
          <w:szCs w:val="32"/>
        </w:rPr>
        <w:t>6.04</w:t>
      </w:r>
      <w:r>
        <w:rPr>
          <w:rFonts w:eastAsia="方正仿宋_GBK"/>
          <w:sz w:val="32"/>
          <w:szCs w:val="32"/>
        </w:rPr>
        <w:t>亿元，比上年增加</w:t>
      </w:r>
      <w:r>
        <w:rPr>
          <w:rFonts w:hint="eastAsia" w:eastAsia="方正仿宋_GBK"/>
          <w:sz w:val="32"/>
          <w:szCs w:val="32"/>
        </w:rPr>
        <w:t>6.7</w:t>
      </w:r>
      <w:r>
        <w:rPr>
          <w:rFonts w:eastAsia="方正仿宋_GBK"/>
          <w:sz w:val="32"/>
          <w:szCs w:val="32"/>
        </w:rPr>
        <w:t>%。基金预算收入</w:t>
      </w:r>
      <w:r>
        <w:rPr>
          <w:rFonts w:hint="eastAsia" w:eastAsia="方正仿宋_GBK"/>
          <w:sz w:val="32"/>
          <w:szCs w:val="32"/>
        </w:rPr>
        <w:t>15.84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17.7</w:t>
      </w:r>
      <w:r>
        <w:rPr>
          <w:rFonts w:eastAsia="方正仿宋_GBK"/>
          <w:sz w:val="32"/>
          <w:szCs w:val="32"/>
        </w:rPr>
        <w:t>%。</w:t>
      </w:r>
    </w:p>
    <w:p w14:paraId="2C8C9C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全年地方财政支出</w:t>
      </w:r>
      <w:r>
        <w:rPr>
          <w:rFonts w:hint="eastAsia" w:eastAsia="方正仿宋_GBK"/>
          <w:sz w:val="32"/>
          <w:szCs w:val="32"/>
        </w:rPr>
        <w:t>127.27</w:t>
      </w:r>
      <w:r>
        <w:rPr>
          <w:rFonts w:eastAsia="方正仿宋_GBK"/>
          <w:sz w:val="32"/>
          <w:szCs w:val="32"/>
        </w:rPr>
        <w:t>亿元，比上年增长</w:t>
      </w:r>
      <w:r>
        <w:rPr>
          <w:rFonts w:hint="eastAsia" w:eastAsia="方正仿宋_GBK"/>
          <w:sz w:val="32"/>
          <w:szCs w:val="32"/>
        </w:rPr>
        <w:t>18.6</w:t>
      </w:r>
      <w:r>
        <w:rPr>
          <w:rFonts w:eastAsia="方正仿宋_GBK"/>
          <w:sz w:val="32"/>
          <w:szCs w:val="32"/>
        </w:rPr>
        <w:t>%。其中，一般公共预算支出</w:t>
      </w:r>
      <w:r>
        <w:rPr>
          <w:rFonts w:hint="eastAsia" w:eastAsia="方正仿宋_GBK"/>
          <w:sz w:val="32"/>
          <w:szCs w:val="32"/>
        </w:rPr>
        <w:t>90.01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6.8</w:t>
      </w:r>
      <w:r>
        <w:rPr>
          <w:rFonts w:eastAsia="方正仿宋_GBK"/>
          <w:sz w:val="32"/>
          <w:szCs w:val="32"/>
        </w:rPr>
        <w:t>%。一般公共预算支出中，一般公共服务、公共安全、教育、社会保障</w:t>
      </w:r>
      <w:r>
        <w:rPr>
          <w:rFonts w:hint="eastAsia" w:eastAsia="方正仿宋_GBK"/>
          <w:sz w:val="32"/>
          <w:szCs w:val="32"/>
        </w:rPr>
        <w:t>和</w:t>
      </w:r>
      <w:r>
        <w:rPr>
          <w:rFonts w:eastAsia="方正仿宋_GBK"/>
          <w:sz w:val="32"/>
          <w:szCs w:val="32"/>
        </w:rPr>
        <w:t>就业、卫生</w:t>
      </w:r>
      <w:r>
        <w:rPr>
          <w:rFonts w:hint="eastAsia" w:eastAsia="方正仿宋_GBK"/>
          <w:sz w:val="32"/>
          <w:szCs w:val="32"/>
        </w:rPr>
        <w:t>健康</w:t>
      </w:r>
      <w:r>
        <w:rPr>
          <w:rFonts w:eastAsia="方正仿宋_GBK"/>
          <w:sz w:val="32"/>
          <w:szCs w:val="32"/>
        </w:rPr>
        <w:t>、节能环保、城乡社区分别支出</w:t>
      </w:r>
      <w:r>
        <w:rPr>
          <w:rFonts w:hint="eastAsia" w:eastAsia="方正仿宋_GBK"/>
          <w:sz w:val="32"/>
          <w:szCs w:val="32"/>
        </w:rPr>
        <w:t>7.68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3.02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19.72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13.27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13.88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3.64</w:t>
      </w:r>
      <w:r>
        <w:rPr>
          <w:rFonts w:eastAsia="方正仿宋_GBK"/>
          <w:sz w:val="32"/>
          <w:szCs w:val="32"/>
        </w:rPr>
        <w:t>亿元、</w:t>
      </w:r>
      <w:r>
        <w:rPr>
          <w:rFonts w:hint="eastAsia" w:eastAsia="方正仿宋_GBK"/>
          <w:sz w:val="32"/>
          <w:szCs w:val="32"/>
        </w:rPr>
        <w:t>2.68</w:t>
      </w:r>
      <w:r>
        <w:rPr>
          <w:rFonts w:eastAsia="方正仿宋_GBK"/>
          <w:sz w:val="32"/>
          <w:szCs w:val="32"/>
        </w:rPr>
        <w:t>亿元、增长速度分别是</w:t>
      </w:r>
      <w:r>
        <w:rPr>
          <w:rFonts w:hint="eastAsia" w:eastAsia="方正仿宋_GBK"/>
          <w:sz w:val="32"/>
          <w:szCs w:val="32"/>
        </w:rPr>
        <w:t>29.6</w:t>
      </w:r>
      <w:r>
        <w:rPr>
          <w:rFonts w:eastAsia="方正仿宋_GBK"/>
          <w:sz w:val="32"/>
          <w:szCs w:val="32"/>
        </w:rPr>
        <w:t>%、</w:t>
      </w:r>
      <w:r>
        <w:rPr>
          <w:rFonts w:hint="eastAsia" w:eastAsia="方正仿宋_GBK"/>
          <w:sz w:val="32"/>
          <w:szCs w:val="32"/>
        </w:rPr>
        <w:t>19.3</w:t>
      </w:r>
      <w:r>
        <w:rPr>
          <w:rFonts w:eastAsia="方正仿宋_GBK"/>
          <w:sz w:val="32"/>
          <w:szCs w:val="32"/>
        </w:rPr>
        <w:t>%、</w:t>
      </w:r>
      <w:r>
        <w:rPr>
          <w:rFonts w:hint="eastAsia" w:eastAsia="方正仿宋_GBK"/>
          <w:sz w:val="32"/>
          <w:szCs w:val="32"/>
        </w:rPr>
        <w:t>2.3</w:t>
      </w:r>
      <w:r>
        <w:rPr>
          <w:rFonts w:eastAsia="方正仿宋_GBK"/>
          <w:sz w:val="32"/>
          <w:szCs w:val="32"/>
        </w:rPr>
        <w:t>%、</w:t>
      </w:r>
      <w:r>
        <w:rPr>
          <w:rFonts w:hint="eastAsia" w:eastAsia="方正仿宋_GBK"/>
          <w:sz w:val="32"/>
          <w:szCs w:val="32"/>
        </w:rPr>
        <w:t>11</w:t>
      </w:r>
      <w:r>
        <w:rPr>
          <w:rFonts w:eastAsia="方正仿宋_GBK"/>
          <w:sz w:val="32"/>
          <w:szCs w:val="32"/>
        </w:rPr>
        <w:t>%、</w:t>
      </w:r>
      <w:r>
        <w:rPr>
          <w:rFonts w:hint="eastAsia" w:eastAsia="方正仿宋_GBK"/>
          <w:sz w:val="32"/>
          <w:szCs w:val="32"/>
        </w:rPr>
        <w:t>6.5</w:t>
      </w:r>
      <w:r>
        <w:rPr>
          <w:rFonts w:eastAsia="方正仿宋_GBK"/>
          <w:sz w:val="32"/>
          <w:szCs w:val="32"/>
        </w:rPr>
        <w:t>%、</w:t>
      </w:r>
      <w:r>
        <w:rPr>
          <w:rFonts w:hint="eastAsia" w:eastAsia="方正仿宋_GBK"/>
          <w:sz w:val="32"/>
          <w:szCs w:val="32"/>
        </w:rPr>
        <w:t>81.8</w:t>
      </w:r>
      <w:r>
        <w:rPr>
          <w:rFonts w:eastAsia="方正仿宋_GBK"/>
          <w:sz w:val="32"/>
          <w:szCs w:val="32"/>
        </w:rPr>
        <w:t>%和</w:t>
      </w:r>
      <w:r>
        <w:rPr>
          <w:rFonts w:hint="eastAsia" w:eastAsia="方正仿宋_GBK"/>
          <w:sz w:val="32"/>
          <w:szCs w:val="32"/>
        </w:rPr>
        <w:t>-8.2</w:t>
      </w:r>
      <w:r>
        <w:rPr>
          <w:rFonts w:eastAsia="方正仿宋_GBK"/>
          <w:sz w:val="32"/>
          <w:szCs w:val="32"/>
        </w:rPr>
        <w:t>%。基金预算支出为</w:t>
      </w:r>
      <w:r>
        <w:rPr>
          <w:rFonts w:hint="eastAsia" w:eastAsia="方正仿宋_GBK"/>
          <w:sz w:val="32"/>
          <w:szCs w:val="32"/>
        </w:rPr>
        <w:t>37.27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62.1</w:t>
      </w:r>
      <w:r>
        <w:rPr>
          <w:rFonts w:eastAsia="方正仿宋_GBK"/>
          <w:sz w:val="32"/>
          <w:szCs w:val="32"/>
        </w:rPr>
        <w:t>%。</w:t>
      </w:r>
    </w:p>
    <w:p w14:paraId="2C8649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全县金融机构总数46家，其中银行10家，保险机构22家，证券机构2家，小额贷款公司3家，基金公司4家，担保公司2家，典当机构3家。</w:t>
      </w:r>
    </w:p>
    <w:p w14:paraId="136AAC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全县年末金融机构人民币存款余额达</w:t>
      </w:r>
      <w:r>
        <w:rPr>
          <w:rFonts w:hint="eastAsia" w:eastAsia="方正仿宋_GBK"/>
          <w:sz w:val="32"/>
          <w:szCs w:val="32"/>
        </w:rPr>
        <w:t>535.23</w:t>
      </w:r>
      <w:r>
        <w:rPr>
          <w:rFonts w:eastAsia="方正仿宋_GBK"/>
          <w:sz w:val="32"/>
          <w:szCs w:val="32"/>
        </w:rPr>
        <w:t>亿元，比上年末增长</w:t>
      </w:r>
      <w:r>
        <w:rPr>
          <w:rFonts w:hint="eastAsia" w:eastAsia="方正仿宋_GBK"/>
          <w:sz w:val="32"/>
          <w:szCs w:val="32"/>
        </w:rPr>
        <w:t>8.9</w:t>
      </w:r>
      <w:r>
        <w:rPr>
          <w:rFonts w:eastAsia="方正仿宋_GBK"/>
          <w:sz w:val="32"/>
          <w:szCs w:val="32"/>
        </w:rPr>
        <w:t>%。其中，住户储蓄存款余额</w:t>
      </w:r>
      <w:r>
        <w:rPr>
          <w:rFonts w:hint="eastAsia" w:eastAsia="方正仿宋_GBK"/>
          <w:sz w:val="32"/>
          <w:szCs w:val="32"/>
        </w:rPr>
        <w:t>421.1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13.4</w:t>
      </w:r>
      <w:r>
        <w:rPr>
          <w:rFonts w:eastAsia="方正仿宋_GBK"/>
          <w:sz w:val="32"/>
          <w:szCs w:val="32"/>
        </w:rPr>
        <w:t>%；人民币贷款余额</w:t>
      </w:r>
      <w:r>
        <w:rPr>
          <w:rFonts w:hint="eastAsia" w:eastAsia="方正仿宋_GBK"/>
          <w:sz w:val="32"/>
          <w:szCs w:val="32"/>
        </w:rPr>
        <w:t>286.13</w:t>
      </w:r>
      <w:r>
        <w:rPr>
          <w:rFonts w:eastAsia="方正仿宋_GBK"/>
          <w:sz w:val="32"/>
          <w:szCs w:val="32"/>
        </w:rPr>
        <w:t>亿元，增长</w:t>
      </w:r>
      <w:r>
        <w:rPr>
          <w:rFonts w:hint="eastAsia" w:eastAsia="方正仿宋_GBK"/>
          <w:sz w:val="32"/>
          <w:szCs w:val="32"/>
        </w:rPr>
        <w:t>19.9</w:t>
      </w:r>
      <w:r>
        <w:rPr>
          <w:rFonts w:eastAsia="方正仿宋_GBK"/>
          <w:sz w:val="32"/>
          <w:szCs w:val="32"/>
        </w:rPr>
        <w:t>%。全县</w:t>
      </w:r>
      <w:r>
        <w:rPr>
          <w:rFonts w:hint="eastAsia" w:eastAsia="方正仿宋_GBK"/>
          <w:sz w:val="32"/>
          <w:szCs w:val="32"/>
        </w:rPr>
        <w:t>存贷</w:t>
      </w:r>
      <w:r>
        <w:rPr>
          <w:rFonts w:eastAsia="方正仿宋_GBK"/>
          <w:sz w:val="32"/>
          <w:szCs w:val="32"/>
        </w:rPr>
        <w:t>比为</w:t>
      </w:r>
      <w:r>
        <w:rPr>
          <w:rFonts w:hint="eastAsia" w:eastAsia="方正仿宋_GBK"/>
          <w:sz w:val="32"/>
          <w:szCs w:val="32"/>
        </w:rPr>
        <w:t>53.5%，</w:t>
      </w:r>
      <w:r>
        <w:rPr>
          <w:rFonts w:eastAsia="方正仿宋_GBK"/>
          <w:sz w:val="32"/>
          <w:szCs w:val="32"/>
        </w:rPr>
        <w:t>比上年上升</w:t>
      </w:r>
      <w:r>
        <w:rPr>
          <w:rFonts w:hint="eastAsia" w:eastAsia="方正仿宋_GBK"/>
          <w:sz w:val="32"/>
          <w:szCs w:val="32"/>
        </w:rPr>
        <w:t>4.9</w:t>
      </w:r>
      <w:r>
        <w:rPr>
          <w:rFonts w:eastAsia="方正仿宋_GBK"/>
          <w:sz w:val="32"/>
          <w:szCs w:val="32"/>
        </w:rPr>
        <w:t>个百分点。</w:t>
      </w:r>
    </w:p>
    <w:p w14:paraId="29A2E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firstLine="643" w:firstLineChars="200"/>
        <w:jc w:val="center"/>
        <w:textAlignment w:val="auto"/>
        <w:rPr>
          <w:rFonts w:eastAsia="方正仿宋_GBK"/>
          <w:b/>
          <w:bCs/>
          <w:sz w:val="32"/>
          <w:szCs w:val="32"/>
        </w:rPr>
      </w:pPr>
      <w:r>
        <w:rPr>
          <w:rFonts w:eastAsia="方正仿宋_GBK"/>
          <w:b/>
          <w:bCs/>
          <w:sz w:val="32"/>
          <w:szCs w:val="32"/>
        </w:rPr>
        <w:t>表5  20</w:t>
      </w:r>
      <w:r>
        <w:rPr>
          <w:rFonts w:hint="eastAsia" w:eastAsia="方正仿宋_GBK"/>
          <w:b/>
          <w:bCs/>
          <w:sz w:val="32"/>
          <w:szCs w:val="32"/>
        </w:rPr>
        <w:t>20</w:t>
      </w:r>
      <w:r>
        <w:rPr>
          <w:rFonts w:eastAsia="方正仿宋_GBK"/>
          <w:b/>
          <w:bCs/>
          <w:sz w:val="32"/>
          <w:szCs w:val="32"/>
        </w:rPr>
        <w:t>年末金融机构存贷款余额</w:t>
      </w:r>
    </w:p>
    <w:tbl>
      <w:tblPr>
        <w:tblStyle w:val="5"/>
        <w:tblpPr w:leftFromText="180" w:rightFromText="180" w:vertAnchor="text" w:horzAnchor="page" w:tblpXSpec="center" w:tblpY="203"/>
        <w:tblOverlap w:val="never"/>
        <w:tblW w:w="828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843"/>
        <w:gridCol w:w="2861"/>
        <w:gridCol w:w="2576"/>
      </w:tblGrid>
      <w:tr w14:paraId="558E92B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2843" w:type="dxa"/>
            <w:tcBorders>
              <w:top w:val="single" w:color="000000" w:sz="12" w:space="0"/>
              <w:bottom w:val="single" w:color="000000" w:sz="4" w:space="0"/>
              <w:right w:val="single" w:color="000000" w:sz="4" w:space="0"/>
            </w:tcBorders>
            <w:shd w:val="clear" w:color="auto" w:fill="C5E0B3" w:themeFill="accent6" w:themeFillTint="66"/>
            <w:vAlign w:val="center"/>
          </w:tcPr>
          <w:p w14:paraId="2C15774C"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  <w:kern w:val="0"/>
                <w:sz w:val="24"/>
              </w:rPr>
              <w:t>指标</w:t>
            </w:r>
          </w:p>
        </w:tc>
        <w:tc>
          <w:tcPr>
            <w:tcW w:w="2861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C5E0B3" w:themeFill="accent6" w:themeFillTint="66"/>
            <w:vAlign w:val="center"/>
          </w:tcPr>
          <w:p w14:paraId="2B656F38"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  <w:kern w:val="0"/>
                <w:sz w:val="24"/>
              </w:rPr>
              <w:t>年末数（亿元）</w:t>
            </w:r>
          </w:p>
        </w:tc>
        <w:tc>
          <w:tcPr>
            <w:tcW w:w="2576" w:type="dxa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shd w:val="clear" w:color="auto" w:fill="C5E0B3" w:themeFill="accent6" w:themeFillTint="66"/>
            <w:vAlign w:val="center"/>
          </w:tcPr>
          <w:p w14:paraId="23853D7B">
            <w:pPr>
              <w:widowControl/>
              <w:jc w:val="center"/>
              <w:textAlignment w:val="center"/>
              <w:rPr>
                <w:b/>
                <w:bCs/>
                <w:color w:val="000000"/>
                <w:sz w:val="24"/>
              </w:rPr>
            </w:pPr>
            <w:r>
              <w:rPr>
                <w:b/>
                <w:bCs/>
                <w:color w:val="000000"/>
                <w:kern w:val="0"/>
                <w:sz w:val="24"/>
              </w:rPr>
              <w:t>比上年增长±％</w:t>
            </w:r>
          </w:p>
        </w:tc>
      </w:tr>
      <w:tr w14:paraId="6057DBA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DF7E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本外币</w:t>
            </w:r>
            <w:r>
              <w:rPr>
                <w:rFonts w:hint="eastAsia" w:ascii="Times New Roman" w:hAnsi="Times New Roman" w:eastAsia="方正仿宋_GBK" w:cs="Times New Roman"/>
              </w:rPr>
              <w:t>存</w:t>
            </w:r>
            <w:r>
              <w:rPr>
                <w:rFonts w:ascii="Times New Roman" w:hAnsi="Times New Roman" w:eastAsia="方正仿宋_GBK" w:cs="Times New Roman"/>
              </w:rPr>
              <w:t>款余额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32E80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</w:rPr>
              <w:t>535.28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165408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</w:rPr>
              <w:t>8.9</w:t>
            </w:r>
          </w:p>
        </w:tc>
      </w:tr>
      <w:tr w14:paraId="4A2CBF6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1F20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人民币存款余额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9FA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535.23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010839B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8.9</w:t>
            </w:r>
          </w:p>
        </w:tc>
      </w:tr>
      <w:tr w14:paraId="787F65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05BF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＃住户存款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4B47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421.1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91FA4C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13.4</w:t>
            </w:r>
          </w:p>
        </w:tc>
      </w:tr>
      <w:tr w14:paraId="211F951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18F4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本外币贷款余额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5C55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</w:rPr>
              <w:t>286.14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7407938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  <w:color w:val="000000" w:themeColor="text1"/>
              </w:rPr>
            </w:pPr>
            <w:r>
              <w:rPr>
                <w:rFonts w:hint="eastAsia" w:ascii="Times New Roman" w:hAnsi="Times New Roman" w:eastAsia="方正仿宋_GBK" w:cs="Times New Roman"/>
                <w:color w:val="000000" w:themeColor="text1"/>
              </w:rPr>
              <w:t>19.9</w:t>
            </w:r>
          </w:p>
        </w:tc>
      </w:tr>
      <w:tr w14:paraId="521384A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1E9BD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人民币贷款余额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9257A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286.13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26B809DB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19.9</w:t>
            </w:r>
          </w:p>
        </w:tc>
      </w:tr>
      <w:tr w14:paraId="5F62D3A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9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A97DF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＃短期贷款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0618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39.79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vAlign w:val="center"/>
          </w:tcPr>
          <w:p w14:paraId="3522CC02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24.9</w:t>
            </w:r>
          </w:p>
        </w:tc>
      </w:tr>
      <w:tr w14:paraId="3E3FED0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7" w:hRule="atLeast"/>
          <w:jc w:val="center"/>
        </w:trPr>
        <w:tc>
          <w:tcPr>
            <w:tcW w:w="2843" w:type="dxa"/>
            <w:tcBorders>
              <w:top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 w14:paraId="755C6996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ascii="Times New Roman" w:hAnsi="Times New Roman" w:eastAsia="方正仿宋_GBK" w:cs="Times New Roman"/>
              </w:rPr>
              <w:t>中长期贷款</w:t>
            </w:r>
          </w:p>
        </w:tc>
        <w:tc>
          <w:tcPr>
            <w:tcW w:w="2861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shd w:val="clear" w:color="auto" w:fill="auto"/>
            <w:vAlign w:val="center"/>
          </w:tcPr>
          <w:p w14:paraId="1EB8DC99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134.32</w:t>
            </w:r>
          </w:p>
        </w:tc>
        <w:tc>
          <w:tcPr>
            <w:tcW w:w="2576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</w:tcBorders>
            <w:shd w:val="clear" w:color="auto" w:fill="auto"/>
            <w:vAlign w:val="center"/>
          </w:tcPr>
          <w:p w14:paraId="5757691C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Times New Roman"/>
              </w:rPr>
            </w:pPr>
            <w:r>
              <w:rPr>
                <w:rFonts w:hint="eastAsia" w:ascii="Times New Roman" w:hAnsi="Times New Roman" w:eastAsia="方正仿宋_GBK" w:cs="Times New Roman"/>
              </w:rPr>
              <w:t>22.3</w:t>
            </w:r>
          </w:p>
        </w:tc>
      </w:tr>
    </w:tbl>
    <w:p w14:paraId="248FE08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firstLine="640" w:firstLineChars="200"/>
        <w:textAlignment w:val="auto"/>
        <w:rPr>
          <w:rFonts w:ascii="Times New Roman" w:hAnsi="Times New Roman" w:eastAsia="方正仿宋_GBK" w:cs="方正仿宋_GBK"/>
          <w:sz w:val="32"/>
          <w:szCs w:val="32"/>
        </w:rPr>
      </w:pPr>
      <w:r>
        <w:rPr>
          <w:rFonts w:ascii="Times New Roman" w:hAnsi="Times New Roman" w:eastAsia="方正仿宋_GBK" w:cs="Times New Roman"/>
          <w:kern w:val="2"/>
          <w:sz w:val="32"/>
          <w:szCs w:val="32"/>
        </w:rPr>
        <w:t>全县保费总收入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10.63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亿元，比上年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增长14.6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%。其中，财产保险收入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4.12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亿元，比上年增长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7.8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%；人寿保险收入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6.51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亿元，增长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19.3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%。全年赔付各类保险金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2.99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增长8.3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。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其中，财产保险赔付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2.13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增长19.4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%；人寿保险赔付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0.86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亿元，</w:t>
      </w:r>
      <w:r>
        <w:rPr>
          <w:rFonts w:hint="eastAsia" w:ascii="Times New Roman" w:hAnsi="Times New Roman" w:eastAsia="方正仿宋_GBK" w:cs="Times New Roman"/>
          <w:kern w:val="2"/>
          <w:sz w:val="32"/>
          <w:szCs w:val="32"/>
        </w:rPr>
        <w:t>下降12.1</w:t>
      </w:r>
      <w:r>
        <w:rPr>
          <w:rFonts w:ascii="Times New Roman" w:hAnsi="Times New Roman" w:eastAsia="方正仿宋_GBK" w:cs="Times New Roman"/>
          <w:kern w:val="2"/>
          <w:sz w:val="32"/>
          <w:szCs w:val="32"/>
        </w:rPr>
        <w:t>%。</w:t>
      </w:r>
    </w:p>
    <w:p w14:paraId="3062BC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八、人民生活和社会保障</w:t>
      </w:r>
    </w:p>
    <w:p w14:paraId="3AF52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全县居民人均可支配收入22465.81元，比上年增长8.1%。按常住地分，城镇居民人均可支配收入32174元，增长5.8%；农村居民人均可支配收入14375元，增长8.4%。城乡居民收入比为2.24，城乡收入差距逐步缩小。</w:t>
      </w:r>
    </w:p>
    <w:p w14:paraId="1498F0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全县居民人均消费支出15278.84元，比上年增长9.8%。按常住地分，城镇常住居民人均消费支出19535.09元，增长9.4%；农村常住居民人均消费支出11731.69元，增长8.3%。</w:t>
      </w:r>
    </w:p>
    <w:p w14:paraId="32B9266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jc w:val="center"/>
        <w:textAlignment w:val="auto"/>
        <w:rPr>
          <w:rFonts w:ascii="Times New Roman" w:hAnsi="Times New Roman" w:eastAsia="方正仿宋_GBK" w:cs="方正仿宋_GBK"/>
          <w:b/>
          <w:bCs/>
          <w:kern w:val="2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b/>
          <w:bCs/>
          <w:kern w:val="2"/>
          <w:sz w:val="32"/>
          <w:szCs w:val="32"/>
        </w:rPr>
        <w:t>表6　2020年居民人均可支配收入</w:t>
      </w:r>
    </w:p>
    <w:tbl>
      <w:tblPr>
        <w:tblStyle w:val="5"/>
        <w:tblW w:w="8720" w:type="dxa"/>
        <w:jc w:val="center"/>
        <w:tblBorders>
          <w:top w:val="single" w:color="000000" w:sz="18" w:space="0"/>
          <w:left w:val="none" w:color="auto" w:sz="0" w:space="0"/>
          <w:bottom w:val="single" w:color="000000" w:sz="18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91"/>
        <w:gridCol w:w="1189"/>
        <w:gridCol w:w="1264"/>
        <w:gridCol w:w="1132"/>
        <w:gridCol w:w="1264"/>
        <w:gridCol w:w="931"/>
        <w:gridCol w:w="1149"/>
      </w:tblGrid>
      <w:tr w14:paraId="28A96213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  <w:jc w:val="center"/>
        </w:trPr>
        <w:tc>
          <w:tcPr>
            <w:tcW w:w="1791" w:type="dxa"/>
            <w:vMerge w:val="restart"/>
            <w:tcBorders>
              <w:top w:val="single" w:color="000000" w:sz="12" w:space="0"/>
            </w:tcBorders>
            <w:shd w:val="clear" w:color="auto" w:fill="C5E0B3" w:themeFill="accent6" w:themeFillTint="66"/>
            <w:vAlign w:val="center"/>
          </w:tcPr>
          <w:p w14:paraId="0E038FCC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指标</w:t>
            </w:r>
          </w:p>
        </w:tc>
        <w:tc>
          <w:tcPr>
            <w:tcW w:w="2453" w:type="dxa"/>
            <w:gridSpan w:val="2"/>
            <w:tcBorders>
              <w:top w:val="single" w:color="000000" w:sz="12" w:space="0"/>
            </w:tcBorders>
            <w:shd w:val="clear" w:color="auto" w:fill="C5E0B3" w:themeFill="accent6" w:themeFillTint="66"/>
            <w:vAlign w:val="center"/>
          </w:tcPr>
          <w:p w14:paraId="1EB1558C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全县居民</w:t>
            </w:r>
          </w:p>
        </w:tc>
        <w:tc>
          <w:tcPr>
            <w:tcW w:w="2396" w:type="dxa"/>
            <w:gridSpan w:val="2"/>
            <w:tcBorders>
              <w:top w:val="single" w:color="000000" w:sz="12" w:space="0"/>
            </w:tcBorders>
            <w:shd w:val="clear" w:color="auto" w:fill="C5E0B3" w:themeFill="accent6" w:themeFillTint="66"/>
            <w:vAlign w:val="center"/>
          </w:tcPr>
          <w:p w14:paraId="25EB5642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城镇常住居民</w:t>
            </w:r>
          </w:p>
        </w:tc>
        <w:tc>
          <w:tcPr>
            <w:tcW w:w="2080" w:type="dxa"/>
            <w:gridSpan w:val="2"/>
            <w:tcBorders>
              <w:top w:val="single" w:color="000000" w:sz="12" w:space="0"/>
            </w:tcBorders>
            <w:shd w:val="clear" w:color="auto" w:fill="C5E0B3" w:themeFill="accent6" w:themeFillTint="66"/>
            <w:vAlign w:val="center"/>
          </w:tcPr>
          <w:p w14:paraId="3EB3EEF3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农村常住居民</w:t>
            </w:r>
          </w:p>
        </w:tc>
      </w:tr>
      <w:tr w14:paraId="5BA02047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62" w:hRule="atLeast"/>
          <w:jc w:val="center"/>
        </w:trPr>
        <w:tc>
          <w:tcPr>
            <w:tcW w:w="1791" w:type="dxa"/>
            <w:vMerge w:val="continue"/>
            <w:shd w:val="clear" w:color="auto" w:fill="C5E0B3" w:themeFill="accent6" w:themeFillTint="66"/>
            <w:vAlign w:val="center"/>
          </w:tcPr>
          <w:p w14:paraId="4B0E42AE">
            <w:pPr>
              <w:jc w:val="center"/>
              <w:rPr>
                <w:rFonts w:cs="宋体"/>
                <w:b/>
                <w:bCs/>
                <w:color w:val="333333"/>
                <w:sz w:val="24"/>
              </w:rPr>
            </w:pPr>
          </w:p>
        </w:tc>
        <w:tc>
          <w:tcPr>
            <w:tcW w:w="1189" w:type="dxa"/>
            <w:shd w:val="clear" w:color="auto" w:fill="C5E0B3" w:themeFill="accent6" w:themeFillTint="66"/>
            <w:vAlign w:val="center"/>
          </w:tcPr>
          <w:p w14:paraId="42B30914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kern w:val="0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绝对量</w:t>
            </w:r>
          </w:p>
          <w:p w14:paraId="78D7D01C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(元）</w:t>
            </w:r>
          </w:p>
        </w:tc>
        <w:tc>
          <w:tcPr>
            <w:tcW w:w="1264" w:type="dxa"/>
            <w:shd w:val="clear" w:color="auto" w:fill="C5E0B3" w:themeFill="accent6" w:themeFillTint="66"/>
            <w:vAlign w:val="center"/>
          </w:tcPr>
          <w:p w14:paraId="55130532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比上年增长（%）</w:t>
            </w:r>
          </w:p>
        </w:tc>
        <w:tc>
          <w:tcPr>
            <w:tcW w:w="1132" w:type="dxa"/>
            <w:shd w:val="clear" w:color="auto" w:fill="C5E0B3" w:themeFill="accent6" w:themeFillTint="66"/>
            <w:vAlign w:val="center"/>
          </w:tcPr>
          <w:p w14:paraId="082A7F22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绝对量（元）</w:t>
            </w:r>
          </w:p>
        </w:tc>
        <w:tc>
          <w:tcPr>
            <w:tcW w:w="1264" w:type="dxa"/>
            <w:shd w:val="clear" w:color="auto" w:fill="C5E0B3" w:themeFill="accent6" w:themeFillTint="66"/>
            <w:vAlign w:val="center"/>
          </w:tcPr>
          <w:p w14:paraId="04381BD4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比上年增长（%）</w:t>
            </w:r>
          </w:p>
        </w:tc>
        <w:tc>
          <w:tcPr>
            <w:tcW w:w="931" w:type="dxa"/>
            <w:shd w:val="clear" w:color="auto" w:fill="C5E0B3" w:themeFill="accent6" w:themeFillTint="66"/>
            <w:vAlign w:val="center"/>
          </w:tcPr>
          <w:p w14:paraId="188111E9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绝对量（元）</w:t>
            </w:r>
          </w:p>
        </w:tc>
        <w:tc>
          <w:tcPr>
            <w:tcW w:w="1149" w:type="dxa"/>
            <w:shd w:val="clear" w:color="auto" w:fill="C5E0B3" w:themeFill="accent6" w:themeFillTint="66"/>
            <w:vAlign w:val="center"/>
          </w:tcPr>
          <w:p w14:paraId="2D6C1E48">
            <w:pPr>
              <w:widowControl/>
              <w:jc w:val="center"/>
              <w:textAlignment w:val="center"/>
              <w:rPr>
                <w:rFonts w:cs="宋体"/>
                <w:b/>
                <w:bCs/>
                <w:color w:val="333333"/>
                <w:sz w:val="24"/>
              </w:rPr>
            </w:pPr>
            <w:r>
              <w:rPr>
                <w:rFonts w:hint="eastAsia" w:cs="宋体"/>
                <w:b/>
                <w:bCs/>
                <w:color w:val="333333"/>
                <w:kern w:val="0"/>
                <w:sz w:val="24"/>
              </w:rPr>
              <w:t>比上年增长（%）</w:t>
            </w:r>
          </w:p>
        </w:tc>
      </w:tr>
      <w:tr w14:paraId="5A79985E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9" w:hRule="atLeast"/>
          <w:jc w:val="center"/>
        </w:trPr>
        <w:tc>
          <w:tcPr>
            <w:tcW w:w="1791" w:type="dxa"/>
            <w:shd w:val="clear" w:color="auto" w:fill="auto"/>
            <w:vAlign w:val="center"/>
          </w:tcPr>
          <w:p w14:paraId="20287344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人均可支配收入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EFE77DD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22465.81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7DAC6C0C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8.1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16A9E5E8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32174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E29BA8A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5.8</w:t>
            </w:r>
          </w:p>
        </w:tc>
        <w:tc>
          <w:tcPr>
            <w:tcW w:w="931" w:type="dxa"/>
            <w:shd w:val="clear" w:color="auto" w:fill="auto"/>
            <w:vAlign w:val="center"/>
          </w:tcPr>
          <w:p w14:paraId="2D6736CA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14375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5A8AB3A6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8.4</w:t>
            </w:r>
          </w:p>
        </w:tc>
      </w:tr>
      <w:tr w14:paraId="3C799C25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9" w:hRule="atLeast"/>
          <w:jc w:val="center"/>
        </w:trPr>
        <w:tc>
          <w:tcPr>
            <w:tcW w:w="1791" w:type="dxa"/>
            <w:shd w:val="clear" w:color="auto" w:fill="auto"/>
            <w:vAlign w:val="center"/>
          </w:tcPr>
          <w:p w14:paraId="29B7521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　工资性收入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3A8DC07A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13583.50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AF06618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8.5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6ED81298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22455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10A9CB37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5.7</w:t>
            </w:r>
          </w:p>
        </w:tc>
        <w:tc>
          <w:tcPr>
            <w:tcW w:w="931" w:type="dxa"/>
            <w:shd w:val="clear" w:color="auto" w:fill="auto"/>
            <w:vAlign w:val="center"/>
          </w:tcPr>
          <w:p w14:paraId="2A014204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6190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712BDB8E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8.4</w:t>
            </w:r>
          </w:p>
        </w:tc>
      </w:tr>
      <w:tr w14:paraId="04A46886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90" w:hRule="atLeast"/>
          <w:jc w:val="center"/>
        </w:trPr>
        <w:tc>
          <w:tcPr>
            <w:tcW w:w="1791" w:type="dxa"/>
            <w:shd w:val="clear" w:color="auto" w:fill="auto"/>
            <w:vAlign w:val="center"/>
          </w:tcPr>
          <w:p w14:paraId="3BE3F158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　经营净收入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582772C7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3028.13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44F64C2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5.9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5309521E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1634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656576E2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4.5</w:t>
            </w:r>
          </w:p>
        </w:tc>
        <w:tc>
          <w:tcPr>
            <w:tcW w:w="931" w:type="dxa"/>
            <w:shd w:val="clear" w:color="auto" w:fill="auto"/>
            <w:vAlign w:val="center"/>
          </w:tcPr>
          <w:p w14:paraId="72674A64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4190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76386DD5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8.2</w:t>
            </w:r>
          </w:p>
        </w:tc>
      </w:tr>
      <w:tr w14:paraId="5E329BFF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  <w:jc w:val="center"/>
        </w:trPr>
        <w:tc>
          <w:tcPr>
            <w:tcW w:w="1791" w:type="dxa"/>
            <w:shd w:val="clear" w:color="auto" w:fill="auto"/>
            <w:vAlign w:val="center"/>
          </w:tcPr>
          <w:p w14:paraId="2352BE1E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　财产净收入</w:t>
            </w:r>
          </w:p>
        </w:tc>
        <w:tc>
          <w:tcPr>
            <w:tcW w:w="1189" w:type="dxa"/>
            <w:shd w:val="clear" w:color="auto" w:fill="auto"/>
            <w:vAlign w:val="center"/>
          </w:tcPr>
          <w:p w14:paraId="7E4D4ECF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1267.59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B98F214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7.9</w:t>
            </w:r>
          </w:p>
        </w:tc>
        <w:tc>
          <w:tcPr>
            <w:tcW w:w="1132" w:type="dxa"/>
            <w:shd w:val="clear" w:color="auto" w:fill="auto"/>
            <w:vAlign w:val="center"/>
          </w:tcPr>
          <w:p w14:paraId="034442E3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2503</w:t>
            </w:r>
          </w:p>
        </w:tc>
        <w:tc>
          <w:tcPr>
            <w:tcW w:w="1264" w:type="dxa"/>
            <w:shd w:val="clear" w:color="auto" w:fill="auto"/>
            <w:vAlign w:val="center"/>
          </w:tcPr>
          <w:p w14:paraId="3E55E95F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4.2</w:t>
            </w:r>
          </w:p>
        </w:tc>
        <w:tc>
          <w:tcPr>
            <w:tcW w:w="931" w:type="dxa"/>
            <w:shd w:val="clear" w:color="auto" w:fill="auto"/>
            <w:vAlign w:val="center"/>
          </w:tcPr>
          <w:p w14:paraId="5C487100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238</w:t>
            </w:r>
          </w:p>
        </w:tc>
        <w:tc>
          <w:tcPr>
            <w:tcW w:w="1149" w:type="dxa"/>
            <w:shd w:val="clear" w:color="auto" w:fill="auto"/>
            <w:vAlign w:val="center"/>
          </w:tcPr>
          <w:p w14:paraId="7F2E21E9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9.9</w:t>
            </w:r>
          </w:p>
        </w:tc>
      </w:tr>
      <w:tr w14:paraId="20769BB0">
        <w:tblPrEx>
          <w:tblBorders>
            <w:top w:val="single" w:color="000000" w:sz="18" w:space="0"/>
            <w:left w:val="none" w:color="auto" w:sz="0" w:space="0"/>
            <w:bottom w:val="single" w:color="000000" w:sz="18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5" w:hRule="atLeast"/>
          <w:jc w:val="center"/>
        </w:trPr>
        <w:tc>
          <w:tcPr>
            <w:tcW w:w="1791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78FDB561">
            <w:pPr>
              <w:pStyle w:val="4"/>
              <w:spacing w:before="0" w:beforeAutospacing="0" w:after="0" w:afterAutospacing="0"/>
              <w:jc w:val="center"/>
              <w:rPr>
                <w:rFonts w:ascii="Times New Roman" w:hAnsi="Times New Roman" w:eastAsia="方正仿宋_GBK" w:cs="方正仿宋_GBK"/>
              </w:rPr>
            </w:pPr>
            <w:r>
              <w:rPr>
                <w:rFonts w:hint="eastAsia" w:ascii="Times New Roman" w:hAnsi="Times New Roman" w:eastAsia="方正仿宋_GBK" w:cs="方正仿宋_GBK"/>
              </w:rPr>
              <w:t>　转移净收入</w:t>
            </w:r>
          </w:p>
        </w:tc>
        <w:tc>
          <w:tcPr>
            <w:tcW w:w="1189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65277C40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4586.58</w:t>
            </w:r>
          </w:p>
        </w:tc>
        <w:tc>
          <w:tcPr>
            <w:tcW w:w="1264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233DA1A6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8.6</w:t>
            </w:r>
          </w:p>
        </w:tc>
        <w:tc>
          <w:tcPr>
            <w:tcW w:w="1132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65E9F342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5582</w:t>
            </w:r>
          </w:p>
        </w:tc>
        <w:tc>
          <w:tcPr>
            <w:tcW w:w="1264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640F806C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7.3</w:t>
            </w:r>
          </w:p>
        </w:tc>
        <w:tc>
          <w:tcPr>
            <w:tcW w:w="931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1DCF1C9D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3757</w:t>
            </w:r>
          </w:p>
        </w:tc>
        <w:tc>
          <w:tcPr>
            <w:tcW w:w="1149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 w14:paraId="7B433BE8">
            <w:pPr>
              <w:widowControl/>
              <w:jc w:val="center"/>
              <w:textAlignment w:val="center"/>
              <w:rPr>
                <w:rFonts w:eastAsia="方正仿宋_GBK" w:cs="方正仿宋_GBK"/>
              </w:rPr>
            </w:pPr>
            <w:r>
              <w:rPr>
                <w:rFonts w:hint="eastAsia" w:cs="宋体"/>
                <w:color w:val="000000"/>
                <w:kern w:val="0"/>
                <w:sz w:val="22"/>
                <w:szCs w:val="22"/>
              </w:rPr>
              <w:t>8.6</w:t>
            </w:r>
          </w:p>
        </w:tc>
      </w:tr>
    </w:tbl>
    <w:p w14:paraId="377AA0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全县城镇企业职工基本养老保险参保人数8.46万人，比上年增长8.7%</w:t>
      </w:r>
      <w:r>
        <w:rPr>
          <w:rFonts w:hint="eastAsia" w:eastAsia="方正仿宋_GBK" w:cs="方正仿宋_GBK"/>
          <w:b/>
          <w:bCs/>
          <w:sz w:val="32"/>
          <w:szCs w:val="32"/>
        </w:rPr>
        <w:t>。</w:t>
      </w:r>
      <w:r>
        <w:rPr>
          <w:rFonts w:hint="eastAsia" w:eastAsia="方正仿宋_GBK" w:cs="方正仿宋_GBK"/>
          <w:sz w:val="32"/>
          <w:szCs w:val="32"/>
        </w:rPr>
        <w:t>城乡居民社会养老保险参保人数53.99万人，比上年下降0.2%。城镇职工基本医疗保险参保人数7.97万人，增长4.9%。城乡居民基本医疗保险参保人数119.52万人，下降2.4%。工伤保险参保人数8.65万人，增长31.3%。生育保险参保人数4.71万人，增长5%；2474人次享受生育保险待遇，下降15%。失业保险参保人数4.08万人，增长4.3%。</w:t>
      </w:r>
    </w:p>
    <w:p w14:paraId="3776DC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年末城镇居民最低生活保障6692户，发放低保金6686万元；农村居民最低生活保障20487户，发放低保金18405万元；城乡低保标准分别提高到620元/月和496元/月，分别比上年提高40元和56元。年末社会福利收养单位床位数8900张。</w:t>
      </w:r>
    </w:p>
    <w:p w14:paraId="231F638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640" w:firstLineChars="200"/>
        <w:jc w:val="both"/>
        <w:textAlignment w:val="auto"/>
        <w:rPr>
          <w:rFonts w:ascii="Times New Roman" w:hAnsi="Times New Roman" w:eastAsia="方正黑体_GBK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color w:val="000000"/>
          <w:sz w:val="32"/>
          <w:szCs w:val="32"/>
        </w:rPr>
        <w:t>九、教育和科学技术</w:t>
      </w:r>
    </w:p>
    <w:p w14:paraId="164039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现有学校340所（包括教学点，下同）。其中，普通中学41所、普通中等职业学校2所、普通小学186所、特殊教育学校1所、幼儿园110所。专任教师10049人。其中，普通中学4157人、普通中等职业学校381人、普通小学4540人、特殊教育40人、幼儿园931人。全年招生人数共43789人。其中，普通中学20747人、普通中等职业学校1847人、普通小学9970人、特殊教育39人、幼儿园11186人。在校学生共161165人。其中，普通中学62745人、普通中等职业学校5871人、普通小学63957人、特殊教育235人、幼儿园28357人。毕业生人数共46261人。其中，普通中学20675人、普通中等职业学校1967人、普通小学12387人、特殊教育学校48人、幼儿园11184人。</w:t>
      </w:r>
    </w:p>
    <w:p w14:paraId="4F9E2D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2020年全县高考参考人数10700人，上线人数达10679人，上线率99.8%。其中，本科上线人数5579人，本科上线率为52.1%。重点大学录取人数1638人。</w:t>
      </w:r>
    </w:p>
    <w:p w14:paraId="1BB104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全年共受理专利申请382件，其中发明专利申请15件。获得专利授权324件。截至年底，有效期内高新技术企业9家，获市级和国家级科研项目数3个，获市科技局的项目数2个。</w:t>
      </w:r>
    </w:p>
    <w:p w14:paraId="3C223C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十、文化旅游和</w:t>
      </w:r>
      <w:r>
        <w:rPr>
          <w:rFonts w:hint="eastAsia" w:eastAsia="方正黑体_GBK" w:cs="方正黑体_GBK"/>
          <w:color w:val="333333"/>
          <w:sz w:val="32"/>
          <w:szCs w:val="32"/>
          <w:shd w:val="clear" w:color="auto" w:fill="FFFFFF"/>
        </w:rPr>
        <w:t>卫生健康</w:t>
      </w:r>
    </w:p>
    <w:p w14:paraId="525F47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有线无线电视用户23.8万户。其中，新增有线无线电视用户1664户，应急广播村村响覆盖率达69%，电视综合人口覆盖率达99.1%。公共图书馆2个（不包括少儿图书馆分馆），藏书128.3万册。全县有文化馆1个，乡镇综合文化站（街道文化中心）42个，覆盖所有乡镇（街道），藏书共有28.1万册，比上年增长14.2%。农家书屋共478个，藏书159.6万册，增长1.7%。</w:t>
      </w:r>
    </w:p>
    <w:p w14:paraId="4892DAB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b/>
          <w:bCs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共接待游客1892.3万人次，比上年下降25.2%。其中，境外游客630人次，过夜游客289.3万人次。年末拥有三星及以上星级饭店数9个，旅行社11个。全县名胜风景区2个，其中国家级2个；等级文物保护单位44个，其中国保单位2个，市保单位9个，县保单位33个。</w:t>
      </w:r>
    </w:p>
    <w:p w14:paraId="436DA7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年末全县拥有卫生机构700个，比上年增加19个。其中，医院19个，卫生院42个，疾病预防控制中心、妇幼保健院、卫生监督机构各1个，社区卫生服务中心（站）26个，诊所、卫生所195个，村卫生室415个。卫生机构人员（在岗职工）7353人。其中，卫生技术人员6847人。卫生技术人员中，执业医师和执业助理医师共2559人，注册护师（护士）2576人。卫生机构床位数5378张。</w:t>
      </w:r>
    </w:p>
    <w:p w14:paraId="45FB7D5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640" w:firstLineChars="200"/>
        <w:jc w:val="both"/>
        <w:textAlignment w:val="auto"/>
        <w:rPr>
          <w:rFonts w:ascii="Times New Roman" w:hAnsi="Times New Roman"/>
          <w:sz w:val="32"/>
          <w:szCs w:val="32"/>
        </w:rPr>
      </w:pPr>
      <w:r>
        <w:rPr>
          <w:rFonts w:hint="eastAsia" w:ascii="Times New Roman" w:hAnsi="Times New Roman" w:eastAsia="方正黑体_GBK" w:cs="方正黑体_GBK"/>
          <w:sz w:val="32"/>
          <w:szCs w:val="32"/>
        </w:rPr>
        <w:t>十一、</w:t>
      </w:r>
      <w:r>
        <w:rPr>
          <w:rFonts w:hint="eastAsia" w:ascii="Times New Roman" w:hAnsi="Times New Roman" w:eastAsia="方正黑体_GBK" w:cs="方正黑体_GBK"/>
          <w:color w:val="000000"/>
          <w:sz w:val="32"/>
          <w:szCs w:val="32"/>
        </w:rPr>
        <w:t>资源、环境和应急管理</w:t>
      </w:r>
    </w:p>
    <w:p w14:paraId="196C21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  <w:highlight w:val="yellow"/>
        </w:rPr>
      </w:pPr>
      <w:r>
        <w:rPr>
          <w:rFonts w:hint="eastAsia" w:eastAsia="方正仿宋_GBK" w:cs="方正仿宋_GBK"/>
          <w:sz w:val="32"/>
          <w:szCs w:val="32"/>
        </w:rPr>
        <w:t>全县幅员面积3636平方公里。全年年均气温18.3</w:t>
      </w:r>
      <w:r>
        <w:rPr>
          <w:rFonts w:hint="eastAsia" w:cs="宋体"/>
          <w:sz w:val="32"/>
          <w:szCs w:val="32"/>
        </w:rPr>
        <w:t>℃，</w:t>
      </w:r>
      <w:r>
        <w:rPr>
          <w:rFonts w:hint="eastAsia" w:eastAsia="方正仿宋_GBK" w:cs="方正仿宋_GBK"/>
          <w:sz w:val="32"/>
          <w:szCs w:val="32"/>
        </w:rPr>
        <w:t>年累计降水量1109毫米，年累计日照时数1195小时。全年总用水量1.55亿立方米。全年治理水土流失面积64.1平方公里，治理水土流失投入资金达到6539万元。</w:t>
      </w:r>
    </w:p>
    <w:p w14:paraId="7E7E4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已建成县级生态村304个、市级生态村86个、市级生态镇25个。全县自然保护区2个，自然保护区面积23.8万亩。全县森林面积316.4万亩，森林覆盖率58%，城市建成区绿化覆盖率47.3%，人均公园绿地达到17.3平方米。本年完成营造林面积9.1万亩，退耕还林面积3万亩。</w:t>
      </w:r>
    </w:p>
    <w:p w14:paraId="305AC42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640" w:firstLineChars="200"/>
        <w:textAlignment w:val="auto"/>
        <w:rPr>
          <w:rFonts w:ascii="Times New Roman" w:hAnsi="Times New Roman" w:eastAsia="方正仿宋_GBK" w:cs="方正仿宋_GBK"/>
          <w:sz w:val="32"/>
          <w:szCs w:val="32"/>
        </w:rPr>
      </w:pPr>
      <w:r>
        <w:rPr>
          <w:rFonts w:hint="eastAsia" w:ascii="Times New Roman" w:hAnsi="Times New Roman" w:eastAsia="方正仿宋_GBK" w:cs="方正仿宋_GBK"/>
          <w:sz w:val="32"/>
          <w:szCs w:val="32"/>
        </w:rPr>
        <w:t>全年空气质量达到或好于Ⅱ级（优良）的天数为357天，占全年天数的97.8%。全县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环境空气细颗粒物（</w:t>
      </w:r>
      <w:r>
        <w:rPr>
          <w:rFonts w:hint="eastAsia" w:ascii="Times New Roman" w:hAnsi="Times New Roman"/>
          <w:color w:val="000000"/>
          <w:sz w:val="32"/>
          <w:szCs w:val="32"/>
        </w:rPr>
        <w:t>PM</w:t>
      </w:r>
      <w:r>
        <w:rPr>
          <w:rFonts w:hint="eastAsia" w:ascii="Times New Roman" w:hAnsi="Times New Roman"/>
          <w:color w:val="000000"/>
          <w:sz w:val="32"/>
          <w:szCs w:val="32"/>
          <w:vertAlign w:val="subscript"/>
        </w:rPr>
        <w:t>2.5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）平均浓度为</w:t>
      </w:r>
      <w:r>
        <w:rPr>
          <w:rFonts w:hint="eastAsia" w:ascii="Times New Roman" w:hAnsi="Times New Roman"/>
          <w:color w:val="000000"/>
          <w:sz w:val="32"/>
          <w:szCs w:val="32"/>
        </w:rPr>
        <w:t>26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微克</w:t>
      </w:r>
      <w:r>
        <w:rPr>
          <w:rFonts w:hint="eastAsia" w:ascii="Times New Roman" w:hAnsi="Times New Roman"/>
          <w:color w:val="000000"/>
          <w:sz w:val="32"/>
          <w:szCs w:val="32"/>
        </w:rPr>
        <w:t>/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立方米，下降</w:t>
      </w:r>
      <w:r>
        <w:rPr>
          <w:rFonts w:hint="eastAsia" w:ascii="Times New Roman" w:hAnsi="Times New Roman"/>
          <w:color w:val="000000"/>
          <w:sz w:val="32"/>
          <w:szCs w:val="32"/>
        </w:rPr>
        <w:t>3.7%</w:t>
      </w:r>
      <w:r>
        <w:rPr>
          <w:rFonts w:hint="eastAsia" w:ascii="Times New Roman" w:hAnsi="Times New Roman" w:eastAsia="方正仿宋_GBK" w:cs="方正仿宋_GBK"/>
          <w:color w:val="000000"/>
          <w:sz w:val="32"/>
          <w:szCs w:val="32"/>
        </w:rPr>
        <w:t>。</w:t>
      </w:r>
      <w:r>
        <w:rPr>
          <w:rFonts w:hint="eastAsia" w:ascii="Times New Roman" w:hAnsi="Times New Roman" w:eastAsia="方正仿宋_GBK" w:cs="方正仿宋_GBK"/>
          <w:sz w:val="32"/>
          <w:szCs w:val="32"/>
        </w:rPr>
        <w:t>全县区域声环境噪音平均等效声级为52.2分贝（国家标准60分贝），道路交通干线噪声平均为65.6分贝（国家标准70分贝）。</w:t>
      </w:r>
    </w:p>
    <w:p w14:paraId="73F5DF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县城集中式饮水源地水质达标率100%，乡镇集中式饮水源水质达标率91%。城镇污水集中处理率为97%，农村污水集中处理率85.9%。城市生活垃圾无害化处理率达到100%，农村生活垃圾无害化处理率97%。</w:t>
      </w:r>
    </w:p>
    <w:p w14:paraId="74766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全年发生安全事故12起，与上年持平；</w:t>
      </w:r>
      <w:r>
        <w:rPr>
          <w:rFonts w:hint="eastAsia" w:eastAsia="方正仿宋_GBK" w:cs="方正仿宋_GBK"/>
          <w:color w:val="000000"/>
          <w:sz w:val="31"/>
          <w:szCs w:val="31"/>
          <w:shd w:val="clear" w:color="auto" w:fill="FFFFFF"/>
        </w:rPr>
        <w:t>生产安全事故死亡人数</w:t>
      </w:r>
      <w:r>
        <w:rPr>
          <w:rFonts w:hint="eastAsia" w:eastAsia="方正仿宋_GBK" w:cs="方正仿宋_GBK"/>
          <w:sz w:val="32"/>
          <w:szCs w:val="32"/>
        </w:rPr>
        <w:t>15人，与上年持平。亿元GDP生产安全事故死亡人数为0.03人，煤矿百万吨死亡人数为0人，与上年持平。</w:t>
      </w:r>
    </w:p>
    <w:p w14:paraId="15CB8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黑体_GBK" w:cs="方正黑体_GBK"/>
          <w:sz w:val="32"/>
          <w:szCs w:val="32"/>
        </w:rPr>
      </w:pPr>
      <w:r>
        <w:rPr>
          <w:rFonts w:hint="eastAsia" w:eastAsia="方正黑体_GBK" w:cs="方正黑体_GBK"/>
          <w:sz w:val="32"/>
          <w:szCs w:val="32"/>
        </w:rPr>
        <w:t>十二、扶贫、移民</w:t>
      </w:r>
    </w:p>
    <w:p w14:paraId="47C52AB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b/>
          <w:bCs/>
          <w:kern w:val="0"/>
          <w:sz w:val="32"/>
          <w:szCs w:val="32"/>
        </w:rPr>
      </w:pPr>
      <w:r>
        <w:rPr>
          <w:rFonts w:hint="eastAsia" w:eastAsia="方正仿宋_GBK" w:cs="方正仿宋_GBK"/>
          <w:kern w:val="0"/>
          <w:sz w:val="32"/>
          <w:szCs w:val="32"/>
        </w:rPr>
        <w:t>全县145个贫困村，37121户133862人建档立卡贫困人口全部稳定脱贫，并高质量通过国家脱贫攻坚普查、抽查，实现数据信息零差错、问题零反馈、认可度100%的“双零一百”目标。</w:t>
      </w:r>
    </w:p>
    <w:p w14:paraId="4A1CF1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firstLine="640" w:firstLineChars="200"/>
        <w:textAlignment w:val="auto"/>
        <w:rPr>
          <w:rFonts w:eastAsia="方正仿宋_GBK" w:cs="方正仿宋_GBK"/>
          <w:sz w:val="32"/>
          <w:szCs w:val="32"/>
        </w:rPr>
      </w:pPr>
      <w:r>
        <w:rPr>
          <w:rFonts w:hint="eastAsia" w:eastAsia="方正仿宋_GBK" w:cs="方正仿宋_GBK"/>
          <w:sz w:val="32"/>
          <w:szCs w:val="32"/>
        </w:rPr>
        <w:t>全县实施三峡后续项目13个，总投资5.97亿元。全年三峡库区引进对口支援经济合作项目23个，项目资金4510万元。兑付农村移民后期扶持直补资金708.6万元，发放城镇移民困难扶助资金1273.6万元。</w:t>
      </w:r>
    </w:p>
    <w:p w14:paraId="652B3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1A23A9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744EA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1C54AA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2499B9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705217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2E110D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3F18D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</w:p>
    <w:p w14:paraId="6731FE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/>
        <w:textAlignment w:val="auto"/>
        <w:rPr>
          <w:rFonts w:eastAsia="方正仿宋_GBK"/>
          <w:b/>
          <w:bCs/>
          <w:sz w:val="36"/>
          <w:szCs w:val="36"/>
        </w:rPr>
      </w:pPr>
      <w:r>
        <w:rPr>
          <w:rFonts w:hint="eastAsia" w:eastAsia="方正仿宋_GBK"/>
          <w:b/>
          <w:bCs/>
          <w:sz w:val="36"/>
          <w:szCs w:val="36"/>
        </w:rPr>
        <w:t>注：</w:t>
      </w:r>
    </w:p>
    <w:p w14:paraId="2FFB1C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1.2020年统计数据为初步核算数，正式数据以《2021年云阳县统计年鉴》为准。部分数据因四舍五入的原因，存在着与分项合计不等的情况。</w:t>
      </w:r>
    </w:p>
    <w:p w14:paraId="1B5FCC0F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sz w:val="28"/>
          <w:szCs w:val="28"/>
        </w:rPr>
        <w:t>2.</w:t>
      </w: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地区生产总值、各产业增加值绝对量按现价计算，增长速度按可比价计算。</w:t>
      </w:r>
    </w:p>
    <w:p w14:paraId="7960A44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3.2020年开展第七次全国人口普查，相关数据暂未发布，公报中不再单独发布</w:t>
      </w:r>
      <w:r>
        <w:rPr>
          <w:rFonts w:hint="eastAsia" w:eastAsia="方正仿宋_GBK" w:cs="方正仿宋_GBK"/>
          <w:sz w:val="28"/>
          <w:szCs w:val="28"/>
          <w:lang w:eastAsia="zh-CN"/>
        </w:rPr>
        <w:t>常住</w:t>
      </w:r>
      <w:r>
        <w:rPr>
          <w:rFonts w:hint="eastAsia" w:eastAsia="方正仿宋_GBK" w:cs="方正仿宋_GBK"/>
          <w:sz w:val="28"/>
          <w:szCs w:val="28"/>
        </w:rPr>
        <w:t>人口及相关人均指标。</w:t>
      </w:r>
    </w:p>
    <w:p w14:paraId="298F2EC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4.基础设施投资是指建造或购置为社会生产和生活提供基础性、大众性服务的工程和设施的支出。本公报中的基础设施投资包括电力、热力、燃气及水生产和供应业，交通运输、邮政业，电信、广播电视和卫星传输服务业，互联网和相关服务业，水利、环境和公共设施管理业投资。</w:t>
      </w:r>
    </w:p>
    <w:p w14:paraId="7D159C9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5.间固定资产投资是指具有集体、私营、个人性质的内资企事业单位以及由其控股（包括绝对控股和相对控股）的企业单位建造或购置固定资产的投资。</w:t>
      </w:r>
    </w:p>
    <w:p w14:paraId="6E5858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6.行业统计标准：</w:t>
      </w:r>
    </w:p>
    <w:p w14:paraId="1FAEF01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规模以上工业：年主营业务收入2000万元及以上的工业法人单位。</w:t>
      </w:r>
    </w:p>
    <w:p w14:paraId="2F465FF4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有资质的建筑业：有总承包和专业承包资质的建筑业法人单位。</w:t>
      </w:r>
    </w:p>
    <w:p w14:paraId="5671581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限额以上批发和零售业：年主营业务收入2000万元及以上的批发业、年主营业务收入500万元及以上的零售业法人单位。</w:t>
      </w:r>
    </w:p>
    <w:p w14:paraId="20378A52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限额以上住宿和餐饮业：年主营业务收入200万元及以上的住宿和餐饮业法人单位。</w:t>
      </w:r>
    </w:p>
    <w:p w14:paraId="49A617F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房地产开发经营业：全部房地产开发经营业法人单位。</w:t>
      </w:r>
    </w:p>
    <w:p w14:paraId="09AB8D3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78" w:lineRule="exact"/>
        <w:ind w:right="0" w:firstLine="560" w:firstLineChars="200"/>
        <w:textAlignment w:val="auto"/>
        <w:rPr>
          <w:rFonts w:ascii="Times New Roman" w:hAnsi="Times New Roman" w:eastAsia="方正仿宋_GBK" w:cs="方正仿宋_GBK"/>
          <w:color w:val="000000"/>
          <w:sz w:val="28"/>
          <w:szCs w:val="28"/>
        </w:rPr>
      </w:pPr>
      <w:r>
        <w:rPr>
          <w:rFonts w:hint="eastAsia" w:ascii="Times New Roman" w:hAnsi="Times New Roman" w:eastAsia="方正仿宋_GBK" w:cs="方正仿宋_GBK"/>
          <w:color w:val="000000"/>
          <w:sz w:val="28"/>
          <w:szCs w:val="28"/>
        </w:rPr>
        <w:t>规模以上服务业统计范围包括：年营业收入2000万元及以上的交通运输、仓储和邮政业，信息传输、软件和信息技术服务业，水利、环境和公共设施管理业，卫生行业法人单位；年营业收入1000万元及以上的房地产业（不含房地产开发经营），租赁和商务服务业，科学研究和技术服务业，教育行业法人单位；以及年营业收入500万元及以上的居民服务、修理和其他服务业，文化、体育和娱乐业，社会工作行业法人单位。</w:t>
      </w:r>
    </w:p>
    <w:p w14:paraId="09E2AC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7.出生人口、死亡人口和自然增长率按照公安局提供的户籍人口计算。</w:t>
      </w:r>
    </w:p>
    <w:p w14:paraId="2F471A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8.</w:t>
      </w:r>
      <w:r>
        <w:rPr>
          <w:rFonts w:hint="eastAsia" w:eastAsia="方正仿宋_GBK" w:cs="方正仿宋_GBK"/>
          <w:color w:val="000000"/>
          <w:sz w:val="28"/>
          <w:szCs w:val="28"/>
        </w:rPr>
        <w:t>城乡低保数据为年末户数，非享受低保的累计户次数</w:t>
      </w:r>
      <w:r>
        <w:rPr>
          <w:rFonts w:hint="eastAsia" w:eastAsia="方正仿宋_GBK" w:cs="方正仿宋_GBK"/>
          <w:sz w:val="28"/>
          <w:szCs w:val="28"/>
        </w:rPr>
        <w:t>。</w:t>
      </w:r>
    </w:p>
    <w:p w14:paraId="6D707A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  <w:r>
        <w:rPr>
          <w:rFonts w:hint="eastAsia" w:eastAsia="方正仿宋_GBK" w:cs="方正仿宋_GBK"/>
          <w:sz w:val="28"/>
          <w:szCs w:val="28"/>
        </w:rPr>
        <w:t>9.幅员面积采用第三次全国国土调查数据。</w:t>
      </w:r>
    </w:p>
    <w:p w14:paraId="649E1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 w:cs="方正仿宋_GBK"/>
          <w:sz w:val="28"/>
          <w:szCs w:val="28"/>
        </w:rPr>
      </w:pPr>
    </w:p>
    <w:p w14:paraId="4C3CC0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2" w:firstLineChars="200"/>
        <w:textAlignment w:val="auto"/>
        <w:rPr>
          <w:rFonts w:eastAsia="方正仿宋_GBK"/>
          <w:b/>
          <w:bCs/>
          <w:sz w:val="28"/>
          <w:szCs w:val="28"/>
        </w:rPr>
      </w:pPr>
      <w:r>
        <w:rPr>
          <w:rFonts w:hint="eastAsia" w:eastAsia="方正仿宋_GBK"/>
          <w:b/>
          <w:bCs/>
          <w:sz w:val="28"/>
          <w:szCs w:val="28"/>
        </w:rPr>
        <w:t>12.资料来源（以文中数据为序）：</w:t>
      </w:r>
    </w:p>
    <w:p w14:paraId="47E734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78" w:lineRule="exact"/>
        <w:ind w:right="0" w:firstLine="560" w:firstLineChars="200"/>
        <w:textAlignment w:val="auto"/>
        <w:rPr>
          <w:rFonts w:eastAsia="方正仿宋_GBK"/>
          <w:sz w:val="28"/>
          <w:szCs w:val="28"/>
        </w:rPr>
      </w:pPr>
      <w:r>
        <w:rPr>
          <w:rFonts w:hint="eastAsia" w:eastAsia="方正仿宋_GBK"/>
          <w:sz w:val="28"/>
          <w:szCs w:val="28"/>
        </w:rPr>
        <w:t>本公报中各类市场主体数据来自县市场监管局；户籍人口数据来自县公安局；就业、失业数据来自县人力社保局；招商引资数据来自县招商引资服务中心；</w:t>
      </w:r>
      <w:r>
        <w:rPr>
          <w:rFonts w:hint="eastAsia" w:eastAsia="方正仿宋_GBK" w:cs="方正仿宋_GBK"/>
          <w:color w:val="000000"/>
          <w:sz w:val="28"/>
          <w:szCs w:val="28"/>
        </w:rPr>
        <w:t>货物进出口数据来自县商务委</w:t>
      </w:r>
      <w:r>
        <w:rPr>
          <w:rFonts w:hint="eastAsia" w:eastAsia="方正仿宋_GBK"/>
          <w:sz w:val="28"/>
          <w:szCs w:val="28"/>
        </w:rPr>
        <w:t>；交通、客货运输量、车辆情况数据来自县交通局；邮电业务总量、电话数量等来自电信、邮政、移动、联通四家通讯公司；财政数据来自县财政局；金融、保险数据来自县金融工作服务中心；养老保险数据来自县人力社保局；</w:t>
      </w:r>
      <w:r>
        <w:rPr>
          <w:rFonts w:hint="eastAsia" w:eastAsia="方正仿宋_GBK" w:cs="方正仿宋_GBK"/>
          <w:color w:val="000000"/>
          <w:sz w:val="28"/>
          <w:szCs w:val="28"/>
        </w:rPr>
        <w:t>医疗保险数据来自县医保局；城乡低保数据来自县民政局；</w:t>
      </w:r>
      <w:r>
        <w:rPr>
          <w:rFonts w:hint="eastAsia" w:eastAsia="方正仿宋_GBK"/>
          <w:sz w:val="28"/>
          <w:szCs w:val="28"/>
        </w:rPr>
        <w:t>教育数据来自县教委；科技发展数据来自县经信委、县市场监管局；文化数据来自县文化旅游委、广电网络公司；旅游数据、文物保护点数据来自县文化旅游委；卫生数据来自县卫生健康委；土地数据来自县规划自然资源局；水资源数据来自县水利局；生态村、</w:t>
      </w:r>
      <w:r>
        <w:rPr>
          <w:rFonts w:hint="eastAsia" w:eastAsia="方正仿宋_GBK" w:cs="方正仿宋_GBK"/>
          <w:color w:val="000000"/>
          <w:sz w:val="28"/>
          <w:szCs w:val="28"/>
        </w:rPr>
        <w:t>自然保护区数据来自于县生态环境局；林业、森林数据来自于县林业局；城市绿化面积数据来自于县城市管理局；</w:t>
      </w:r>
      <w:r>
        <w:rPr>
          <w:rFonts w:hint="eastAsia" w:eastAsia="方正仿宋_GBK"/>
          <w:sz w:val="28"/>
          <w:szCs w:val="28"/>
        </w:rPr>
        <w:t>空气、噪音、水质数据来自县生态环境局；污水、垃圾处理数据来自县生态环境局、县住建委、县城市管理局；生产安全事故来县县应急管理局；扶贫数据来自县扶贫办；移民数据来自县发改委、县水利局；其他数据来自县统计局。</w:t>
      </w:r>
    </w:p>
    <w:p w14:paraId="45DEFC57">
      <w:pPr>
        <w:spacing w:line="580" w:lineRule="exact"/>
        <w:ind w:firstLine="420" w:firstLineChars="200"/>
      </w:pPr>
    </w:p>
    <w:p w14:paraId="57E1A8BE"/>
    <w:p w14:paraId="69132356">
      <w:pPr>
        <w:spacing w:line="580" w:lineRule="exact"/>
        <w:ind w:firstLine="420" w:firstLineChars="200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31309"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<v:path/>
          <v:fill on="f" focussize="0,0"/>
          <v:stroke on="f" weight="0.5pt" joinstyle="miter"/>
          <v:imagedata o:title=""/>
          <o:lock v:ext="edit"/>
          <v:textbox inset="0mm,0mm,0mm,0mm" style="mso-fit-shape-to-text:t;">
            <w:txbxContent>
              <w:p w14:paraId="38BFDAC3">
                <w:pPr>
                  <w:snapToGrid w:val="0"/>
                  <w:rPr>
                    <w:sz w:val="18"/>
                  </w:rPr>
                </w:pP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separate"/>
                </w:r>
                <w:r>
                  <w:rPr>
                    <w:rFonts w:asciiTheme="majorEastAsia" w:hAnsiTheme="majorEastAsia" w:eastAsiaTheme="majorEastAsia" w:cstheme="majorEastAsia"/>
                    <w:sz w:val="28"/>
                    <w:szCs w:val="28"/>
                  </w:rPr>
                  <w:t>- 1 -</w:t>
                </w:r>
                <w:r>
                  <w:rPr>
                    <w:rFonts w:hint="eastAsia" w:asciiTheme="majorEastAsia" w:hAnsiTheme="majorEastAsia" w:eastAsiaTheme="majorEastAsia" w:cstheme="majorEastAsia"/>
                    <w:sz w:val="28"/>
                    <w:szCs w:val="28"/>
                  </w:rP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7BBDA1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858824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193F05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D53418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10AC68">
    <w:pPr>
      <w:pStyle w:val="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4D1E60"/>
    <w:multiLevelType w:val="singleLevel"/>
    <w:tmpl w:val="B64D1E60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EC47A57"/>
    <w:rsid w:val="00260899"/>
    <w:rsid w:val="002D2E2E"/>
    <w:rsid w:val="0052651F"/>
    <w:rsid w:val="00810D3C"/>
    <w:rsid w:val="00814422"/>
    <w:rsid w:val="00A27A14"/>
    <w:rsid w:val="00A42BC3"/>
    <w:rsid w:val="00A82A8B"/>
    <w:rsid w:val="00B67649"/>
    <w:rsid w:val="00BC2884"/>
    <w:rsid w:val="00C02656"/>
    <w:rsid w:val="00C154BE"/>
    <w:rsid w:val="00C557D6"/>
    <w:rsid w:val="00CC6D80"/>
    <w:rsid w:val="01191856"/>
    <w:rsid w:val="018D6C59"/>
    <w:rsid w:val="01E77558"/>
    <w:rsid w:val="023115A2"/>
    <w:rsid w:val="02B04914"/>
    <w:rsid w:val="02BB1A57"/>
    <w:rsid w:val="02C43D73"/>
    <w:rsid w:val="02E87B71"/>
    <w:rsid w:val="02F22D4B"/>
    <w:rsid w:val="0308746A"/>
    <w:rsid w:val="031A7E04"/>
    <w:rsid w:val="03D55354"/>
    <w:rsid w:val="03D91C98"/>
    <w:rsid w:val="0418423B"/>
    <w:rsid w:val="043F0C8F"/>
    <w:rsid w:val="047821FF"/>
    <w:rsid w:val="048F193F"/>
    <w:rsid w:val="04BF0204"/>
    <w:rsid w:val="05304526"/>
    <w:rsid w:val="054801D5"/>
    <w:rsid w:val="05965BBF"/>
    <w:rsid w:val="06253040"/>
    <w:rsid w:val="063B57C5"/>
    <w:rsid w:val="067B6B10"/>
    <w:rsid w:val="06E74055"/>
    <w:rsid w:val="07011FD4"/>
    <w:rsid w:val="07484C60"/>
    <w:rsid w:val="077E211B"/>
    <w:rsid w:val="079C64BA"/>
    <w:rsid w:val="08143724"/>
    <w:rsid w:val="085F114B"/>
    <w:rsid w:val="089E7DE5"/>
    <w:rsid w:val="08A757F9"/>
    <w:rsid w:val="08FE2528"/>
    <w:rsid w:val="09215494"/>
    <w:rsid w:val="09416B8B"/>
    <w:rsid w:val="09F85AAB"/>
    <w:rsid w:val="0A234279"/>
    <w:rsid w:val="0A6B56A1"/>
    <w:rsid w:val="0AF70162"/>
    <w:rsid w:val="0B054BD5"/>
    <w:rsid w:val="0B71421F"/>
    <w:rsid w:val="0BCC08EF"/>
    <w:rsid w:val="0C486B58"/>
    <w:rsid w:val="0CB6542A"/>
    <w:rsid w:val="0D355F00"/>
    <w:rsid w:val="0D5A61A3"/>
    <w:rsid w:val="0DF109BE"/>
    <w:rsid w:val="0E0152CF"/>
    <w:rsid w:val="0E464992"/>
    <w:rsid w:val="0E622276"/>
    <w:rsid w:val="0E726CCC"/>
    <w:rsid w:val="0EB375DB"/>
    <w:rsid w:val="0EC2423A"/>
    <w:rsid w:val="0EC47A57"/>
    <w:rsid w:val="0EC94F83"/>
    <w:rsid w:val="0F781A32"/>
    <w:rsid w:val="0F9A7F85"/>
    <w:rsid w:val="0FBB59D3"/>
    <w:rsid w:val="10174710"/>
    <w:rsid w:val="102D2C51"/>
    <w:rsid w:val="104A4E92"/>
    <w:rsid w:val="1076432A"/>
    <w:rsid w:val="10C136D8"/>
    <w:rsid w:val="11362451"/>
    <w:rsid w:val="11744676"/>
    <w:rsid w:val="11E6582B"/>
    <w:rsid w:val="120A4096"/>
    <w:rsid w:val="120B219E"/>
    <w:rsid w:val="121C1069"/>
    <w:rsid w:val="12215888"/>
    <w:rsid w:val="12524499"/>
    <w:rsid w:val="12D66108"/>
    <w:rsid w:val="12DD32D3"/>
    <w:rsid w:val="12E95C09"/>
    <w:rsid w:val="132A7309"/>
    <w:rsid w:val="135C0D7D"/>
    <w:rsid w:val="13A17221"/>
    <w:rsid w:val="141A4AA1"/>
    <w:rsid w:val="14484481"/>
    <w:rsid w:val="14985846"/>
    <w:rsid w:val="14C54F0B"/>
    <w:rsid w:val="14E00CF3"/>
    <w:rsid w:val="15694C2B"/>
    <w:rsid w:val="157131B2"/>
    <w:rsid w:val="15A73E3A"/>
    <w:rsid w:val="16195D6C"/>
    <w:rsid w:val="16204FAB"/>
    <w:rsid w:val="16246090"/>
    <w:rsid w:val="162D3D57"/>
    <w:rsid w:val="163E38A0"/>
    <w:rsid w:val="164A7472"/>
    <w:rsid w:val="165C4443"/>
    <w:rsid w:val="16A20225"/>
    <w:rsid w:val="170B74CB"/>
    <w:rsid w:val="172D69E0"/>
    <w:rsid w:val="17357B22"/>
    <w:rsid w:val="17373D3A"/>
    <w:rsid w:val="17B71FD9"/>
    <w:rsid w:val="17E90B07"/>
    <w:rsid w:val="183F5977"/>
    <w:rsid w:val="1843112F"/>
    <w:rsid w:val="184B61CC"/>
    <w:rsid w:val="18A7670C"/>
    <w:rsid w:val="19322FD2"/>
    <w:rsid w:val="19747B8F"/>
    <w:rsid w:val="19BC795E"/>
    <w:rsid w:val="19C416C2"/>
    <w:rsid w:val="19C43719"/>
    <w:rsid w:val="1A2752F4"/>
    <w:rsid w:val="1A430F0F"/>
    <w:rsid w:val="1A515FB8"/>
    <w:rsid w:val="1B8C6137"/>
    <w:rsid w:val="1B9D5BCA"/>
    <w:rsid w:val="1BAA5B00"/>
    <w:rsid w:val="1BC14306"/>
    <w:rsid w:val="1C095BCD"/>
    <w:rsid w:val="1C6411DE"/>
    <w:rsid w:val="1C7D2C58"/>
    <w:rsid w:val="1C944E8F"/>
    <w:rsid w:val="1DAC1D9C"/>
    <w:rsid w:val="1DDE466B"/>
    <w:rsid w:val="1E025ED5"/>
    <w:rsid w:val="1E2C1E99"/>
    <w:rsid w:val="1E4645DC"/>
    <w:rsid w:val="1EC33C52"/>
    <w:rsid w:val="1F906076"/>
    <w:rsid w:val="1FE44BF2"/>
    <w:rsid w:val="20384E10"/>
    <w:rsid w:val="20853E2B"/>
    <w:rsid w:val="209B520F"/>
    <w:rsid w:val="210F7891"/>
    <w:rsid w:val="215A5648"/>
    <w:rsid w:val="215B0E27"/>
    <w:rsid w:val="2191219B"/>
    <w:rsid w:val="21BD4BD0"/>
    <w:rsid w:val="22A74EF1"/>
    <w:rsid w:val="22D52992"/>
    <w:rsid w:val="23406428"/>
    <w:rsid w:val="236A3C8A"/>
    <w:rsid w:val="247E0A29"/>
    <w:rsid w:val="24D3171F"/>
    <w:rsid w:val="251D6439"/>
    <w:rsid w:val="255D5894"/>
    <w:rsid w:val="259024CF"/>
    <w:rsid w:val="25AE592D"/>
    <w:rsid w:val="25F55839"/>
    <w:rsid w:val="265C0704"/>
    <w:rsid w:val="26EA1577"/>
    <w:rsid w:val="27131A1C"/>
    <w:rsid w:val="27282698"/>
    <w:rsid w:val="27293236"/>
    <w:rsid w:val="273603D8"/>
    <w:rsid w:val="27616C75"/>
    <w:rsid w:val="27DE4684"/>
    <w:rsid w:val="27F35328"/>
    <w:rsid w:val="28176337"/>
    <w:rsid w:val="296A54CB"/>
    <w:rsid w:val="29730237"/>
    <w:rsid w:val="2982400E"/>
    <w:rsid w:val="29A1645B"/>
    <w:rsid w:val="29C662AE"/>
    <w:rsid w:val="2A2B4259"/>
    <w:rsid w:val="2A670A84"/>
    <w:rsid w:val="2AAE0B07"/>
    <w:rsid w:val="2AE17B29"/>
    <w:rsid w:val="2B1768A7"/>
    <w:rsid w:val="2B5B0D99"/>
    <w:rsid w:val="2B8B5AE9"/>
    <w:rsid w:val="2B947FA8"/>
    <w:rsid w:val="2C7A725E"/>
    <w:rsid w:val="2C7F539B"/>
    <w:rsid w:val="2CD50146"/>
    <w:rsid w:val="2D01452C"/>
    <w:rsid w:val="2D4F323B"/>
    <w:rsid w:val="2D76211D"/>
    <w:rsid w:val="2D7E4624"/>
    <w:rsid w:val="2DC933F7"/>
    <w:rsid w:val="2E28739E"/>
    <w:rsid w:val="2E3549AA"/>
    <w:rsid w:val="2EDF25FA"/>
    <w:rsid w:val="2EE26ADB"/>
    <w:rsid w:val="2F5271ED"/>
    <w:rsid w:val="2F78271B"/>
    <w:rsid w:val="2F7F7433"/>
    <w:rsid w:val="2FB25AD9"/>
    <w:rsid w:val="30827FA5"/>
    <w:rsid w:val="312D2EDE"/>
    <w:rsid w:val="314C2FD0"/>
    <w:rsid w:val="31E60143"/>
    <w:rsid w:val="3225146A"/>
    <w:rsid w:val="328A58B7"/>
    <w:rsid w:val="332C6F5B"/>
    <w:rsid w:val="337246D7"/>
    <w:rsid w:val="33850726"/>
    <w:rsid w:val="339C6203"/>
    <w:rsid w:val="33CD60D6"/>
    <w:rsid w:val="346F3777"/>
    <w:rsid w:val="34B012A7"/>
    <w:rsid w:val="34FF0657"/>
    <w:rsid w:val="35047290"/>
    <w:rsid w:val="353879EB"/>
    <w:rsid w:val="354A3817"/>
    <w:rsid w:val="357B34DB"/>
    <w:rsid w:val="35A55B07"/>
    <w:rsid w:val="35B44171"/>
    <w:rsid w:val="35D10761"/>
    <w:rsid w:val="36500ED6"/>
    <w:rsid w:val="36C675ED"/>
    <w:rsid w:val="36ED38B5"/>
    <w:rsid w:val="38071B0C"/>
    <w:rsid w:val="384D2DAE"/>
    <w:rsid w:val="385627A1"/>
    <w:rsid w:val="385C7C1E"/>
    <w:rsid w:val="38D07BB8"/>
    <w:rsid w:val="398C2C67"/>
    <w:rsid w:val="3A0063A4"/>
    <w:rsid w:val="3A0D4273"/>
    <w:rsid w:val="3A117C5F"/>
    <w:rsid w:val="3A352898"/>
    <w:rsid w:val="3A3978BC"/>
    <w:rsid w:val="3A861E7A"/>
    <w:rsid w:val="3AE17C49"/>
    <w:rsid w:val="3B397493"/>
    <w:rsid w:val="3B806AC2"/>
    <w:rsid w:val="3B8E22C1"/>
    <w:rsid w:val="3BE81EF3"/>
    <w:rsid w:val="3BFA65AA"/>
    <w:rsid w:val="3C120777"/>
    <w:rsid w:val="3C3F3016"/>
    <w:rsid w:val="3C83634D"/>
    <w:rsid w:val="3C9019D8"/>
    <w:rsid w:val="3D0B5D6D"/>
    <w:rsid w:val="3D361B4F"/>
    <w:rsid w:val="3D3F0F1D"/>
    <w:rsid w:val="3D501A79"/>
    <w:rsid w:val="3D674607"/>
    <w:rsid w:val="3E13297C"/>
    <w:rsid w:val="3E5470A1"/>
    <w:rsid w:val="3E900236"/>
    <w:rsid w:val="3F1B7F93"/>
    <w:rsid w:val="3F347861"/>
    <w:rsid w:val="3F492095"/>
    <w:rsid w:val="3F80050F"/>
    <w:rsid w:val="3F931F0A"/>
    <w:rsid w:val="3FD0053B"/>
    <w:rsid w:val="3FFC1368"/>
    <w:rsid w:val="40356C16"/>
    <w:rsid w:val="40456CFC"/>
    <w:rsid w:val="410F1BAF"/>
    <w:rsid w:val="414F4507"/>
    <w:rsid w:val="41787DED"/>
    <w:rsid w:val="41A62D94"/>
    <w:rsid w:val="422645BE"/>
    <w:rsid w:val="4247635E"/>
    <w:rsid w:val="42A24688"/>
    <w:rsid w:val="43722592"/>
    <w:rsid w:val="438555C3"/>
    <w:rsid w:val="43B74D3A"/>
    <w:rsid w:val="43E35284"/>
    <w:rsid w:val="440C17B9"/>
    <w:rsid w:val="443260FD"/>
    <w:rsid w:val="443D339F"/>
    <w:rsid w:val="4445664B"/>
    <w:rsid w:val="44D40F91"/>
    <w:rsid w:val="44EA6EE4"/>
    <w:rsid w:val="45084AC8"/>
    <w:rsid w:val="45CB6857"/>
    <w:rsid w:val="45E91505"/>
    <w:rsid w:val="46CC1450"/>
    <w:rsid w:val="46EF0B53"/>
    <w:rsid w:val="470F18BE"/>
    <w:rsid w:val="47472255"/>
    <w:rsid w:val="478559A9"/>
    <w:rsid w:val="47CB5BB4"/>
    <w:rsid w:val="47CE5530"/>
    <w:rsid w:val="47E13F15"/>
    <w:rsid w:val="48012E55"/>
    <w:rsid w:val="482F2548"/>
    <w:rsid w:val="486A5193"/>
    <w:rsid w:val="48943F74"/>
    <w:rsid w:val="48EA0EEF"/>
    <w:rsid w:val="48EF4555"/>
    <w:rsid w:val="49171E49"/>
    <w:rsid w:val="49846670"/>
    <w:rsid w:val="49B15A07"/>
    <w:rsid w:val="4A0A4AE5"/>
    <w:rsid w:val="4A953A41"/>
    <w:rsid w:val="4AC627C0"/>
    <w:rsid w:val="4ACC34D6"/>
    <w:rsid w:val="4B8077C3"/>
    <w:rsid w:val="4B9F7104"/>
    <w:rsid w:val="4BB44A26"/>
    <w:rsid w:val="4C0864E0"/>
    <w:rsid w:val="4C0D4F8B"/>
    <w:rsid w:val="4C3F6869"/>
    <w:rsid w:val="4C60405B"/>
    <w:rsid w:val="4D796CC7"/>
    <w:rsid w:val="4D7D158A"/>
    <w:rsid w:val="4DAB6961"/>
    <w:rsid w:val="4E8E5E6E"/>
    <w:rsid w:val="4EC95B20"/>
    <w:rsid w:val="4EEB7104"/>
    <w:rsid w:val="4F406720"/>
    <w:rsid w:val="4F6218B8"/>
    <w:rsid w:val="4F7B76BC"/>
    <w:rsid w:val="4F8E47C8"/>
    <w:rsid w:val="4FA01F81"/>
    <w:rsid w:val="4FB14C5F"/>
    <w:rsid w:val="506A0966"/>
    <w:rsid w:val="50DF3EAB"/>
    <w:rsid w:val="51651AD5"/>
    <w:rsid w:val="51A342F4"/>
    <w:rsid w:val="51B97CDD"/>
    <w:rsid w:val="51CC6C67"/>
    <w:rsid w:val="527A12A7"/>
    <w:rsid w:val="52806EBA"/>
    <w:rsid w:val="52BD0145"/>
    <w:rsid w:val="52FC1A15"/>
    <w:rsid w:val="53736004"/>
    <w:rsid w:val="538B3E1A"/>
    <w:rsid w:val="53EF12B4"/>
    <w:rsid w:val="54025FCC"/>
    <w:rsid w:val="54101484"/>
    <w:rsid w:val="54152A23"/>
    <w:rsid w:val="54676465"/>
    <w:rsid w:val="546E67AE"/>
    <w:rsid w:val="55087895"/>
    <w:rsid w:val="55BF451C"/>
    <w:rsid w:val="55D57E4E"/>
    <w:rsid w:val="55DB2986"/>
    <w:rsid w:val="560143F4"/>
    <w:rsid w:val="564C597E"/>
    <w:rsid w:val="57BD23B7"/>
    <w:rsid w:val="57CD01B5"/>
    <w:rsid w:val="57DD059A"/>
    <w:rsid w:val="57DF7E17"/>
    <w:rsid w:val="58043EDD"/>
    <w:rsid w:val="581B4289"/>
    <w:rsid w:val="583B51FF"/>
    <w:rsid w:val="58700B37"/>
    <w:rsid w:val="58976C4E"/>
    <w:rsid w:val="58BB3D11"/>
    <w:rsid w:val="58C71FC4"/>
    <w:rsid w:val="58F01CE9"/>
    <w:rsid w:val="59600103"/>
    <w:rsid w:val="599B3027"/>
    <w:rsid w:val="59AE1C6C"/>
    <w:rsid w:val="5A9A0A14"/>
    <w:rsid w:val="5AAB4DEB"/>
    <w:rsid w:val="5ACF6903"/>
    <w:rsid w:val="5AE544E7"/>
    <w:rsid w:val="5B0400F6"/>
    <w:rsid w:val="5B3C06ED"/>
    <w:rsid w:val="5BCF0981"/>
    <w:rsid w:val="5C397390"/>
    <w:rsid w:val="5CA05401"/>
    <w:rsid w:val="5D1263A7"/>
    <w:rsid w:val="5D983AB8"/>
    <w:rsid w:val="5DC47257"/>
    <w:rsid w:val="5E0006C9"/>
    <w:rsid w:val="5E0939C0"/>
    <w:rsid w:val="5E1374AD"/>
    <w:rsid w:val="5ED8230D"/>
    <w:rsid w:val="5F07576F"/>
    <w:rsid w:val="5F1F4CCD"/>
    <w:rsid w:val="5F3211A7"/>
    <w:rsid w:val="5F6A4C5A"/>
    <w:rsid w:val="5F995DF2"/>
    <w:rsid w:val="5FE27383"/>
    <w:rsid w:val="601364D5"/>
    <w:rsid w:val="602E5197"/>
    <w:rsid w:val="60354790"/>
    <w:rsid w:val="605E6E68"/>
    <w:rsid w:val="609D504C"/>
    <w:rsid w:val="60D624FD"/>
    <w:rsid w:val="6101132B"/>
    <w:rsid w:val="619C37C6"/>
    <w:rsid w:val="61BB073B"/>
    <w:rsid w:val="61F93DCD"/>
    <w:rsid w:val="621F4A1B"/>
    <w:rsid w:val="62AB62DE"/>
    <w:rsid w:val="633B7304"/>
    <w:rsid w:val="63723664"/>
    <w:rsid w:val="63D0494E"/>
    <w:rsid w:val="63FF09CC"/>
    <w:rsid w:val="644C6820"/>
    <w:rsid w:val="64694941"/>
    <w:rsid w:val="64C06305"/>
    <w:rsid w:val="64C57377"/>
    <w:rsid w:val="658C5448"/>
    <w:rsid w:val="65A65287"/>
    <w:rsid w:val="65BB2A9B"/>
    <w:rsid w:val="65DE53E3"/>
    <w:rsid w:val="65ED46CD"/>
    <w:rsid w:val="6686414F"/>
    <w:rsid w:val="66C04AE8"/>
    <w:rsid w:val="66F767F8"/>
    <w:rsid w:val="6700764C"/>
    <w:rsid w:val="671D6C78"/>
    <w:rsid w:val="673B4685"/>
    <w:rsid w:val="678C78D6"/>
    <w:rsid w:val="67C2685F"/>
    <w:rsid w:val="67D66B50"/>
    <w:rsid w:val="6908576B"/>
    <w:rsid w:val="690C5152"/>
    <w:rsid w:val="69784D99"/>
    <w:rsid w:val="6ABE497B"/>
    <w:rsid w:val="6B091A11"/>
    <w:rsid w:val="6B0A20F5"/>
    <w:rsid w:val="6B771F9A"/>
    <w:rsid w:val="6B925280"/>
    <w:rsid w:val="6BBE58C4"/>
    <w:rsid w:val="6BD60DEF"/>
    <w:rsid w:val="6BF6161A"/>
    <w:rsid w:val="6C3D570D"/>
    <w:rsid w:val="6C774ADC"/>
    <w:rsid w:val="6CE51437"/>
    <w:rsid w:val="6D161D6E"/>
    <w:rsid w:val="6D4A2B4C"/>
    <w:rsid w:val="6D5134E9"/>
    <w:rsid w:val="6D5371C1"/>
    <w:rsid w:val="6D847077"/>
    <w:rsid w:val="6E03225A"/>
    <w:rsid w:val="6E0F4745"/>
    <w:rsid w:val="6E1774CF"/>
    <w:rsid w:val="6EE92082"/>
    <w:rsid w:val="6EFC0412"/>
    <w:rsid w:val="6F1B12E2"/>
    <w:rsid w:val="6F243F09"/>
    <w:rsid w:val="6F8E6663"/>
    <w:rsid w:val="6FE61040"/>
    <w:rsid w:val="70013682"/>
    <w:rsid w:val="704107F2"/>
    <w:rsid w:val="70761071"/>
    <w:rsid w:val="70EB1FD4"/>
    <w:rsid w:val="711D2D02"/>
    <w:rsid w:val="71255E3B"/>
    <w:rsid w:val="7158067D"/>
    <w:rsid w:val="716F4889"/>
    <w:rsid w:val="71D25727"/>
    <w:rsid w:val="726A0D7A"/>
    <w:rsid w:val="726B586E"/>
    <w:rsid w:val="7378684B"/>
    <w:rsid w:val="73BA3816"/>
    <w:rsid w:val="73F616AB"/>
    <w:rsid w:val="73F866B3"/>
    <w:rsid w:val="74067180"/>
    <w:rsid w:val="744516EA"/>
    <w:rsid w:val="74AF47AF"/>
    <w:rsid w:val="75413D3C"/>
    <w:rsid w:val="75582328"/>
    <w:rsid w:val="755D0EE5"/>
    <w:rsid w:val="755F0B5C"/>
    <w:rsid w:val="762E1E34"/>
    <w:rsid w:val="7654022E"/>
    <w:rsid w:val="767E07C0"/>
    <w:rsid w:val="771A578A"/>
    <w:rsid w:val="77321706"/>
    <w:rsid w:val="777E0C59"/>
    <w:rsid w:val="778629EB"/>
    <w:rsid w:val="779E423D"/>
    <w:rsid w:val="77D738FF"/>
    <w:rsid w:val="77EE3A56"/>
    <w:rsid w:val="77F32A47"/>
    <w:rsid w:val="78330BF1"/>
    <w:rsid w:val="79141BB3"/>
    <w:rsid w:val="7914696C"/>
    <w:rsid w:val="798174CD"/>
    <w:rsid w:val="798325B6"/>
    <w:rsid w:val="798332AA"/>
    <w:rsid w:val="799E1ECF"/>
    <w:rsid w:val="79D360F1"/>
    <w:rsid w:val="79E072D0"/>
    <w:rsid w:val="79ED2BD2"/>
    <w:rsid w:val="7A853067"/>
    <w:rsid w:val="7AAE475B"/>
    <w:rsid w:val="7ACC56F6"/>
    <w:rsid w:val="7AD53C10"/>
    <w:rsid w:val="7B0D7270"/>
    <w:rsid w:val="7B1610D6"/>
    <w:rsid w:val="7B161A32"/>
    <w:rsid w:val="7B3C6A05"/>
    <w:rsid w:val="7B9C05F8"/>
    <w:rsid w:val="7BB100B2"/>
    <w:rsid w:val="7BC834CF"/>
    <w:rsid w:val="7BD1613B"/>
    <w:rsid w:val="7C9C3207"/>
    <w:rsid w:val="7CAC6FA6"/>
    <w:rsid w:val="7D4D6F10"/>
    <w:rsid w:val="7D903E46"/>
    <w:rsid w:val="7DD8335C"/>
    <w:rsid w:val="7DEA6852"/>
    <w:rsid w:val="7ECE6B7F"/>
    <w:rsid w:val="7F1E1C7F"/>
    <w:rsid w:val="7F9E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customStyle="1" w:styleId="7">
    <w:name w:val="font11"/>
    <w:basedOn w:val="6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15</Pages>
  <Words>6146</Words>
  <Characters>2009</Characters>
  <Lines>16</Lines>
  <Paragraphs>16</Paragraphs>
  <TotalTime>398</TotalTime>
  <ScaleCrop>false</ScaleCrop>
  <LinksUpToDate>false</LinksUpToDate>
  <CharactersWithSpaces>8139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2018-04-16T01:31:00Z</dcterms:created>
  <dc:creator>yingzi</dc:creator>
  <cp:lastModifiedBy>喵喵三个</cp:lastModifiedBy>
  <cp:lastPrinted>2021-03-24T06:33:00Z</cp:lastPrinted>
  <dcterms:modified xsi:type="dcterms:W3CDTF">2026-07-07T11:34:16Z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942D773751FC4CBCA64246FABA9FB5FA</vt:lpwstr>
  </property>
</Properties>
</file>