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84" w:rsidRDefault="00285684" w:rsidP="00285684">
      <w:pPr>
        <w:pStyle w:val="1"/>
        <w:spacing w:line="240" w:lineRule="auto"/>
        <w:rPr>
          <w:rFonts w:ascii="宋体" w:eastAsia="宋体" w:hAnsi="宋体"/>
          <w:b w:val="0"/>
          <w:bCs/>
          <w:color w:val="FF0000"/>
          <w:sz w:val="44"/>
          <w:szCs w:val="44"/>
        </w:rPr>
      </w:pPr>
      <w:r>
        <w:rPr>
          <w:rFonts w:ascii="宋体" w:eastAsia="宋体" w:hAnsi="宋体" w:hint="eastAsia"/>
          <w:b w:val="0"/>
          <w:bCs/>
          <w:color w:val="FF0000"/>
          <w:sz w:val="44"/>
          <w:szCs w:val="44"/>
        </w:rPr>
        <w:t>重庆市建设项目环境影响评价文件批准书</w:t>
      </w:r>
    </w:p>
    <w:p w:rsidR="00285684" w:rsidRDefault="00285684" w:rsidP="00285684">
      <w:pPr>
        <w:rPr>
          <w:rFonts w:ascii="宋体" w:hAnsi="宋体"/>
          <w:bCs/>
          <w:spacing w:val="50"/>
          <w:sz w:val="28"/>
        </w:rPr>
      </w:pPr>
    </w:p>
    <w:p w:rsidR="00285684" w:rsidRDefault="00285684" w:rsidP="00285684">
      <w:pPr>
        <w:adjustRightInd w:val="0"/>
        <w:snapToGrid w:val="0"/>
        <w:rPr>
          <w:dstrike/>
          <w:spacing w:val="50"/>
          <w:sz w:val="28"/>
          <w:szCs w:val="28"/>
        </w:rPr>
      </w:pPr>
      <w:r>
        <w:rPr>
          <w:rFonts w:hint="eastAsia"/>
          <w:spacing w:val="50"/>
          <w:sz w:val="28"/>
        </w:rPr>
        <w:t xml:space="preserve"> </w:t>
      </w:r>
      <w:r>
        <w:rPr>
          <w:rFonts w:hint="eastAsia"/>
          <w:dstrike/>
          <w:spacing w:val="50"/>
          <w:sz w:val="28"/>
          <w:szCs w:val="28"/>
        </w:rPr>
        <w:t xml:space="preserve">                                   </w:t>
      </w:r>
    </w:p>
    <w:p w:rsidR="00285684" w:rsidRDefault="00285684" w:rsidP="00285684">
      <w:pPr>
        <w:pStyle w:val="a5"/>
        <w:snapToGrid w:val="0"/>
        <w:spacing w:line="240" w:lineRule="atLeast"/>
        <w:jc w:val="center"/>
        <w:rPr>
          <w:rFonts w:ascii="方正仿宋_GBK" w:eastAsia="方正仿宋_GBK" w:hAnsi="宋体"/>
          <w:bCs/>
        </w:rPr>
      </w:pPr>
      <w:bookmarkStart w:id="0" w:name="docNum"/>
      <w:r>
        <w:rPr>
          <w:rFonts w:ascii="方正仿宋_GBK" w:eastAsia="方正仿宋_GBK" w:hAnsi="宋体" w:hint="eastAsia"/>
          <w:bCs/>
        </w:rPr>
        <w:t>渝（云阳）环准〔</w:t>
      </w:r>
      <w:r>
        <w:rPr>
          <w:rFonts w:ascii="方正仿宋_GBK" w:eastAsia="方正仿宋_GBK" w:hAnsi="宋体"/>
          <w:bCs/>
        </w:rPr>
        <w:t>2023〕26号</w:t>
      </w:r>
      <w:bookmarkEnd w:id="0"/>
    </w:p>
    <w:p w:rsidR="00285684" w:rsidRDefault="00285684" w:rsidP="00285684">
      <w:pPr>
        <w:pStyle w:val="tb"/>
        <w:spacing w:line="600" w:lineRule="exact"/>
        <w:rPr>
          <w:rFonts w:ascii="Times New Roman" w:eastAsia="方正仿宋_GBK" w:hAnsi="Times New Roman"/>
          <w:bCs/>
          <w:color w:val="000000"/>
          <w:sz w:val="32"/>
          <w:szCs w:val="32"/>
        </w:rPr>
      </w:pPr>
      <w:bookmarkStart w:id="1" w:name="companyName"/>
      <w:bookmarkStart w:id="2" w:name="建设单位"/>
      <w:r>
        <w:rPr>
          <w:rFonts w:ascii="Times New Roman" w:eastAsia="方正仿宋_GBK" w:hAnsi="Times New Roman" w:hint="eastAsia"/>
          <w:bCs/>
          <w:color w:val="000000"/>
          <w:sz w:val="32"/>
          <w:szCs w:val="32"/>
        </w:rPr>
        <w:t>重庆毅兵塑料制品有限公司：</w:t>
      </w:r>
    </w:p>
    <w:bookmarkEnd w:id="2"/>
    <w:p w:rsidR="00285684" w:rsidRDefault="00285684" w:rsidP="00285684">
      <w:pPr>
        <w:spacing w:line="540" w:lineRule="exact"/>
        <w:ind w:rightChars="-10" w:right="-21" w:firstLine="640"/>
        <w:rPr>
          <w:rFonts w:eastAsia="方正仿宋_GBK"/>
          <w:bCs/>
          <w:sz w:val="32"/>
        </w:rPr>
      </w:pPr>
      <w:r>
        <w:rPr>
          <w:rFonts w:eastAsia="方正仿宋_GBK" w:hint="eastAsia"/>
          <w:bCs/>
          <w:sz w:val="32"/>
        </w:rPr>
        <w:t>你单位报送的果筐制造及再生颗粒生产项目环境影响评价文件审批申请表及相关材料收悉。经研究，现审批如下：</w:t>
      </w:r>
    </w:p>
    <w:p w:rsidR="00285684" w:rsidRDefault="00285684" w:rsidP="00285684">
      <w:pPr>
        <w:numPr>
          <w:ilvl w:val="0"/>
          <w:numId w:val="1"/>
        </w:numPr>
        <w:autoSpaceDE w:val="0"/>
        <w:autoSpaceDN w:val="0"/>
        <w:adjustRightInd w:val="0"/>
        <w:spacing w:line="520" w:lineRule="exact"/>
        <w:ind w:firstLineChars="200" w:firstLine="640"/>
        <w:rPr>
          <w:rFonts w:eastAsia="方正仿宋_GBK"/>
          <w:bCs/>
          <w:sz w:val="32"/>
        </w:rPr>
      </w:pPr>
      <w:r>
        <w:rPr>
          <w:rFonts w:eastAsia="方正仿宋_GBK" w:hint="eastAsia"/>
          <w:bCs/>
          <w:sz w:val="32"/>
        </w:rPr>
        <w:t>根据《中华人民共和国环境影响评价法》等有关规定，我局原则同意重庆光宸消环工程技术服务有限公司编制的</w:t>
      </w:r>
      <w:r>
        <w:rPr>
          <w:rFonts w:ascii="方正仿宋_GBK" w:eastAsia="方正仿宋_GBK" w:hAnsi="仿宋" w:hint="eastAsia"/>
          <w:sz w:val="32"/>
          <w:szCs w:val="32"/>
        </w:rPr>
        <w:t>《</w:t>
      </w:r>
      <w:r>
        <w:rPr>
          <w:rFonts w:eastAsia="方正仿宋_GBK" w:hint="eastAsia"/>
          <w:bCs/>
          <w:color w:val="000000"/>
          <w:sz w:val="32"/>
          <w:szCs w:val="32"/>
        </w:rPr>
        <w:t>重庆毅兵塑料制品有限公司</w:t>
      </w:r>
      <w:r>
        <w:rPr>
          <w:rFonts w:ascii="方正仿宋_GBK" w:eastAsia="方正仿宋_GBK" w:hAnsi="仿宋" w:hint="eastAsia"/>
          <w:sz w:val="32"/>
          <w:szCs w:val="32"/>
        </w:rPr>
        <w:t>果筐制造及再生颗粒生产项目环境影响报告表（污染影响类）》结论和提出的生态环境保护措施。</w:t>
      </w:r>
    </w:p>
    <w:p w:rsidR="00285684" w:rsidRDefault="00285684" w:rsidP="00285684">
      <w:pPr>
        <w:autoSpaceDE w:val="0"/>
        <w:autoSpaceDN w:val="0"/>
        <w:adjustRightInd w:val="0"/>
        <w:spacing w:line="520" w:lineRule="exact"/>
        <w:ind w:firstLineChars="200" w:firstLine="640"/>
        <w:rPr>
          <w:rFonts w:eastAsia="方正仿宋_GBK"/>
          <w:bCs/>
          <w:sz w:val="32"/>
        </w:rPr>
      </w:pPr>
      <w:r>
        <w:rPr>
          <w:rFonts w:eastAsia="方正仿宋_GBK" w:hint="eastAsia"/>
          <w:bCs/>
          <w:sz w:val="32"/>
        </w:rPr>
        <w:t>二、建设内容和规模：项目建设地址位于重庆市云阳工业园区黄岭组团，属于新建项目。项目占地面积</w:t>
      </w:r>
      <w:r>
        <w:rPr>
          <w:rFonts w:eastAsia="方正仿宋_GBK" w:hint="eastAsia"/>
          <w:bCs/>
          <w:sz w:val="32"/>
        </w:rPr>
        <w:t>16671.76m</w:t>
      </w:r>
      <w:r>
        <w:rPr>
          <w:rFonts w:eastAsia="方正仿宋_GBK" w:hint="eastAsia"/>
          <w:bCs/>
          <w:sz w:val="32"/>
          <w:vertAlign w:val="superscript"/>
        </w:rPr>
        <w:t>2</w:t>
      </w:r>
      <w:r>
        <w:rPr>
          <w:rFonts w:eastAsia="方正仿宋_GBK" w:hint="eastAsia"/>
          <w:bCs/>
          <w:sz w:val="32"/>
        </w:rPr>
        <w:t>，总建筑面积约</w:t>
      </w:r>
      <w:r>
        <w:rPr>
          <w:rFonts w:eastAsia="方正仿宋_GBK" w:hint="eastAsia"/>
          <w:bCs/>
          <w:sz w:val="32"/>
        </w:rPr>
        <w:t>9087.22m</w:t>
      </w:r>
      <w:r>
        <w:rPr>
          <w:rFonts w:eastAsia="方正仿宋_GBK" w:hint="eastAsia"/>
          <w:bCs/>
          <w:sz w:val="32"/>
          <w:vertAlign w:val="superscript"/>
        </w:rPr>
        <w:t>2</w:t>
      </w:r>
      <w:r>
        <w:rPr>
          <w:rFonts w:eastAsia="方正仿宋_GBK" w:hint="eastAsia"/>
          <w:bCs/>
          <w:sz w:val="32"/>
        </w:rPr>
        <w:t>。主要建设片料水洗</w:t>
      </w:r>
      <w:r>
        <w:rPr>
          <w:rFonts w:eastAsia="方正仿宋_GBK" w:hint="eastAsia"/>
          <w:bCs/>
          <w:sz w:val="32"/>
        </w:rPr>
        <w:t>+</w:t>
      </w:r>
      <w:r>
        <w:rPr>
          <w:rFonts w:eastAsia="方正仿宋_GBK" w:hint="eastAsia"/>
          <w:bCs/>
          <w:sz w:val="32"/>
        </w:rPr>
        <w:t>破碎生产线</w:t>
      </w:r>
      <w:r>
        <w:rPr>
          <w:rFonts w:eastAsia="方正仿宋_GBK" w:hint="eastAsia"/>
          <w:bCs/>
          <w:sz w:val="32"/>
        </w:rPr>
        <w:t>1</w:t>
      </w:r>
      <w:r>
        <w:rPr>
          <w:rFonts w:eastAsia="方正仿宋_GBK" w:hint="eastAsia"/>
          <w:bCs/>
          <w:sz w:val="32"/>
        </w:rPr>
        <w:t>条，</w:t>
      </w:r>
      <w:r>
        <w:rPr>
          <w:rFonts w:eastAsia="方正仿宋_GBK" w:hint="eastAsia"/>
          <w:bCs/>
          <w:sz w:val="32"/>
        </w:rPr>
        <w:t>PP</w:t>
      </w:r>
      <w:r>
        <w:rPr>
          <w:rFonts w:eastAsia="方正仿宋_GBK" w:hint="eastAsia"/>
          <w:bCs/>
          <w:sz w:val="32"/>
        </w:rPr>
        <w:t>、</w:t>
      </w:r>
      <w:r>
        <w:rPr>
          <w:rFonts w:eastAsia="方正仿宋_GBK" w:hint="eastAsia"/>
          <w:bCs/>
          <w:sz w:val="32"/>
        </w:rPr>
        <w:t>PE</w:t>
      </w:r>
      <w:r>
        <w:rPr>
          <w:rFonts w:eastAsia="方正仿宋_GBK" w:hint="eastAsia"/>
          <w:bCs/>
          <w:sz w:val="32"/>
        </w:rPr>
        <w:t>造粒生产线</w:t>
      </w:r>
      <w:r>
        <w:rPr>
          <w:rFonts w:eastAsia="方正仿宋_GBK" w:hint="eastAsia"/>
          <w:bCs/>
          <w:sz w:val="32"/>
        </w:rPr>
        <w:t>3</w:t>
      </w:r>
      <w:r>
        <w:rPr>
          <w:rFonts w:eastAsia="方正仿宋_GBK" w:hint="eastAsia"/>
          <w:bCs/>
          <w:sz w:val="32"/>
        </w:rPr>
        <w:t>条，</w:t>
      </w:r>
      <w:r>
        <w:rPr>
          <w:rFonts w:eastAsia="方正仿宋_GBK" w:hint="eastAsia"/>
          <w:bCs/>
          <w:sz w:val="32"/>
        </w:rPr>
        <w:t>EPS</w:t>
      </w:r>
      <w:r>
        <w:rPr>
          <w:rFonts w:eastAsia="方正仿宋_GBK" w:hint="eastAsia"/>
          <w:bCs/>
          <w:sz w:val="32"/>
        </w:rPr>
        <w:t>造粒生产线</w:t>
      </w:r>
      <w:r>
        <w:rPr>
          <w:rFonts w:eastAsia="方正仿宋_GBK" w:hint="eastAsia"/>
          <w:bCs/>
          <w:sz w:val="32"/>
        </w:rPr>
        <w:t>1</w:t>
      </w:r>
      <w:r>
        <w:rPr>
          <w:rFonts w:eastAsia="方正仿宋_GBK" w:hint="eastAsia"/>
          <w:bCs/>
          <w:sz w:val="32"/>
        </w:rPr>
        <w:t>条；果筐生产线</w:t>
      </w:r>
      <w:r>
        <w:rPr>
          <w:rFonts w:eastAsia="方正仿宋_GBK" w:hint="eastAsia"/>
          <w:bCs/>
          <w:sz w:val="32"/>
        </w:rPr>
        <w:t>7</w:t>
      </w:r>
      <w:r>
        <w:rPr>
          <w:rFonts w:eastAsia="方正仿宋_GBK" w:hint="eastAsia"/>
          <w:bCs/>
          <w:sz w:val="32"/>
        </w:rPr>
        <w:t>条，</w:t>
      </w:r>
      <w:r w:rsidRPr="00A7616D">
        <w:rPr>
          <w:rFonts w:eastAsia="方正仿宋_GBK" w:hint="eastAsia"/>
          <w:bCs/>
          <w:sz w:val="32"/>
          <w:lang w:val="en-GB"/>
        </w:rPr>
        <w:t>果筐生产线中的原料</w:t>
      </w:r>
      <w:r w:rsidRPr="00A7616D">
        <w:rPr>
          <w:rFonts w:eastAsia="方正仿宋_GBK" w:hint="eastAsia"/>
          <w:bCs/>
          <w:sz w:val="32"/>
          <w:lang w:val="en-GB"/>
        </w:rPr>
        <w:t>PP</w:t>
      </w:r>
      <w:r w:rsidRPr="00A7616D">
        <w:rPr>
          <w:rFonts w:eastAsia="方正仿宋_GBK" w:hint="eastAsia"/>
          <w:bCs/>
          <w:sz w:val="32"/>
          <w:lang w:val="en-GB"/>
        </w:rPr>
        <w:t>、</w:t>
      </w:r>
      <w:r w:rsidRPr="00A7616D">
        <w:rPr>
          <w:rFonts w:eastAsia="方正仿宋_GBK" w:hint="eastAsia"/>
          <w:bCs/>
          <w:sz w:val="32"/>
          <w:lang w:val="en-GB"/>
        </w:rPr>
        <w:t>PE</w:t>
      </w:r>
      <w:r w:rsidRPr="00A7616D">
        <w:rPr>
          <w:rFonts w:eastAsia="方正仿宋_GBK" w:hint="eastAsia"/>
          <w:bCs/>
          <w:sz w:val="32"/>
          <w:lang w:val="en-GB"/>
        </w:rPr>
        <w:t>颗粒为外购的新料，不利用再生料</w:t>
      </w:r>
      <w:r>
        <w:rPr>
          <w:rFonts w:eastAsia="方正仿宋_GBK" w:hint="eastAsia"/>
          <w:bCs/>
          <w:sz w:val="32"/>
          <w:lang w:val="en-GB"/>
        </w:rPr>
        <w:t>。</w:t>
      </w:r>
      <w:r>
        <w:rPr>
          <w:rFonts w:eastAsia="方正仿宋_GBK" w:hint="eastAsia"/>
          <w:bCs/>
          <w:sz w:val="32"/>
        </w:rPr>
        <w:t>建成后年产</w:t>
      </w:r>
      <w:r>
        <w:rPr>
          <w:rFonts w:eastAsia="方正仿宋_GBK" w:hint="eastAsia"/>
          <w:bCs/>
          <w:sz w:val="32"/>
        </w:rPr>
        <w:t>3120</w:t>
      </w:r>
      <w:r>
        <w:rPr>
          <w:rFonts w:eastAsia="方正仿宋_GBK" w:hint="eastAsia"/>
          <w:bCs/>
          <w:sz w:val="32"/>
        </w:rPr>
        <w:t>吨</w:t>
      </w:r>
      <w:r>
        <w:rPr>
          <w:rFonts w:eastAsia="方正仿宋_GBK" w:hint="eastAsia"/>
          <w:bCs/>
          <w:sz w:val="32"/>
        </w:rPr>
        <w:t>PP/PE</w:t>
      </w:r>
      <w:r>
        <w:rPr>
          <w:rFonts w:eastAsia="方正仿宋_GBK" w:hint="eastAsia"/>
          <w:bCs/>
          <w:sz w:val="32"/>
        </w:rPr>
        <w:t>再生颗粒、年产</w:t>
      </w:r>
      <w:r>
        <w:rPr>
          <w:rFonts w:eastAsia="方正仿宋_GBK" w:hint="eastAsia"/>
          <w:bCs/>
          <w:sz w:val="32"/>
        </w:rPr>
        <w:t>1200</w:t>
      </w:r>
      <w:r>
        <w:rPr>
          <w:rFonts w:eastAsia="方正仿宋_GBK" w:hint="eastAsia"/>
          <w:bCs/>
          <w:sz w:val="32"/>
        </w:rPr>
        <w:t>吨</w:t>
      </w:r>
      <w:r>
        <w:rPr>
          <w:rFonts w:eastAsia="方正仿宋_GBK" w:hint="eastAsia"/>
          <w:bCs/>
          <w:sz w:val="32"/>
        </w:rPr>
        <w:t>EPS</w:t>
      </w:r>
      <w:r>
        <w:rPr>
          <w:rFonts w:eastAsia="方正仿宋_GBK" w:hint="eastAsia"/>
          <w:bCs/>
          <w:sz w:val="32"/>
        </w:rPr>
        <w:t>再生颗粒、年产塑料筐</w:t>
      </w:r>
      <w:r>
        <w:rPr>
          <w:rFonts w:eastAsia="方正仿宋_GBK" w:hint="eastAsia"/>
          <w:bCs/>
          <w:sz w:val="32"/>
        </w:rPr>
        <w:t>83</w:t>
      </w:r>
      <w:r>
        <w:rPr>
          <w:rFonts w:eastAsia="方正仿宋_GBK" w:hint="eastAsia"/>
          <w:bCs/>
          <w:sz w:val="32"/>
        </w:rPr>
        <w:t>万只。主要生产设备包括湿法破碎机、水洗池、离心脱水机、造粒机、切粒机、注塑机、炒料机、混色机等。项目组成主要包括主体工程（生产车间）、辅助工程、公用工程、储运工程和环保工程（生化池、一体化污水处理设施、废气处理设备、危险废物暂存间等）。项目劳动定员</w:t>
      </w:r>
      <w:r>
        <w:rPr>
          <w:rFonts w:eastAsia="方正仿宋_GBK" w:hint="eastAsia"/>
          <w:bCs/>
          <w:sz w:val="32"/>
        </w:rPr>
        <w:t>20</w:t>
      </w:r>
      <w:r>
        <w:rPr>
          <w:rFonts w:eastAsia="方正仿宋_GBK" w:hint="eastAsia"/>
          <w:bCs/>
          <w:sz w:val="32"/>
        </w:rPr>
        <w:t>人，厂内设食宿。项目总投资</w:t>
      </w:r>
      <w:r>
        <w:rPr>
          <w:rFonts w:eastAsia="方正仿宋_GBK" w:hint="eastAsia"/>
          <w:bCs/>
          <w:sz w:val="32"/>
        </w:rPr>
        <w:t>15000</w:t>
      </w:r>
      <w:r>
        <w:rPr>
          <w:rFonts w:eastAsia="方正仿宋_GBK" w:hint="eastAsia"/>
          <w:bCs/>
          <w:sz w:val="32"/>
        </w:rPr>
        <w:t>万元，其中环保投资</w:t>
      </w:r>
      <w:r>
        <w:rPr>
          <w:rFonts w:eastAsia="方正仿宋_GBK" w:hint="eastAsia"/>
          <w:bCs/>
          <w:sz w:val="32"/>
        </w:rPr>
        <w:t>300</w:t>
      </w:r>
      <w:r>
        <w:rPr>
          <w:rFonts w:eastAsia="方正仿宋_GBK" w:hint="eastAsia"/>
          <w:bCs/>
          <w:sz w:val="32"/>
        </w:rPr>
        <w:t>万元，环保投资占总投资比例为</w:t>
      </w:r>
      <w:r>
        <w:rPr>
          <w:rFonts w:eastAsia="方正仿宋_GBK" w:hint="eastAsia"/>
          <w:bCs/>
          <w:sz w:val="32"/>
        </w:rPr>
        <w:t>2%</w:t>
      </w:r>
      <w:r>
        <w:rPr>
          <w:rFonts w:eastAsia="方正仿宋_GBK" w:hint="eastAsia"/>
          <w:bCs/>
          <w:sz w:val="32"/>
        </w:rPr>
        <w:t>。</w:t>
      </w:r>
    </w:p>
    <w:p w:rsidR="00285684" w:rsidRDefault="00285684" w:rsidP="00285684">
      <w:pPr>
        <w:spacing w:line="540" w:lineRule="exact"/>
        <w:ind w:rightChars="-10" w:right="-21" w:firstLineChars="200" w:firstLine="640"/>
        <w:rPr>
          <w:rFonts w:eastAsia="方正仿宋_GBK"/>
          <w:bCs/>
          <w:sz w:val="32"/>
        </w:rPr>
      </w:pPr>
      <w:r>
        <w:rPr>
          <w:rFonts w:eastAsia="方正仿宋_GBK" w:hint="eastAsia"/>
          <w:bCs/>
          <w:sz w:val="32"/>
        </w:rPr>
        <w:t>三、该建设项目污染物排放应严格按照环境影响报告表</w:t>
      </w:r>
      <w:r>
        <w:rPr>
          <w:rFonts w:eastAsia="方正仿宋_GBK" w:hint="eastAsia"/>
          <w:bCs/>
          <w:sz w:val="32"/>
        </w:rPr>
        <w:lastRenderedPageBreak/>
        <w:t>及本批准书规定的排放标准执行，不得突破。</w:t>
      </w:r>
    </w:p>
    <w:p w:rsidR="00285684" w:rsidRDefault="00285684" w:rsidP="00285684">
      <w:pPr>
        <w:spacing w:line="540" w:lineRule="exact"/>
        <w:ind w:rightChars="-10" w:right="-21" w:firstLineChars="200" w:firstLine="640"/>
        <w:rPr>
          <w:rFonts w:eastAsia="方正仿宋_GBK"/>
          <w:bCs/>
          <w:sz w:val="32"/>
        </w:rPr>
      </w:pPr>
      <w:r>
        <w:rPr>
          <w:rFonts w:eastAsia="方正仿宋_GBK" w:hint="eastAsia"/>
          <w:bCs/>
          <w:sz w:val="32"/>
        </w:rPr>
        <w:t>四、该项目在设计、建设和运营过程中，必须全面落实环境影响报告表中规定的污染治理设施和生态保护措施，并做好以下工作。</w:t>
      </w:r>
    </w:p>
    <w:p w:rsidR="00285684" w:rsidRDefault="00285684" w:rsidP="00285684">
      <w:pPr>
        <w:adjustRightInd w:val="0"/>
        <w:snapToGrid w:val="0"/>
        <w:spacing w:line="540" w:lineRule="exact"/>
        <w:ind w:rightChars="-10" w:right="-21" w:firstLineChars="200" w:firstLine="640"/>
        <w:rPr>
          <w:rFonts w:eastAsia="方正仿宋_GBK"/>
          <w:bCs/>
          <w:sz w:val="32"/>
        </w:rPr>
      </w:pPr>
      <w:r>
        <w:rPr>
          <w:rFonts w:eastAsia="方正仿宋_GBK" w:hint="eastAsia"/>
          <w:bCs/>
          <w:sz w:val="32"/>
        </w:rPr>
        <w:t>（一）做好施工期环境管理。施工期主要是场地硬化、厂房搭建、设备安装及调试。一是应采取围挡施工、洒水抑尘等措施，粉性建筑材料室内堆放或覆盖，粉性易洒落物料实行密闭运输，运输车辆驶出工地前冲洗车身，严格控制粉尘无组织排放。二是施工场地冲洗废水、车辆冲洗废水等经沉淀处理后回用，不外排；施工人员少量生活污水依托周边厂房污水处理设施处理。三是选用低噪声施工设备，合理安排施工时序，控制施工时间，禁止夜间施工。四是建筑垃圾应统一清运到指定的渣场进行处置；生活垃圾集中收集后及时交环卫部门处置，废包装等可回收材料经收集后外售。</w:t>
      </w:r>
    </w:p>
    <w:p w:rsidR="00285684" w:rsidRDefault="00285684" w:rsidP="00285684">
      <w:pPr>
        <w:spacing w:line="560" w:lineRule="exact"/>
        <w:ind w:firstLineChars="200" w:firstLine="640"/>
        <w:rPr>
          <w:rFonts w:eastAsia="方正仿宋_GBK"/>
          <w:bCs/>
          <w:sz w:val="32"/>
        </w:rPr>
      </w:pPr>
      <w:r>
        <w:rPr>
          <w:rFonts w:eastAsia="方正仿宋_GBK" w:hint="eastAsia"/>
          <w:bCs/>
          <w:sz w:val="32"/>
        </w:rPr>
        <w:t>（二）强化废气污染防治。原料堆场及清洗车间通过采用喷洒除臭剂、消毒灭蚊剂、加强车间通风等措施，严控臭气污染。不得使用报废车辆和淘汰设备。熔融挤出废气由集气罩收集经“水喷淋</w:t>
      </w:r>
      <w:r>
        <w:rPr>
          <w:rFonts w:eastAsia="方正仿宋_GBK" w:hint="eastAsia"/>
          <w:bCs/>
          <w:sz w:val="32"/>
        </w:rPr>
        <w:t>+</w:t>
      </w:r>
      <w:r>
        <w:rPr>
          <w:rFonts w:eastAsia="方正仿宋_GBK" w:hint="eastAsia"/>
          <w:bCs/>
          <w:sz w:val="32"/>
        </w:rPr>
        <w:t>干式过滤箱</w:t>
      </w:r>
      <w:r>
        <w:rPr>
          <w:rFonts w:eastAsia="方正仿宋_GBK" w:hint="eastAsia"/>
          <w:bCs/>
          <w:sz w:val="32"/>
        </w:rPr>
        <w:t>+UV</w:t>
      </w:r>
      <w:r>
        <w:rPr>
          <w:rFonts w:eastAsia="方正仿宋_GBK" w:hint="eastAsia"/>
          <w:bCs/>
          <w:sz w:val="32"/>
        </w:rPr>
        <w:t>光解</w:t>
      </w:r>
      <w:r>
        <w:rPr>
          <w:rFonts w:eastAsia="方正仿宋_GBK" w:hint="eastAsia"/>
          <w:bCs/>
          <w:sz w:val="32"/>
        </w:rPr>
        <w:t>+</w:t>
      </w:r>
      <w:r>
        <w:rPr>
          <w:rFonts w:eastAsia="方正仿宋_GBK" w:hint="eastAsia"/>
          <w:bCs/>
          <w:sz w:val="32"/>
        </w:rPr>
        <w:t>活性炭吸附”装置处理后通过</w:t>
      </w:r>
      <w:r>
        <w:rPr>
          <w:rFonts w:eastAsia="方正仿宋_GBK" w:hint="eastAsia"/>
          <w:bCs/>
          <w:sz w:val="32"/>
        </w:rPr>
        <w:t>15m</w:t>
      </w:r>
      <w:r>
        <w:rPr>
          <w:rFonts w:eastAsia="方正仿宋_GBK" w:hint="eastAsia"/>
          <w:bCs/>
          <w:sz w:val="32"/>
        </w:rPr>
        <w:t>高排气筒（</w:t>
      </w:r>
      <w:r>
        <w:rPr>
          <w:rFonts w:eastAsia="方正仿宋_GBK" w:hint="eastAsia"/>
          <w:bCs/>
          <w:sz w:val="32"/>
        </w:rPr>
        <w:t>1#</w:t>
      </w:r>
      <w:r>
        <w:rPr>
          <w:rFonts w:eastAsia="方正仿宋_GBK" w:hint="eastAsia"/>
          <w:bCs/>
          <w:sz w:val="32"/>
        </w:rPr>
        <w:t>）达标排放；</w:t>
      </w:r>
      <w:r>
        <w:rPr>
          <w:rFonts w:eastAsia="方正仿宋_GBK" w:hint="eastAsia"/>
          <w:bCs/>
          <w:sz w:val="32"/>
        </w:rPr>
        <w:t>EPS</w:t>
      </w:r>
      <w:r>
        <w:rPr>
          <w:rFonts w:eastAsia="方正仿宋_GBK" w:hint="eastAsia"/>
          <w:bCs/>
          <w:sz w:val="32"/>
        </w:rPr>
        <w:t>破碎粉尘由集气罩收集至布袋除尘器处理后通过</w:t>
      </w:r>
      <w:r>
        <w:rPr>
          <w:rFonts w:eastAsia="方正仿宋_GBK" w:hint="eastAsia"/>
          <w:bCs/>
          <w:sz w:val="32"/>
        </w:rPr>
        <w:t>15m</w:t>
      </w:r>
      <w:r>
        <w:rPr>
          <w:rFonts w:eastAsia="方正仿宋_GBK" w:hint="eastAsia"/>
          <w:bCs/>
          <w:sz w:val="32"/>
        </w:rPr>
        <w:t>高排气筒（</w:t>
      </w:r>
      <w:r>
        <w:rPr>
          <w:rFonts w:eastAsia="方正仿宋_GBK" w:hint="eastAsia"/>
          <w:bCs/>
          <w:sz w:val="32"/>
        </w:rPr>
        <w:t>2#</w:t>
      </w:r>
      <w:r>
        <w:rPr>
          <w:rFonts w:eastAsia="方正仿宋_GBK" w:hint="eastAsia"/>
          <w:bCs/>
          <w:sz w:val="32"/>
        </w:rPr>
        <w:t>）达标排放。果筐生产线注塑废气由集气罩收集至“</w:t>
      </w:r>
      <w:r>
        <w:rPr>
          <w:rFonts w:eastAsia="方正仿宋_GBK" w:hint="eastAsia"/>
          <w:bCs/>
          <w:sz w:val="32"/>
        </w:rPr>
        <w:t>UV</w:t>
      </w:r>
      <w:r>
        <w:rPr>
          <w:rFonts w:eastAsia="方正仿宋_GBK" w:hint="eastAsia"/>
          <w:bCs/>
          <w:sz w:val="32"/>
        </w:rPr>
        <w:t>光解</w:t>
      </w:r>
      <w:r>
        <w:rPr>
          <w:rFonts w:eastAsia="方正仿宋_GBK" w:hint="eastAsia"/>
          <w:bCs/>
          <w:sz w:val="32"/>
        </w:rPr>
        <w:t>+</w:t>
      </w:r>
      <w:r>
        <w:rPr>
          <w:rFonts w:eastAsia="方正仿宋_GBK" w:hint="eastAsia"/>
          <w:bCs/>
          <w:sz w:val="32"/>
        </w:rPr>
        <w:t>活性炭吸附”装置处理后通过</w:t>
      </w:r>
      <w:r>
        <w:rPr>
          <w:rFonts w:eastAsia="方正仿宋_GBK" w:hint="eastAsia"/>
          <w:bCs/>
          <w:sz w:val="32"/>
        </w:rPr>
        <w:t>15m</w:t>
      </w:r>
      <w:r>
        <w:rPr>
          <w:rFonts w:eastAsia="方正仿宋_GBK" w:hint="eastAsia"/>
          <w:bCs/>
          <w:sz w:val="32"/>
        </w:rPr>
        <w:t>高排气筒（</w:t>
      </w:r>
      <w:r>
        <w:rPr>
          <w:rFonts w:eastAsia="方正仿宋_GBK" w:hint="eastAsia"/>
          <w:bCs/>
          <w:sz w:val="32"/>
        </w:rPr>
        <w:t>3#</w:t>
      </w:r>
      <w:r>
        <w:rPr>
          <w:rFonts w:eastAsia="方正仿宋_GBK" w:hint="eastAsia"/>
          <w:bCs/>
          <w:sz w:val="32"/>
        </w:rPr>
        <w:t>）达标排放，混料及残次品破碎废气由集气罩收集至布袋除尘器处理后通过</w:t>
      </w:r>
      <w:r>
        <w:rPr>
          <w:rFonts w:eastAsia="方正仿宋_GBK" w:hint="eastAsia"/>
          <w:bCs/>
          <w:sz w:val="32"/>
        </w:rPr>
        <w:t>15m</w:t>
      </w:r>
      <w:r>
        <w:rPr>
          <w:rFonts w:eastAsia="方正仿宋_GBK" w:hint="eastAsia"/>
          <w:bCs/>
          <w:sz w:val="32"/>
        </w:rPr>
        <w:t>高排气筒（</w:t>
      </w:r>
      <w:r>
        <w:rPr>
          <w:rFonts w:eastAsia="方正仿宋_GBK" w:hint="eastAsia"/>
          <w:bCs/>
          <w:sz w:val="32"/>
        </w:rPr>
        <w:t>4#</w:t>
      </w:r>
      <w:r>
        <w:rPr>
          <w:rFonts w:eastAsia="方正仿宋_GBK" w:hint="eastAsia"/>
          <w:bCs/>
          <w:sz w:val="32"/>
        </w:rPr>
        <w:t>）达标排放。食堂油烟经油烟净化器处理后引至屋顶达标排放。</w:t>
      </w:r>
    </w:p>
    <w:p w:rsidR="00285684" w:rsidRDefault="00285684" w:rsidP="00285684">
      <w:pPr>
        <w:adjustRightInd w:val="0"/>
        <w:snapToGrid w:val="0"/>
        <w:spacing w:line="540" w:lineRule="exact"/>
        <w:ind w:rightChars="-10" w:right="-21" w:firstLineChars="200" w:firstLine="640"/>
        <w:rPr>
          <w:rFonts w:eastAsia="方正仿宋_GBK" w:hint="eastAsia"/>
          <w:bCs/>
          <w:sz w:val="32"/>
        </w:rPr>
      </w:pPr>
      <w:r>
        <w:rPr>
          <w:rFonts w:eastAsia="方正仿宋_GBK" w:hint="eastAsia"/>
          <w:bCs/>
          <w:sz w:val="32"/>
        </w:rPr>
        <w:lastRenderedPageBreak/>
        <w:t>（三）加强废水污染防治。厂区实行雨污分流。废料清洗废水、冷却更换废水、喷淋废水均经厂内一体化污水处理设备处理后回用，不外排。食堂废水经隔油池处理后与生活污水一并进入生化池处理达《污水综合排放标准》（</w:t>
      </w:r>
      <w:r>
        <w:rPr>
          <w:rFonts w:eastAsia="方正仿宋_GBK" w:hint="eastAsia"/>
          <w:bCs/>
          <w:sz w:val="32"/>
        </w:rPr>
        <w:t>GB8978-1996</w:t>
      </w:r>
      <w:r>
        <w:rPr>
          <w:rFonts w:eastAsia="方正仿宋_GBK" w:hint="eastAsia"/>
          <w:bCs/>
          <w:sz w:val="32"/>
        </w:rPr>
        <w:t>）三级标准后，</w:t>
      </w:r>
      <w:r w:rsidRPr="00A7616D">
        <w:rPr>
          <w:rFonts w:eastAsia="方正仿宋_GBK" w:hint="eastAsia"/>
          <w:bCs/>
          <w:sz w:val="32"/>
        </w:rPr>
        <w:t>近期进入云阳县城污水处理厂处理后达标排放，远期待配套污水处理厂及管网建成后，排入配套污水处理厂处理后达标排放。</w:t>
      </w:r>
    </w:p>
    <w:p w:rsidR="00285684" w:rsidRDefault="00285684" w:rsidP="00285684">
      <w:pPr>
        <w:adjustRightInd w:val="0"/>
        <w:snapToGrid w:val="0"/>
        <w:spacing w:line="540" w:lineRule="exact"/>
        <w:ind w:rightChars="-10" w:right="-21" w:firstLineChars="200" w:firstLine="640"/>
        <w:rPr>
          <w:rFonts w:ascii="方正仿宋_GBK" w:eastAsia="方正仿宋_GBK"/>
          <w:kern w:val="0"/>
          <w:sz w:val="32"/>
          <w:szCs w:val="32"/>
        </w:rPr>
      </w:pPr>
      <w:r>
        <w:rPr>
          <w:rFonts w:eastAsia="方正仿宋_GBK" w:hint="eastAsia"/>
          <w:bCs/>
          <w:sz w:val="32"/>
        </w:rPr>
        <w:t>（四）控制噪声污染。</w:t>
      </w:r>
      <w:r>
        <w:rPr>
          <w:rFonts w:ascii="方正仿宋_GBK" w:eastAsia="方正仿宋_GBK" w:hint="eastAsia"/>
          <w:kern w:val="0"/>
          <w:sz w:val="32"/>
          <w:szCs w:val="32"/>
        </w:rPr>
        <w:t>尽量选用低噪音生产设备，对高噪声设备采取合理布局、厂房隔声、基础减振、合理安排生产时间等降噪措施，尽量降低对外环境的影响。加强设备定期检修、维护和保养，确保设备处于良好运行状态。</w:t>
      </w:r>
    </w:p>
    <w:p w:rsidR="00285684" w:rsidRDefault="00285684" w:rsidP="00285684">
      <w:pPr>
        <w:spacing w:line="540" w:lineRule="exact"/>
        <w:ind w:right="-58" w:firstLineChars="200" w:firstLine="640"/>
        <w:rPr>
          <w:rFonts w:ascii="方正仿宋_GBK" w:eastAsia="方正仿宋_GBK"/>
          <w:kern w:val="0"/>
          <w:sz w:val="32"/>
          <w:szCs w:val="32"/>
        </w:rPr>
      </w:pPr>
      <w:r>
        <w:rPr>
          <w:rFonts w:eastAsia="方正仿宋_GBK" w:hint="eastAsia"/>
          <w:bCs/>
          <w:sz w:val="32"/>
        </w:rPr>
        <w:t>（五</w:t>
      </w:r>
      <w:r w:rsidRPr="00A7616D">
        <w:rPr>
          <w:rFonts w:eastAsia="方正仿宋_GBK" w:hint="eastAsia"/>
          <w:bCs/>
          <w:sz w:val="32"/>
        </w:rPr>
        <w:t>）妥善处置固体废物。</w:t>
      </w:r>
      <w:r w:rsidRPr="00A7616D">
        <w:rPr>
          <w:rFonts w:ascii="方正仿宋_GBK" w:eastAsia="方正仿宋_GBK" w:hint="eastAsia"/>
          <w:kern w:val="0"/>
          <w:sz w:val="32"/>
          <w:szCs w:val="32"/>
        </w:rPr>
        <w:t>营</w:t>
      </w:r>
      <w:r>
        <w:rPr>
          <w:rFonts w:ascii="方正仿宋_GBK" w:eastAsia="方正仿宋_GBK" w:hint="eastAsia"/>
          <w:kern w:val="0"/>
          <w:sz w:val="32"/>
          <w:szCs w:val="32"/>
        </w:rPr>
        <w:t>运期产生的各类废物应分类处置、严格管控。规范设置危险废物暂存</w:t>
      </w:r>
      <w:r>
        <w:rPr>
          <w:rFonts w:ascii="方正仿宋_GBK" w:eastAsia="方正仿宋_GBK"/>
          <w:kern w:val="0"/>
          <w:sz w:val="32"/>
          <w:szCs w:val="32"/>
        </w:rPr>
        <w:t>间</w:t>
      </w:r>
      <w:r>
        <w:rPr>
          <w:rFonts w:ascii="方正仿宋_GBK" w:eastAsia="方正仿宋_GBK" w:hint="eastAsia"/>
          <w:kern w:val="0"/>
          <w:sz w:val="32"/>
          <w:szCs w:val="32"/>
        </w:rPr>
        <w:t>及其标识标牌，废机油、废油包装桶、废含油棉纱手套、废焦油、废过滤棉、废UV灯管、废活性炭等危险废物应分类规范暂存于危险废物暂存间，</w:t>
      </w:r>
      <w:r>
        <w:rPr>
          <w:rFonts w:ascii="方正仿宋_GBK" w:eastAsia="方正仿宋_GBK"/>
          <w:kern w:val="0"/>
          <w:sz w:val="32"/>
          <w:szCs w:val="32"/>
        </w:rPr>
        <w:t>严格</w:t>
      </w:r>
      <w:r>
        <w:rPr>
          <w:rFonts w:ascii="方正仿宋_GBK" w:eastAsia="方正仿宋_GBK" w:hint="eastAsia"/>
          <w:kern w:val="0"/>
          <w:sz w:val="32"/>
          <w:szCs w:val="32"/>
        </w:rPr>
        <w:t>落实危险废物转移联单制度</w:t>
      </w:r>
      <w:r>
        <w:rPr>
          <w:rFonts w:ascii="方正仿宋_GBK" w:eastAsia="方正仿宋_GBK"/>
          <w:kern w:val="0"/>
          <w:sz w:val="32"/>
          <w:szCs w:val="32"/>
        </w:rPr>
        <w:t>，定期</w:t>
      </w:r>
      <w:r>
        <w:rPr>
          <w:rFonts w:ascii="方正仿宋_GBK" w:eastAsia="方正仿宋_GBK" w:hint="eastAsia"/>
          <w:kern w:val="0"/>
          <w:sz w:val="32"/>
          <w:szCs w:val="32"/>
        </w:rPr>
        <w:t>将危险废物</w:t>
      </w:r>
      <w:r>
        <w:rPr>
          <w:rFonts w:ascii="方正仿宋_GBK" w:eastAsia="方正仿宋_GBK"/>
          <w:kern w:val="0"/>
          <w:sz w:val="32"/>
          <w:szCs w:val="32"/>
        </w:rPr>
        <w:t>交由</w:t>
      </w:r>
      <w:r>
        <w:rPr>
          <w:rFonts w:ascii="方正仿宋_GBK" w:eastAsia="方正仿宋_GBK" w:hint="eastAsia"/>
          <w:kern w:val="0"/>
          <w:sz w:val="32"/>
          <w:szCs w:val="32"/>
        </w:rPr>
        <w:t>有</w:t>
      </w:r>
      <w:r>
        <w:rPr>
          <w:rFonts w:ascii="方正仿宋_GBK" w:eastAsia="方正仿宋_GBK"/>
          <w:kern w:val="0"/>
          <w:sz w:val="32"/>
          <w:szCs w:val="32"/>
        </w:rPr>
        <w:t>资质</w:t>
      </w:r>
      <w:r w:rsidRPr="00A7616D">
        <w:rPr>
          <w:rFonts w:ascii="方正仿宋_GBK" w:eastAsia="方正仿宋_GBK"/>
          <w:kern w:val="0"/>
          <w:sz w:val="32"/>
          <w:szCs w:val="32"/>
        </w:rPr>
        <w:t>的单位</w:t>
      </w:r>
      <w:r w:rsidRPr="00A7616D">
        <w:rPr>
          <w:rFonts w:ascii="方正仿宋_GBK" w:eastAsia="方正仿宋_GBK" w:hint="eastAsia"/>
          <w:kern w:val="0"/>
          <w:sz w:val="32"/>
          <w:szCs w:val="32"/>
        </w:rPr>
        <w:t>进行处理；泥沙等沉渣和一体化废水处理设备污泥经清掏压滤后暂存于一般固废暂存间，交环卫部门收运处置；废包装袋、废滤网等可回收物交废品回收机构收运处置；残次品经破碎后回用。布袋除尘器除尘灰用作造粒生产线原料。生活垃</w:t>
      </w:r>
      <w:r>
        <w:rPr>
          <w:rFonts w:ascii="方正仿宋_GBK" w:eastAsia="方正仿宋_GBK" w:hint="eastAsia"/>
          <w:kern w:val="0"/>
          <w:sz w:val="32"/>
          <w:szCs w:val="32"/>
        </w:rPr>
        <w:t>圾一并交由当地环卫部门收运处置；</w:t>
      </w:r>
      <w:r>
        <w:rPr>
          <w:rFonts w:eastAsia="方正仿宋_GBK" w:hint="eastAsia"/>
          <w:bCs/>
          <w:sz w:val="32"/>
        </w:rPr>
        <w:t>餐厨垃圾单独收集并交有处理资质的单位处理。</w:t>
      </w:r>
    </w:p>
    <w:p w:rsidR="00285684" w:rsidRDefault="00285684" w:rsidP="00285684">
      <w:pPr>
        <w:spacing w:line="540" w:lineRule="exact"/>
        <w:ind w:right="-58" w:firstLine="709"/>
        <w:rPr>
          <w:rFonts w:eastAsia="方正仿宋_GBK"/>
          <w:bCs/>
          <w:sz w:val="32"/>
          <w:highlight w:val="yellow"/>
        </w:rPr>
      </w:pPr>
      <w:r>
        <w:rPr>
          <w:rFonts w:eastAsia="方正仿宋_GBK" w:hint="eastAsia"/>
          <w:bCs/>
          <w:sz w:val="32"/>
        </w:rPr>
        <w:t>（六）抓好日常环境管理。建立环境管理制度，落实专人负责日常环境保护工作，确保环保设施正常运行。强化废塑料源头控制，入场废塑料须经抽检合格方能入库，严禁接</w:t>
      </w:r>
      <w:r>
        <w:rPr>
          <w:rFonts w:eastAsia="方正仿宋_GBK" w:hint="eastAsia"/>
          <w:bCs/>
          <w:sz w:val="32"/>
        </w:rPr>
        <w:lastRenderedPageBreak/>
        <w:t>收包括受到危险化学品、农药、油漆、油污、废染料、强酸、强碱等污染的废塑料、危险废物及含卤塑料。强化环境风险管理，以废水处理系统、机油存放、危险废物暂存为重点，制定风险防范制度，落实风险防范措施。厂区实行分区防渗，危险暂存间、油品暂存区等做好重点防渗处理。油桶底部设置托盘，配备安全应急物资。按照本项目环境影响评价报告表要求，开展环境监测工作。</w:t>
      </w:r>
    </w:p>
    <w:p w:rsidR="00285684" w:rsidRDefault="00285684" w:rsidP="00285684">
      <w:pPr>
        <w:spacing w:line="540" w:lineRule="exact"/>
        <w:ind w:rightChars="-10" w:right="-21" w:firstLineChars="200" w:firstLine="640"/>
        <w:rPr>
          <w:rFonts w:eastAsia="方正仿宋_GBK" w:hint="eastAsia"/>
          <w:bCs/>
          <w:sz w:val="32"/>
        </w:rPr>
      </w:pPr>
      <w:r>
        <w:rPr>
          <w:rFonts w:eastAsia="方正仿宋_GBK" w:hint="eastAsia"/>
          <w:bCs/>
          <w:sz w:val="32"/>
        </w:rPr>
        <w:t>五、该项目建设必须严格执行环境保护污染治理设施和生态保护措施与主体工程同时设计、同时施工、同时投入使用的环境保护“三同时”制度。项目竣工后，建设单位必须按照规定程序及时开展竣工环保验收，建设单位应通过网站或其他便于公众知晓的方式公开环保设施竣工时间、调试期限、验收报告等信息，并同时报送我局备查；验收公示期满</w:t>
      </w:r>
      <w:r>
        <w:rPr>
          <w:rFonts w:eastAsia="方正仿宋_GBK"/>
          <w:bCs/>
          <w:sz w:val="32"/>
        </w:rPr>
        <w:t>5</w:t>
      </w:r>
      <w:r>
        <w:rPr>
          <w:rFonts w:eastAsia="方正仿宋_GBK" w:hint="eastAsia"/>
          <w:bCs/>
          <w:sz w:val="32"/>
        </w:rPr>
        <w:t>个工作日内，建设单位应将项目验收相关信息填报于全国建设项目环境影响评价管理信息平台。项目验收合格后，方能正式投入使用。</w:t>
      </w:r>
    </w:p>
    <w:p w:rsidR="00285684" w:rsidRDefault="00285684" w:rsidP="00285684">
      <w:pPr>
        <w:spacing w:line="540" w:lineRule="exact"/>
        <w:ind w:rightChars="-10" w:right="-21" w:firstLineChars="200" w:firstLine="640"/>
        <w:rPr>
          <w:rFonts w:eastAsia="方正仿宋_GBK"/>
          <w:bCs/>
          <w:sz w:val="32"/>
        </w:rPr>
      </w:pPr>
      <w:r>
        <w:rPr>
          <w:rFonts w:eastAsia="方正仿宋_GBK" w:hint="eastAsia"/>
          <w:bCs/>
          <w:sz w:val="32"/>
        </w:rPr>
        <w:t>六、该项目性质、规模、地点或者防治污染措施等发生重大变化时，你单位应当重新报批该项目的环境影响评价文件。</w:t>
      </w:r>
    </w:p>
    <w:p w:rsidR="00285684" w:rsidRDefault="00285684" w:rsidP="00285684">
      <w:pPr>
        <w:spacing w:line="540" w:lineRule="exact"/>
        <w:ind w:rightChars="-10" w:right="-21" w:firstLineChars="200" w:firstLine="640"/>
        <w:rPr>
          <w:rFonts w:eastAsia="方正仿宋_GBK"/>
          <w:bCs/>
          <w:sz w:val="32"/>
        </w:rPr>
      </w:pPr>
      <w:r>
        <w:rPr>
          <w:rFonts w:eastAsia="方正仿宋_GBK" w:hint="eastAsia"/>
          <w:bCs/>
          <w:sz w:val="32"/>
        </w:rPr>
        <w:t>七、请县生态环境保护综合行政执法支队和工业园区管委会负责该项目环境保护日常监督管理工作。</w:t>
      </w:r>
    </w:p>
    <w:p w:rsidR="00285684" w:rsidRDefault="00285684" w:rsidP="00285684">
      <w:pPr>
        <w:spacing w:line="540" w:lineRule="exact"/>
        <w:ind w:rightChars="-10" w:right="-21" w:firstLineChars="200" w:firstLine="640"/>
        <w:rPr>
          <w:rFonts w:eastAsia="方正仿宋_GBK"/>
          <w:bCs/>
          <w:sz w:val="32"/>
        </w:rPr>
      </w:pPr>
      <w:r>
        <w:rPr>
          <w:rFonts w:eastAsia="方正仿宋_GBK" w:hint="eastAsia"/>
          <w:bCs/>
          <w:sz w:val="32"/>
        </w:rPr>
        <w:t>你单位如不服本行政决定，可在接到批准书之日起六十日内依法向云阳县人民政府申请复议，也可在六个月内直接向云阳县人民法院起诉。</w:t>
      </w:r>
    </w:p>
    <w:p w:rsidR="00285684" w:rsidRDefault="00285684" w:rsidP="00285684">
      <w:pPr>
        <w:pStyle w:val="tb"/>
        <w:spacing w:line="560" w:lineRule="exact"/>
        <w:rPr>
          <w:rFonts w:ascii="Times New Roman" w:eastAsia="方正仿宋_GBK" w:hAnsi="Times New Roman"/>
          <w:bCs/>
          <w:sz w:val="32"/>
          <w:szCs w:val="32"/>
        </w:rPr>
      </w:pPr>
    </w:p>
    <w:p w:rsidR="00285684" w:rsidRDefault="00285684" w:rsidP="00285684">
      <w:pPr>
        <w:spacing w:line="580" w:lineRule="exact"/>
        <w:ind w:right="26" w:firstLineChars="1320" w:firstLine="4224"/>
        <w:rPr>
          <w:rFonts w:eastAsia="方正仿宋_GBK"/>
          <w:bCs/>
          <w:kern w:val="0"/>
          <w:sz w:val="32"/>
          <w:szCs w:val="32"/>
        </w:rPr>
      </w:pPr>
      <w:r>
        <w:rPr>
          <w:rFonts w:eastAsia="方正仿宋_GBK" w:hint="eastAsia"/>
          <w:bCs/>
          <w:kern w:val="0"/>
          <w:sz w:val="32"/>
          <w:szCs w:val="32"/>
        </w:rPr>
        <w:lastRenderedPageBreak/>
        <w:t>云阳县生态环境局</w:t>
      </w:r>
    </w:p>
    <w:p w:rsidR="00285684" w:rsidRDefault="00285684" w:rsidP="00285684">
      <w:pPr>
        <w:spacing w:line="580" w:lineRule="exact"/>
        <w:ind w:right="26" w:firstLineChars="1520" w:firstLine="4864"/>
        <w:rPr>
          <w:rFonts w:eastAsia="方正仿宋_GBK"/>
          <w:bCs/>
          <w:kern w:val="0"/>
          <w:sz w:val="32"/>
          <w:szCs w:val="32"/>
        </w:rPr>
      </w:pPr>
      <w:r>
        <w:rPr>
          <w:rFonts w:eastAsia="方正仿宋_GBK"/>
          <w:bCs/>
          <w:kern w:val="0"/>
          <w:sz w:val="32"/>
          <w:szCs w:val="32"/>
        </w:rPr>
        <w:t>202</w:t>
      </w:r>
      <w:r>
        <w:rPr>
          <w:rFonts w:eastAsia="方正仿宋_GBK" w:hint="eastAsia"/>
          <w:bCs/>
          <w:kern w:val="0"/>
          <w:sz w:val="32"/>
          <w:szCs w:val="32"/>
        </w:rPr>
        <w:t>3</w:t>
      </w:r>
      <w:r>
        <w:rPr>
          <w:rFonts w:eastAsia="方正仿宋_GBK" w:hint="eastAsia"/>
          <w:bCs/>
          <w:kern w:val="0"/>
          <w:sz w:val="32"/>
          <w:szCs w:val="32"/>
        </w:rPr>
        <w:t>年</w:t>
      </w:r>
      <w:r>
        <w:rPr>
          <w:rFonts w:eastAsia="方正仿宋_GBK" w:hint="eastAsia"/>
          <w:bCs/>
          <w:kern w:val="0"/>
          <w:sz w:val="32"/>
          <w:szCs w:val="32"/>
        </w:rPr>
        <w:t>9</w:t>
      </w:r>
      <w:r>
        <w:rPr>
          <w:rFonts w:eastAsia="方正仿宋_GBK" w:hint="eastAsia"/>
          <w:bCs/>
          <w:kern w:val="0"/>
          <w:sz w:val="32"/>
          <w:szCs w:val="32"/>
        </w:rPr>
        <w:t>月</w:t>
      </w:r>
      <w:r>
        <w:rPr>
          <w:rFonts w:eastAsia="方正仿宋_GBK" w:hint="eastAsia"/>
          <w:bCs/>
          <w:kern w:val="0"/>
          <w:sz w:val="32"/>
          <w:szCs w:val="32"/>
        </w:rPr>
        <w:t>26</w:t>
      </w:r>
      <w:r>
        <w:rPr>
          <w:rFonts w:eastAsia="方正仿宋_GBK" w:hint="eastAsia"/>
          <w:bCs/>
          <w:kern w:val="0"/>
          <w:sz w:val="32"/>
          <w:szCs w:val="32"/>
        </w:rPr>
        <w:t>日</w:t>
      </w:r>
    </w:p>
    <w:p w:rsidR="00285684" w:rsidRDefault="00285684" w:rsidP="00285684">
      <w:pPr>
        <w:rPr>
          <w:rFonts w:eastAsia="方正仿宋_GBK"/>
          <w:bCs/>
          <w:kern w:val="0"/>
          <w:sz w:val="32"/>
          <w:szCs w:val="32"/>
        </w:rPr>
      </w:pPr>
    </w:p>
    <w:p w:rsidR="00285684" w:rsidRDefault="00285684" w:rsidP="00285684">
      <w:pPr>
        <w:rPr>
          <w:rFonts w:eastAsia="方正仿宋_GBK"/>
          <w:bCs/>
          <w:kern w:val="0"/>
          <w:sz w:val="32"/>
          <w:szCs w:val="32"/>
        </w:rPr>
      </w:pPr>
    </w:p>
    <w:p w:rsidR="00285684" w:rsidRDefault="00285684" w:rsidP="00285684">
      <w:pPr>
        <w:rPr>
          <w:rFonts w:eastAsia="方正仿宋_GBK"/>
          <w:bCs/>
          <w:kern w:val="0"/>
          <w:sz w:val="32"/>
          <w:szCs w:val="32"/>
        </w:rPr>
      </w:pPr>
    </w:p>
    <w:p w:rsidR="00285684" w:rsidRDefault="00285684" w:rsidP="00285684">
      <w:pPr>
        <w:rPr>
          <w:rFonts w:eastAsia="方正仿宋_GBK" w:hint="eastAsia"/>
          <w:bCs/>
          <w:kern w:val="0"/>
          <w:sz w:val="32"/>
          <w:szCs w:val="32"/>
        </w:rPr>
      </w:pPr>
    </w:p>
    <w:p w:rsidR="00285684" w:rsidRDefault="00285684" w:rsidP="00285684">
      <w:pPr>
        <w:rPr>
          <w:rFonts w:eastAsia="方正仿宋_GBK" w:hint="eastAsia"/>
          <w:bCs/>
          <w:kern w:val="0"/>
          <w:sz w:val="32"/>
          <w:szCs w:val="32"/>
        </w:rPr>
      </w:pPr>
    </w:p>
    <w:p w:rsidR="00285684" w:rsidRDefault="00285684" w:rsidP="00285684">
      <w:pPr>
        <w:rPr>
          <w:rFonts w:eastAsia="方正仿宋_GBK" w:hint="eastAsia"/>
          <w:bCs/>
          <w:kern w:val="0"/>
          <w:sz w:val="32"/>
          <w:szCs w:val="32"/>
        </w:rPr>
      </w:pPr>
    </w:p>
    <w:p w:rsidR="00285684" w:rsidRDefault="00285684" w:rsidP="00285684">
      <w:pPr>
        <w:rPr>
          <w:rFonts w:eastAsia="方正仿宋_GBK" w:hint="eastAsia"/>
          <w:bCs/>
          <w:kern w:val="0"/>
          <w:sz w:val="32"/>
          <w:szCs w:val="32"/>
        </w:rPr>
      </w:pPr>
    </w:p>
    <w:p w:rsidR="00285684" w:rsidRDefault="00285684" w:rsidP="00285684">
      <w:pPr>
        <w:rPr>
          <w:rFonts w:eastAsia="方正仿宋_GBK" w:hint="eastAsia"/>
          <w:bCs/>
          <w:kern w:val="0"/>
          <w:sz w:val="32"/>
          <w:szCs w:val="32"/>
        </w:rPr>
      </w:pPr>
    </w:p>
    <w:p w:rsidR="00285684" w:rsidRDefault="00285684" w:rsidP="00285684">
      <w:pPr>
        <w:rPr>
          <w:rFonts w:eastAsia="方正仿宋_GBK" w:hint="eastAsia"/>
          <w:bCs/>
          <w:kern w:val="0"/>
          <w:sz w:val="32"/>
          <w:szCs w:val="32"/>
        </w:rPr>
      </w:pPr>
    </w:p>
    <w:p w:rsidR="00285684" w:rsidRDefault="00285684" w:rsidP="00285684">
      <w:pPr>
        <w:rPr>
          <w:rFonts w:eastAsia="方正仿宋_GBK" w:hint="eastAsia"/>
          <w:bCs/>
          <w:kern w:val="0"/>
          <w:sz w:val="32"/>
          <w:szCs w:val="32"/>
        </w:rPr>
      </w:pPr>
    </w:p>
    <w:p w:rsidR="00285684" w:rsidRDefault="00285684" w:rsidP="00285684">
      <w:pPr>
        <w:rPr>
          <w:rFonts w:eastAsia="方正仿宋_GBK" w:hint="eastAsia"/>
          <w:bCs/>
          <w:kern w:val="0"/>
          <w:sz w:val="32"/>
          <w:szCs w:val="32"/>
        </w:rPr>
      </w:pPr>
    </w:p>
    <w:p w:rsidR="00285684" w:rsidRDefault="00285684" w:rsidP="00285684">
      <w:pPr>
        <w:rPr>
          <w:rFonts w:eastAsia="方正仿宋_GBK" w:hint="eastAsia"/>
          <w:bCs/>
          <w:kern w:val="0"/>
          <w:sz w:val="32"/>
          <w:szCs w:val="32"/>
        </w:rPr>
      </w:pPr>
    </w:p>
    <w:p w:rsidR="00285684" w:rsidRDefault="00285684" w:rsidP="00285684">
      <w:pPr>
        <w:rPr>
          <w:rFonts w:eastAsia="方正仿宋_GBK" w:hint="eastAsia"/>
          <w:bCs/>
          <w:kern w:val="0"/>
          <w:sz w:val="32"/>
          <w:szCs w:val="32"/>
        </w:rPr>
      </w:pPr>
    </w:p>
    <w:p w:rsidR="00285684" w:rsidRDefault="00285684" w:rsidP="00285684">
      <w:pPr>
        <w:rPr>
          <w:rFonts w:ascii="方正仿宋_GBK" w:eastAsia="方正仿宋_GBK"/>
        </w:rPr>
      </w:pPr>
      <w:r>
        <w:rPr>
          <w:rFonts w:eastAsia="方正仿宋_GBK" w:hint="eastAsia"/>
          <w:bCs/>
          <w:kern w:val="0"/>
          <w:sz w:val="32"/>
          <w:szCs w:val="32"/>
        </w:rPr>
        <w:t>抄送：</w:t>
      </w:r>
      <w:r>
        <w:rPr>
          <w:rFonts w:eastAsia="方正仿宋_GBK" w:hint="eastAsia"/>
          <w:bCs/>
          <w:sz w:val="32"/>
        </w:rPr>
        <w:t>县发展改革委</w:t>
      </w:r>
      <w:r>
        <w:rPr>
          <w:rFonts w:eastAsia="方正仿宋_GBK" w:hint="eastAsia"/>
          <w:bCs/>
          <w:kern w:val="0"/>
          <w:sz w:val="32"/>
          <w:szCs w:val="32"/>
        </w:rPr>
        <w:t>，</w:t>
      </w:r>
      <w:r>
        <w:rPr>
          <w:rFonts w:eastAsia="方正仿宋_GBK" w:hint="eastAsia"/>
          <w:bCs/>
          <w:sz w:val="32"/>
        </w:rPr>
        <w:t>县经济信息委</w:t>
      </w:r>
      <w:r>
        <w:rPr>
          <w:rFonts w:eastAsia="方正仿宋_GBK" w:hint="eastAsia"/>
          <w:bCs/>
          <w:kern w:val="0"/>
          <w:sz w:val="32"/>
          <w:szCs w:val="32"/>
        </w:rPr>
        <w:t>，县规划和自然资源局，县应急局，工业园区管委会</w:t>
      </w:r>
      <w:r>
        <w:rPr>
          <w:rFonts w:eastAsia="方正仿宋_GBK" w:hint="eastAsia"/>
          <w:bCs/>
          <w:sz w:val="32"/>
        </w:rPr>
        <w:t>，</w:t>
      </w:r>
      <w:r>
        <w:rPr>
          <w:rFonts w:eastAsia="方正仿宋_GBK" w:hint="eastAsia"/>
          <w:bCs/>
          <w:kern w:val="0"/>
          <w:sz w:val="32"/>
          <w:szCs w:val="32"/>
        </w:rPr>
        <w:t>县生态环境保护综合行政执法支队。</w:t>
      </w:r>
    </w:p>
    <w:bookmarkEnd w:id="1"/>
    <w:p w:rsidR="008B23C9" w:rsidRDefault="008B23C9"/>
    <w:sectPr w:rsidR="008B23C9" w:rsidSect="00A7616D">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3C9" w:rsidRDefault="008B23C9" w:rsidP="00285684">
      <w:r>
        <w:separator/>
      </w:r>
    </w:p>
  </w:endnote>
  <w:endnote w:type="continuationSeparator" w:id="1">
    <w:p w:rsidR="008B23C9" w:rsidRDefault="008B23C9" w:rsidP="002856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altName w:val="Arial Unicode MS"/>
    <w:charset w:val="86"/>
    <w:family w:val="script"/>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3C9" w:rsidRDefault="008B23C9" w:rsidP="00285684">
      <w:r>
        <w:separator/>
      </w:r>
    </w:p>
  </w:footnote>
  <w:footnote w:type="continuationSeparator" w:id="1">
    <w:p w:rsidR="008B23C9" w:rsidRDefault="008B23C9" w:rsidP="002856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20048"/>
    <w:multiLevelType w:val="singleLevel"/>
    <w:tmpl w:val="5DB20048"/>
    <w:lvl w:ilvl="0">
      <w:start w:val="1"/>
      <w:numFmt w:val="chineseCounting"/>
      <w:suff w:val="nothing"/>
      <w:lvlText w:val="%1、"/>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5684"/>
    <w:rsid w:val="00285684"/>
    <w:rsid w:val="008B2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684"/>
    <w:pPr>
      <w:widowControl w:val="0"/>
      <w:jc w:val="both"/>
    </w:pPr>
    <w:rPr>
      <w:rFonts w:ascii="Times New Roman" w:eastAsia="宋体" w:hAnsi="Times New Roman" w:cs="Times New Roman"/>
      <w:szCs w:val="24"/>
    </w:rPr>
  </w:style>
  <w:style w:type="paragraph" w:styleId="1">
    <w:name w:val="heading 1"/>
    <w:basedOn w:val="a"/>
    <w:next w:val="a"/>
    <w:link w:val="1Char"/>
    <w:qFormat/>
    <w:rsid w:val="00285684"/>
    <w:pPr>
      <w:keepNext/>
      <w:spacing w:line="240" w:lineRule="exact"/>
      <w:jc w:val="center"/>
      <w:outlineLvl w:val="0"/>
    </w:pPr>
    <w:rPr>
      <w:rFonts w:ascii="仿宋_GB2312" w:eastAsia="仿宋_GB2312"/>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56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5684"/>
    <w:rPr>
      <w:sz w:val="18"/>
      <w:szCs w:val="18"/>
    </w:rPr>
  </w:style>
  <w:style w:type="paragraph" w:styleId="a4">
    <w:name w:val="footer"/>
    <w:basedOn w:val="a"/>
    <w:link w:val="Char0"/>
    <w:uiPriority w:val="99"/>
    <w:semiHidden/>
    <w:unhideWhenUsed/>
    <w:rsid w:val="002856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5684"/>
    <w:rPr>
      <w:sz w:val="18"/>
      <w:szCs w:val="18"/>
    </w:rPr>
  </w:style>
  <w:style w:type="character" w:customStyle="1" w:styleId="1Char">
    <w:name w:val="标题 1 Char"/>
    <w:basedOn w:val="a0"/>
    <w:link w:val="1"/>
    <w:rsid w:val="00285684"/>
    <w:rPr>
      <w:rFonts w:ascii="仿宋_GB2312" w:eastAsia="仿宋_GB2312" w:hAnsi="Times New Roman" w:cs="Times New Roman"/>
      <w:b/>
      <w:color w:val="000000"/>
      <w:sz w:val="24"/>
      <w:szCs w:val="24"/>
    </w:rPr>
  </w:style>
  <w:style w:type="paragraph" w:styleId="a5">
    <w:name w:val="Body Text"/>
    <w:basedOn w:val="a"/>
    <w:link w:val="Char1"/>
    <w:rsid w:val="00285684"/>
    <w:pPr>
      <w:widowControl/>
      <w:jc w:val="left"/>
    </w:pPr>
    <w:rPr>
      <w:kern w:val="0"/>
      <w:sz w:val="32"/>
      <w:szCs w:val="20"/>
    </w:rPr>
  </w:style>
  <w:style w:type="character" w:customStyle="1" w:styleId="Char1">
    <w:name w:val="正文文本 Char"/>
    <w:basedOn w:val="a0"/>
    <w:link w:val="a5"/>
    <w:rsid w:val="00285684"/>
    <w:rPr>
      <w:rFonts w:ascii="Times New Roman" w:eastAsia="宋体" w:hAnsi="Times New Roman" w:cs="Times New Roman"/>
      <w:kern w:val="0"/>
      <w:sz w:val="32"/>
      <w:szCs w:val="20"/>
    </w:rPr>
  </w:style>
  <w:style w:type="paragraph" w:customStyle="1" w:styleId="tb">
    <w:name w:val="tb"/>
    <w:basedOn w:val="a"/>
    <w:link w:val="tbChar"/>
    <w:qFormat/>
    <w:rsid w:val="00285684"/>
    <w:pPr>
      <w:spacing w:line="400" w:lineRule="atLeast"/>
    </w:pPr>
    <w:rPr>
      <w:rFonts w:ascii="宋体" w:hAnsi="Arial"/>
      <w:sz w:val="24"/>
      <w:szCs w:val="22"/>
    </w:rPr>
  </w:style>
  <w:style w:type="character" w:customStyle="1" w:styleId="tbChar">
    <w:name w:val="tb Char"/>
    <w:link w:val="tb"/>
    <w:qFormat/>
    <w:rsid w:val="00285684"/>
    <w:rPr>
      <w:rFonts w:ascii="宋体" w:eastAsia="宋体" w:hAnsi="Arial"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377</Words>
  <Characters>2149</Characters>
  <Application>Microsoft Office Word</Application>
  <DocSecurity>0</DocSecurity>
  <Lines>17</Lines>
  <Paragraphs>5</Paragraphs>
  <ScaleCrop>false</ScaleCrop>
  <Company>微软中国</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胡芳芳</dc:creator>
  <cp:keywords/>
  <dc:description/>
  <cp:lastModifiedBy>胡芳芳</cp:lastModifiedBy>
  <cp:revision>2</cp:revision>
  <dcterms:created xsi:type="dcterms:W3CDTF">2023-09-26T04:47:00Z</dcterms:created>
  <dcterms:modified xsi:type="dcterms:W3CDTF">2023-09-26T04:48:00Z</dcterms:modified>
</cp:coreProperties>
</file>