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uto"/>
        <w:ind w:firstLine="300" w:firstLineChars="100"/>
        <w:jc w:val="left"/>
        <w:rPr>
          <w:sz w:val="30"/>
          <w:szCs w:val="30"/>
        </w:rPr>
      </w:pPr>
      <w:r>
        <w:rPr>
          <w:sz w:val="30"/>
          <w:szCs w:val="30"/>
        </w:rPr>
        <w:t xml:space="preserve">                           </w:t>
      </w:r>
      <w:bookmarkStart w:id="1" w:name="_GoBack"/>
      <w:bookmarkEnd w:id="1"/>
    </w:p>
    <w:p>
      <w:pPr>
        <w:widowControl/>
        <w:spacing w:line="720" w:lineRule="auto"/>
        <w:jc w:val="center"/>
        <w:rPr>
          <w:sz w:val="48"/>
          <w:szCs w:val="48"/>
        </w:rPr>
      </w:pPr>
    </w:p>
    <w:p>
      <w:pPr>
        <w:widowControl/>
        <w:spacing w:line="720" w:lineRule="auto"/>
        <w:jc w:val="center"/>
        <w:rPr>
          <w:sz w:val="48"/>
          <w:szCs w:val="48"/>
        </w:rPr>
      </w:pPr>
    </w:p>
    <w:p>
      <w:pPr>
        <w:widowControl/>
        <w:spacing w:line="720" w:lineRule="auto"/>
        <w:jc w:val="center"/>
        <w:rPr>
          <w:sz w:val="48"/>
          <w:szCs w:val="48"/>
        </w:rPr>
      </w:pPr>
    </w:p>
    <w:p>
      <w:pPr>
        <w:widowControl/>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申请</w:t>
      </w:r>
      <w:r>
        <w:rPr>
          <w:rFonts w:hint="eastAsia" w:asciiTheme="majorEastAsia" w:hAnsiTheme="majorEastAsia" w:eastAsiaTheme="majorEastAsia" w:cstheme="majorEastAsia"/>
          <w:b/>
          <w:bCs/>
          <w:sz w:val="44"/>
          <w:szCs w:val="44"/>
        </w:rPr>
        <w:t>辐射安全许可</w:t>
      </w:r>
      <w:r>
        <w:rPr>
          <w:rFonts w:hint="eastAsia" w:asciiTheme="majorEastAsia" w:hAnsiTheme="majorEastAsia" w:eastAsiaTheme="majorEastAsia" w:cstheme="majorEastAsia"/>
          <w:b/>
          <w:bCs/>
          <w:sz w:val="44"/>
          <w:szCs w:val="44"/>
          <w:lang w:eastAsia="zh-CN"/>
        </w:rPr>
        <w:t>变更</w:t>
      </w:r>
      <w:r>
        <w:rPr>
          <w:rFonts w:hint="eastAsia" w:asciiTheme="majorEastAsia" w:hAnsiTheme="majorEastAsia" w:eastAsiaTheme="majorEastAsia" w:cstheme="majorEastAsia"/>
          <w:b/>
          <w:bCs/>
          <w:sz w:val="44"/>
          <w:szCs w:val="44"/>
        </w:rPr>
        <w:t>服务指南</w:t>
      </w:r>
    </w:p>
    <w:p>
      <w:pPr>
        <w:widowControl/>
        <w:spacing w:line="720" w:lineRule="auto"/>
        <w:jc w:val="center"/>
        <w:rPr>
          <w:sz w:val="48"/>
          <w:szCs w:val="48"/>
        </w:rPr>
      </w:pPr>
    </w:p>
    <w:p>
      <w:pPr>
        <w:widowControl/>
        <w:spacing w:line="720" w:lineRule="auto"/>
        <w:jc w:val="center"/>
        <w:rPr>
          <w:sz w:val="48"/>
          <w:szCs w:val="48"/>
        </w:rPr>
      </w:pPr>
    </w:p>
    <w:p>
      <w:pPr>
        <w:widowControl/>
        <w:spacing w:line="720" w:lineRule="auto"/>
        <w:jc w:val="center"/>
        <w:rPr>
          <w:sz w:val="48"/>
          <w:szCs w:val="48"/>
        </w:rPr>
      </w:pPr>
    </w:p>
    <w:p/>
    <w:p/>
    <w:p/>
    <w:p/>
    <w:p/>
    <w:p/>
    <w:p/>
    <w:p/>
    <w:p/>
    <w:p/>
    <w:p/>
    <w:p>
      <w:pPr>
        <w:rPr>
          <w:rFonts w:hint="eastAsia"/>
          <w:sz w:val="30"/>
          <w:szCs w:val="30"/>
        </w:rPr>
      </w:pPr>
    </w:p>
    <w:p>
      <w:pPr>
        <w:rPr>
          <w:rFonts w:hint="eastAsia"/>
          <w:sz w:val="30"/>
          <w:szCs w:val="30"/>
        </w:rPr>
      </w:pPr>
    </w:p>
    <w:p>
      <w:pPr>
        <w:ind w:firstLine="600" w:firstLineChars="200"/>
        <w:rPr>
          <w:rFonts w:eastAsia="方正仿宋_GBK"/>
          <w:sz w:val="30"/>
          <w:szCs w:val="30"/>
        </w:rPr>
      </w:pPr>
      <w:r>
        <w:rPr>
          <w:rFonts w:hint="eastAsia"/>
          <w:sz w:val="30"/>
          <w:szCs w:val="30"/>
        </w:rPr>
        <w:t xml:space="preserve">  </w:t>
      </w:r>
    </w:p>
    <w:p>
      <w:pPr>
        <w:widowControl/>
        <w:spacing w:line="720" w:lineRule="auto"/>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发布机构：云阳县</w:t>
      </w:r>
      <w:r>
        <w:rPr>
          <w:rFonts w:hint="eastAsia" w:asciiTheme="minorEastAsia" w:hAnsiTheme="minorEastAsia" w:eastAsiaTheme="minorEastAsia" w:cstheme="minorEastAsia"/>
          <w:sz w:val="30"/>
          <w:szCs w:val="30"/>
          <w:lang w:eastAsia="zh-CN"/>
        </w:rPr>
        <w:t>生态环境局</w:t>
      </w:r>
    </w:p>
    <w:p>
      <w:pPr>
        <w:widowControl/>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申请</w:t>
      </w:r>
      <w:r>
        <w:rPr>
          <w:rFonts w:hint="eastAsia" w:asciiTheme="majorEastAsia" w:hAnsiTheme="majorEastAsia" w:eastAsiaTheme="majorEastAsia" w:cstheme="majorEastAsia"/>
          <w:b/>
          <w:bCs/>
          <w:sz w:val="44"/>
          <w:szCs w:val="44"/>
        </w:rPr>
        <w:t>辐射安全许可</w:t>
      </w:r>
      <w:r>
        <w:rPr>
          <w:rFonts w:hint="eastAsia" w:asciiTheme="majorEastAsia" w:hAnsiTheme="majorEastAsia" w:eastAsiaTheme="majorEastAsia" w:cstheme="majorEastAsia"/>
          <w:b/>
          <w:bCs/>
          <w:sz w:val="44"/>
          <w:szCs w:val="44"/>
          <w:lang w:eastAsia="zh-CN"/>
        </w:rPr>
        <w:t>变更</w:t>
      </w:r>
      <w:r>
        <w:rPr>
          <w:rFonts w:hint="eastAsia" w:asciiTheme="majorEastAsia" w:hAnsiTheme="majorEastAsia" w:eastAsiaTheme="majorEastAsia" w:cstheme="majorEastAsia"/>
          <w:b/>
          <w:bCs/>
          <w:sz w:val="44"/>
          <w:szCs w:val="44"/>
        </w:rPr>
        <w:t>服务指南</w:t>
      </w:r>
    </w:p>
    <w:p>
      <w:pPr>
        <w:pStyle w:val="23"/>
        <w:widowControl/>
        <w:spacing w:line="480" w:lineRule="exact"/>
        <w:ind w:firstLine="723"/>
        <w:jc w:val="left"/>
        <w:rPr>
          <w:rFonts w:ascii="Times New Roman" w:hAnsi="Times New Roman" w:eastAsia="黑体"/>
          <w:b/>
          <w:sz w:val="36"/>
          <w:szCs w:val="36"/>
        </w:rPr>
      </w:pP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一、适用范围</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本事项所适用对象为使用IV、V类放射源和III类射线装置的法人或其他组织。</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二、事项审查类型</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承诺件（</w:t>
      </w:r>
      <w:r>
        <w:rPr>
          <w:rFonts w:hint="eastAsia" w:ascii="仿宋" w:hAnsi="仿宋" w:eastAsia="仿宋" w:cs="仿宋"/>
          <w:color w:val="000000"/>
          <w:kern w:val="0"/>
          <w:sz w:val="32"/>
          <w:szCs w:val="32"/>
        </w:rPr>
        <w:t>前审后批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三、审批依据</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（一）《中华人民共和国放射性污染防治法》（中华人民共和国主席令第六号）第二十八条；</w:t>
      </w:r>
    </w:p>
    <w:p>
      <w:pPr>
        <w:widowControl/>
        <w:spacing w:line="480" w:lineRule="exact"/>
        <w:ind w:firstLine="640" w:firstLineChars="200"/>
        <w:jc w:val="left"/>
        <w:rPr>
          <w:rFonts w:hint="eastAsia" w:ascii="仿宋" w:hAnsi="仿宋" w:eastAsia="仿宋" w:cs="仿宋"/>
          <w:color w:val="000000"/>
          <w:kern w:val="0"/>
          <w:sz w:val="32"/>
          <w:szCs w:val="32"/>
        </w:rPr>
      </w:pPr>
      <w:bookmarkStart w:id="0" w:name="OLE_LINK1"/>
      <w:r>
        <w:rPr>
          <w:rFonts w:hint="eastAsia" w:ascii="仿宋" w:hAnsi="仿宋" w:eastAsia="仿宋" w:cs="仿宋"/>
          <w:color w:val="000000"/>
          <w:kern w:val="0"/>
          <w:sz w:val="32"/>
          <w:szCs w:val="32"/>
        </w:rPr>
        <w:t>（二）《放射性同位素与射线装置安全和防护条例》（中华人民共和国国务院令第449号）第五条</w:t>
      </w:r>
      <w:bookmarkEnd w:id="0"/>
      <w:r>
        <w:rPr>
          <w:rFonts w:hint="eastAsia" w:ascii="仿宋" w:hAnsi="仿宋" w:eastAsia="仿宋" w:cs="仿宋"/>
          <w:color w:val="000000"/>
          <w:kern w:val="0"/>
          <w:sz w:val="32"/>
          <w:szCs w:val="32"/>
        </w:rPr>
        <w:t>、第六条；</w:t>
      </w:r>
    </w:p>
    <w:p>
      <w:pPr>
        <w:widowControl/>
        <w:spacing w:line="480" w:lineRule="exac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rPr>
        <w:t>（三）《放射性同位素与射线装置安全许可管理办法》第</w:t>
      </w:r>
      <w:r>
        <w:rPr>
          <w:rFonts w:hint="eastAsia" w:ascii="仿宋" w:hAnsi="仿宋" w:eastAsia="仿宋" w:cs="仿宋"/>
          <w:kern w:val="0"/>
          <w:sz w:val="32"/>
          <w:szCs w:val="32"/>
        </w:rPr>
        <w:t>四条</w:t>
      </w:r>
      <w:r>
        <w:rPr>
          <w:rFonts w:hint="eastAsia" w:ascii="仿宋" w:hAnsi="仿宋" w:eastAsia="仿宋" w:cs="仿宋"/>
          <w:kern w:val="0"/>
          <w:sz w:val="32"/>
          <w:szCs w:val="32"/>
          <w:lang w:eastAsia="zh-CN"/>
        </w:rPr>
        <w:t>；</w:t>
      </w:r>
    </w:p>
    <w:p>
      <w:pPr>
        <w:spacing w:line="480" w:lineRule="exact"/>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sz w:val="32"/>
          <w:szCs w:val="32"/>
        </w:rPr>
        <w:t>（四）</w:t>
      </w:r>
      <w:r>
        <w:rPr>
          <w:rFonts w:hint="eastAsia" w:ascii="仿宋" w:hAnsi="仿宋" w:eastAsia="仿宋" w:cs="仿宋"/>
          <w:color w:val="000000"/>
          <w:sz w:val="32"/>
          <w:szCs w:val="32"/>
          <w:lang w:eastAsia="zh-CN"/>
        </w:rPr>
        <w:t>《国务院关于取消和下放一批行政审批项目的决定》（国发</w:t>
      </w:r>
      <w:r>
        <w:rPr>
          <w:rFonts w:hint="eastAsia" w:ascii="仿宋" w:hAnsi="仿宋" w:eastAsia="仿宋" w:cs="仿宋"/>
          <w:color w:val="000000"/>
          <w:sz w:val="32"/>
          <w:szCs w:val="32"/>
          <w:lang w:val="en-US" w:eastAsia="zh-CN"/>
        </w:rPr>
        <w:t>[2014]5号</w:t>
      </w: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lang w:val="en-US" w:eastAsia="zh-CN"/>
        </w:rPr>
        <w:t>67项。</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四、受理机构</w:t>
      </w:r>
    </w:p>
    <w:p>
      <w:pPr>
        <w:widowControl/>
        <w:spacing w:line="48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sz w:val="32"/>
          <w:szCs w:val="32"/>
          <w:lang w:eastAsia="zh-CN"/>
        </w:rPr>
        <w:t>云阳县生态环境局</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五、决定机构</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云阳县生态环境</w:t>
      </w:r>
      <w:r>
        <w:rPr>
          <w:rFonts w:hint="eastAsia" w:ascii="仿宋" w:hAnsi="仿宋" w:eastAsia="仿宋" w:cs="仿宋"/>
          <w:color w:val="000000"/>
          <w:kern w:val="0"/>
          <w:sz w:val="32"/>
          <w:szCs w:val="32"/>
        </w:rPr>
        <w:t>局</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六、数量限制</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无数量限制。</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七、申请条件</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（一）辐射工作单位应当有1名具有大专以上学历的技术人员专职或者兼职负责辐射安全与环境保护管理工作；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（二）从事辐射工作的人员必须通过辐射安全和防护专业知识及相关法律法规的培训和考核；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（三）使用放射性同位素的单位应当有满足辐射防护和实体保卫要求的放射源暂存库或设备；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（四）放射性同位素与射线装置使用场所有防止误操作、防止工作人员和公众受到意外照射的安全措施；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（五）配备与辐射类型和辐射水平相适应的防护用品和监测仪器，包括个人剂量测量报警、辐射监测等仪器；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（六）有健全的操作规程、岗位职责、辐射防护和安全保卫制度、设备检修维护制度、放射性同位素使用登记制度、人员培训计划、监测方案等；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（七）有完善的辐射事故应急措施； </w:t>
      </w:r>
    </w:p>
    <w:p>
      <w:pPr>
        <w:widowControl/>
        <w:spacing w:line="48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（八）产生放射性废气、废液、固体废物的，还应具有确保放射性废气、废液、固体废物达标排放的处理能力或者可行的处理方案。 </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八、禁止性要求</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有下列情形之一的，不得核发排放辐射安全许可证：</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（一）申请单位不具备与所从事的生产、销售、使用活动规模相适应的，具备相应专业知识和防护知识及健康条件的专业技术人员；</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（二）申请单位不具备符合国家环境保护标准、职业卫生标准和安全防护要求的场所、设施和设备；</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（三）申请单位无专门的安全和防护管理机构或者专职、兼职安全和防护管理人员，未配备必要的防护用品和监测仪器；</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（四）申请单位无健全的安全和防护管理规章制度、辐射事故应急措施。</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（五）申请单位不具备确保放射性废气、废液、固体废物达标排放的处理能力或者可行的处理方案</w:t>
      </w:r>
    </w:p>
    <w:p>
      <w:pPr>
        <w:widowControl/>
        <w:spacing w:line="4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（六）国家规定的其他不予审批的情形。</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九、申请材料目录</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（一）《辐射安全许可</w:t>
      </w:r>
      <w:r>
        <w:rPr>
          <w:rFonts w:hint="eastAsia" w:ascii="仿宋" w:hAnsi="仿宋" w:eastAsia="仿宋" w:cs="仿宋"/>
          <w:color w:val="000000"/>
          <w:kern w:val="0"/>
          <w:sz w:val="32"/>
          <w:szCs w:val="32"/>
          <w:lang w:eastAsia="zh-CN"/>
        </w:rPr>
        <w:t>变更</w:t>
      </w:r>
      <w:r>
        <w:rPr>
          <w:rFonts w:hint="eastAsia" w:ascii="仿宋" w:hAnsi="仿宋" w:eastAsia="仿宋" w:cs="仿宋"/>
          <w:color w:val="000000"/>
          <w:kern w:val="0"/>
          <w:sz w:val="32"/>
          <w:szCs w:val="32"/>
        </w:rPr>
        <w:t>申请表》（纸质件一份及电子档）；</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eastAsia="zh-CN"/>
        </w:rPr>
        <w:t>辐射安全许可证正本、副本原件</w:t>
      </w:r>
      <w:r>
        <w:rPr>
          <w:rFonts w:hint="eastAsia" w:ascii="仿宋" w:hAnsi="仿宋" w:eastAsia="仿宋" w:cs="仿宋"/>
          <w:color w:val="000000"/>
          <w:kern w:val="0"/>
          <w:sz w:val="32"/>
          <w:szCs w:val="32"/>
        </w:rPr>
        <w:t>；</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（三）变更后的企业法人营业执照或事业单位法人证书正、副本复印件；</w:t>
      </w:r>
    </w:p>
    <w:p>
      <w:pPr>
        <w:widowControl/>
        <w:spacing w:line="48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（四）变更后的法定代表人身份证复印件</w:t>
      </w:r>
      <w:r>
        <w:rPr>
          <w:rFonts w:hint="eastAsia" w:ascii="仿宋" w:hAnsi="仿宋" w:eastAsia="仿宋" w:cs="仿宋"/>
          <w:color w:val="000000"/>
          <w:kern w:val="0"/>
          <w:sz w:val="32"/>
          <w:szCs w:val="32"/>
          <w:lang w:eastAsia="zh-CN"/>
        </w:rPr>
        <w:t>。</w:t>
      </w:r>
    </w:p>
    <w:p>
      <w:pPr>
        <w:pStyle w:val="23"/>
        <w:widowControl/>
        <w:spacing w:line="480" w:lineRule="exact"/>
        <w:ind w:firstLine="640"/>
        <w:rPr>
          <w:rFonts w:hint="eastAsia" w:ascii="仿宋" w:hAnsi="仿宋" w:eastAsia="仿宋" w:cs="仿宋"/>
          <w:b/>
          <w:bCs/>
          <w:sz w:val="32"/>
          <w:szCs w:val="32"/>
        </w:rPr>
      </w:pPr>
      <w:r>
        <w:rPr>
          <w:rFonts w:hint="eastAsia" w:ascii="仿宋" w:hAnsi="仿宋" w:eastAsia="仿宋" w:cs="仿宋"/>
          <w:b/>
          <w:bCs/>
          <w:sz w:val="32"/>
          <w:szCs w:val="32"/>
        </w:rPr>
        <w:t>十、申请接收</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申请单位应按有关规定登陆“国家辐射安全申报系统”进行网上申报，并将所需资料提交</w:t>
      </w: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w:t>
      </w:r>
      <w:r>
        <w:rPr>
          <w:rFonts w:hint="eastAsia" w:ascii="仿宋" w:hAnsi="仿宋" w:eastAsia="仿宋" w:cs="仿宋"/>
          <w:sz w:val="32"/>
          <w:szCs w:val="32"/>
        </w:rPr>
        <w:t>局</w:t>
      </w:r>
      <w:r>
        <w:rPr>
          <w:rFonts w:hint="eastAsia" w:ascii="仿宋" w:hAnsi="仿宋" w:eastAsia="仿宋" w:cs="仿宋"/>
          <w:sz w:val="32"/>
          <w:szCs w:val="32"/>
          <w:lang w:val="en-US" w:eastAsia="zh-CN"/>
        </w:rPr>
        <w:t>49号</w:t>
      </w:r>
      <w:r>
        <w:rPr>
          <w:rFonts w:hint="eastAsia" w:ascii="仿宋" w:hAnsi="仿宋" w:eastAsia="仿宋" w:cs="仿宋"/>
          <w:sz w:val="32"/>
          <w:szCs w:val="32"/>
        </w:rPr>
        <w:t>窗口</w:t>
      </w:r>
      <w:r>
        <w:rPr>
          <w:rFonts w:hint="eastAsia" w:ascii="仿宋" w:hAnsi="仿宋" w:eastAsia="仿宋" w:cs="仿宋"/>
          <w:color w:val="000000"/>
          <w:kern w:val="0"/>
          <w:sz w:val="32"/>
          <w:szCs w:val="32"/>
        </w:rPr>
        <w:t>。</w:t>
      </w:r>
    </w:p>
    <w:p>
      <w:pPr>
        <w:widowControl/>
        <w:spacing w:line="48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sz w:val="32"/>
          <w:szCs w:val="32"/>
        </w:rPr>
        <w:t>联系电话：023-</w:t>
      </w:r>
      <w:r>
        <w:rPr>
          <w:rFonts w:hint="eastAsia" w:ascii="仿宋" w:hAnsi="仿宋" w:eastAsia="仿宋" w:cs="仿宋"/>
          <w:color w:val="000000"/>
          <w:sz w:val="32"/>
          <w:szCs w:val="32"/>
          <w:lang w:val="en-US" w:eastAsia="zh-CN"/>
        </w:rPr>
        <w:t>55180465.</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十一、办理基本流程</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（一）申请</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建设单位登陆“国家辐射安全申报系统”进行网上申报，同时到</w:t>
      </w: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w:t>
      </w:r>
      <w:r>
        <w:rPr>
          <w:rFonts w:hint="eastAsia" w:ascii="仿宋" w:hAnsi="仿宋" w:eastAsia="仿宋" w:cs="仿宋"/>
          <w:sz w:val="32"/>
          <w:szCs w:val="32"/>
        </w:rPr>
        <w:t>局窗口</w:t>
      </w:r>
      <w:r>
        <w:rPr>
          <w:rFonts w:hint="eastAsia" w:ascii="仿宋" w:hAnsi="仿宋" w:eastAsia="仿宋" w:cs="仿宋"/>
          <w:color w:val="000000"/>
          <w:kern w:val="0"/>
          <w:sz w:val="32"/>
          <w:szCs w:val="32"/>
        </w:rPr>
        <w:t>提交相关纸质资料。</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生态环境局</w:t>
      </w:r>
      <w:r>
        <w:rPr>
          <w:rFonts w:hint="eastAsia" w:ascii="仿宋" w:hAnsi="仿宋" w:eastAsia="仿宋" w:cs="仿宋"/>
          <w:sz w:val="32"/>
          <w:szCs w:val="32"/>
        </w:rPr>
        <w:t>窗口人员对申请资料初步审查，</w:t>
      </w:r>
      <w:r>
        <w:rPr>
          <w:rFonts w:hint="eastAsia" w:ascii="仿宋" w:hAnsi="仿宋" w:eastAsia="仿宋" w:cs="仿宋"/>
          <w:sz w:val="32"/>
          <w:szCs w:val="32"/>
          <w:lang w:eastAsia="zh-CN"/>
        </w:rPr>
        <w:t>同意受理的出具受理通知书，不予受理的出具不予受理通知书（并告知不予受理理由）</w:t>
      </w:r>
      <w:r>
        <w:rPr>
          <w:rFonts w:hint="eastAsia" w:ascii="仿宋" w:hAnsi="仿宋" w:eastAsia="仿宋" w:cs="仿宋"/>
          <w:sz w:val="32"/>
          <w:szCs w:val="32"/>
          <w:lang w:val="en-US" w:eastAsia="zh-CN"/>
        </w:rPr>
        <w:t>或</w:t>
      </w:r>
      <w:r>
        <w:rPr>
          <w:rFonts w:hint="eastAsia" w:ascii="仿宋" w:hAnsi="仿宋" w:eastAsia="仿宋" w:cs="仿宋"/>
          <w:sz w:val="32"/>
          <w:szCs w:val="32"/>
          <w:lang w:eastAsia="zh-CN"/>
        </w:rPr>
        <w:t>补正材料一次性告知书。</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（三）审查</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lang w:eastAsia="zh-CN"/>
        </w:rPr>
        <w:t>县生态环境局审批科</w:t>
      </w:r>
      <w:r>
        <w:rPr>
          <w:rFonts w:hint="eastAsia" w:ascii="仿宋" w:hAnsi="仿宋" w:eastAsia="仿宋" w:cs="仿宋"/>
          <w:color w:val="000000"/>
          <w:kern w:val="0"/>
          <w:sz w:val="32"/>
          <w:szCs w:val="32"/>
        </w:rPr>
        <w:t>对申请资料及</w:t>
      </w:r>
      <w:r>
        <w:rPr>
          <w:rFonts w:hint="eastAsia" w:ascii="仿宋" w:hAnsi="仿宋" w:eastAsia="仿宋" w:cs="仿宋"/>
          <w:color w:val="000000"/>
          <w:kern w:val="0"/>
          <w:sz w:val="32"/>
          <w:szCs w:val="32"/>
          <w:lang w:eastAsia="zh-CN"/>
        </w:rPr>
        <w:t>申请</w:t>
      </w:r>
      <w:r>
        <w:rPr>
          <w:rFonts w:hint="eastAsia" w:ascii="仿宋" w:hAnsi="仿宋" w:eastAsia="仿宋" w:cs="仿宋"/>
          <w:color w:val="000000"/>
          <w:kern w:val="0"/>
          <w:sz w:val="32"/>
          <w:szCs w:val="32"/>
        </w:rPr>
        <w:t>条件进行审查。</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四</w:t>
      </w:r>
      <w:r>
        <w:rPr>
          <w:rFonts w:hint="eastAsia" w:ascii="仿宋" w:hAnsi="仿宋" w:eastAsia="仿宋" w:cs="仿宋"/>
          <w:color w:val="000000"/>
          <w:kern w:val="0"/>
          <w:sz w:val="32"/>
          <w:szCs w:val="32"/>
        </w:rPr>
        <w:t>）决定</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行政审批科根据审</w:t>
      </w:r>
      <w:r>
        <w:rPr>
          <w:rFonts w:hint="eastAsia" w:ascii="仿宋" w:hAnsi="仿宋" w:eastAsia="仿宋" w:cs="仿宋"/>
          <w:color w:val="000000"/>
          <w:kern w:val="0"/>
          <w:sz w:val="32"/>
          <w:szCs w:val="32"/>
          <w:lang w:eastAsia="zh-CN"/>
        </w:rPr>
        <w:t>查</w:t>
      </w:r>
      <w:r>
        <w:rPr>
          <w:rFonts w:hint="eastAsia" w:ascii="仿宋" w:hAnsi="仿宋" w:eastAsia="仿宋" w:cs="仿宋"/>
          <w:color w:val="000000"/>
          <w:kern w:val="0"/>
          <w:sz w:val="32"/>
          <w:szCs w:val="32"/>
        </w:rPr>
        <w:t>结果，自受理</w:t>
      </w:r>
      <w:r>
        <w:rPr>
          <w:rFonts w:hint="eastAsia" w:ascii="仿宋" w:hAnsi="仿宋" w:eastAsia="仿宋" w:cs="仿宋"/>
          <w:color w:val="000000"/>
          <w:kern w:val="0"/>
          <w:sz w:val="32"/>
          <w:szCs w:val="32"/>
          <w:lang w:val="en-US" w:eastAsia="zh-CN"/>
        </w:rPr>
        <w:t>5个工作日内</w:t>
      </w:r>
      <w:r>
        <w:rPr>
          <w:rFonts w:hint="eastAsia" w:ascii="仿宋" w:hAnsi="仿宋" w:eastAsia="仿宋" w:cs="仿宋"/>
          <w:color w:val="000000"/>
          <w:kern w:val="0"/>
          <w:sz w:val="32"/>
          <w:szCs w:val="32"/>
        </w:rPr>
        <w:t>作出是否准予许可的决定，并向</w:t>
      </w:r>
      <w:r>
        <w:rPr>
          <w:rFonts w:hint="eastAsia" w:ascii="仿宋" w:hAnsi="仿宋" w:eastAsia="仿宋" w:cs="仿宋"/>
          <w:color w:val="000000"/>
          <w:kern w:val="0"/>
          <w:sz w:val="32"/>
          <w:szCs w:val="32"/>
          <w:lang w:eastAsia="zh-CN"/>
        </w:rPr>
        <w:t>申请</w:t>
      </w:r>
      <w:r>
        <w:rPr>
          <w:rFonts w:hint="eastAsia" w:ascii="仿宋" w:hAnsi="仿宋" w:eastAsia="仿宋" w:cs="仿宋"/>
          <w:color w:val="000000"/>
          <w:kern w:val="0"/>
          <w:sz w:val="32"/>
          <w:szCs w:val="32"/>
        </w:rPr>
        <w:t>单位发《辐射安全许可证》，或出具《不予许可决定书》。</w:t>
      </w:r>
    </w:p>
    <w:p>
      <w:pPr>
        <w:widowControl/>
        <w:spacing w:line="48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五</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送达</w:t>
      </w:r>
    </w:p>
    <w:p>
      <w:pPr>
        <w:widowControl/>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通知建设单位在</w:t>
      </w:r>
      <w:r>
        <w:rPr>
          <w:rFonts w:hint="eastAsia" w:ascii="仿宋" w:hAnsi="仿宋" w:eastAsia="仿宋" w:cs="仿宋"/>
          <w:sz w:val="32"/>
          <w:szCs w:val="32"/>
          <w:lang w:eastAsia="zh-CN"/>
        </w:rPr>
        <w:t>县</w:t>
      </w:r>
      <w:r>
        <w:rPr>
          <w:rFonts w:hint="eastAsia" w:ascii="仿宋" w:hAnsi="仿宋" w:eastAsia="仿宋" w:cs="仿宋"/>
          <w:sz w:val="32"/>
          <w:szCs w:val="32"/>
        </w:rPr>
        <w:t>行政服务中心</w:t>
      </w:r>
      <w:r>
        <w:rPr>
          <w:rFonts w:hint="eastAsia" w:ascii="仿宋" w:hAnsi="仿宋" w:eastAsia="仿宋" w:cs="仿宋"/>
          <w:sz w:val="32"/>
          <w:szCs w:val="32"/>
          <w:lang w:eastAsia="zh-CN"/>
        </w:rPr>
        <w:t>生态环境局</w:t>
      </w:r>
      <w:r>
        <w:rPr>
          <w:rFonts w:hint="eastAsia" w:ascii="仿宋" w:hAnsi="仿宋" w:eastAsia="仿宋" w:cs="仿宋"/>
          <w:sz w:val="32"/>
          <w:szCs w:val="32"/>
          <w:lang w:val="en-US" w:eastAsia="zh-CN"/>
        </w:rPr>
        <w:t>C09号</w:t>
      </w:r>
      <w:r>
        <w:rPr>
          <w:rFonts w:hint="eastAsia" w:ascii="仿宋" w:hAnsi="仿宋" w:eastAsia="仿宋" w:cs="仿宋"/>
          <w:sz w:val="32"/>
          <w:szCs w:val="32"/>
        </w:rPr>
        <w:t>窗口领取。</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十二、办理方式</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网上办理和窗口办理。</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十三、办结时限</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法定时限：20个工作日</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承诺时限：</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个工作日</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十四、收费依据及标准</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不收费。</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十五、审批结果</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《辐射安全许可证》。</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十六、结果送达</w:t>
      </w:r>
    </w:p>
    <w:p>
      <w:pPr>
        <w:spacing w:line="4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县行政审批大厅</w:t>
      </w:r>
      <w:r>
        <w:rPr>
          <w:rFonts w:hint="eastAsia" w:ascii="仿宋" w:hAnsi="仿宋" w:eastAsia="仿宋" w:cs="仿宋"/>
          <w:sz w:val="32"/>
          <w:szCs w:val="32"/>
          <w:lang w:val="en-US" w:eastAsia="zh-CN"/>
        </w:rPr>
        <w:t>2楼C09号</w:t>
      </w:r>
      <w:r>
        <w:rPr>
          <w:rFonts w:hint="eastAsia" w:ascii="仿宋" w:hAnsi="仿宋" w:eastAsia="仿宋" w:cs="仿宋"/>
          <w:sz w:val="32"/>
          <w:szCs w:val="32"/>
        </w:rPr>
        <w:t>窗口领取</w:t>
      </w:r>
      <w:r>
        <w:rPr>
          <w:rFonts w:hint="eastAsia" w:ascii="仿宋" w:hAnsi="仿宋" w:eastAsia="仿宋" w:cs="仿宋"/>
          <w:color w:val="000000"/>
          <w:kern w:val="0"/>
          <w:sz w:val="32"/>
          <w:szCs w:val="32"/>
        </w:rPr>
        <w:t>。</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十七、行政相对人权利和义务</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（一）行政相对人权利</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1.当事人提出行政许可申请，符合法定条件、标准的，有获得准予许可的权利；</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2.当事人对行政许可实施机关拟作出的具体行政行为决定的事实、理由及依据，有了解、知情的权利；当事人有权查阅行政机关做出的准予行政许可决定；</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3.当事人对行政许可实施机关做出的不予行政许可的决定认为侵犯其合法权益，有依法申请行政复议或向人民法院提起行政诉讼的权利；当事人对行政复议决定不服的，有权向有管辖权的人民法院提起行政诉讼；</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4.当事人对于行政许可实施机关和其行政管理人员的违法失职行为，有权申诉、控告、检举；</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5.法律、法规规定的其他权利。</w:t>
      </w:r>
    </w:p>
    <w:p>
      <w:pPr>
        <w:pStyle w:val="23"/>
        <w:widowControl/>
        <w:spacing w:line="480" w:lineRule="exact"/>
        <w:ind w:firstLine="64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（二）行政相对人义务</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1.相对人有自觉遵守法律、法规、规章的义务；</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2.相对人应严格依照规定提供申报材料，并确保提供材料合法真实准确；</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3.法律、法规规定的其他义务。</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十八、咨询途径</w:t>
      </w:r>
    </w:p>
    <w:p>
      <w:pPr>
        <w:pStyle w:val="23"/>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重庆市</w:t>
      </w:r>
      <w:r>
        <w:rPr>
          <w:rFonts w:hint="eastAsia" w:ascii="仿宋" w:hAnsi="仿宋" w:eastAsia="仿宋" w:cs="仿宋"/>
          <w:sz w:val="32"/>
          <w:szCs w:val="32"/>
          <w:lang w:eastAsia="zh-CN"/>
        </w:rPr>
        <w:t>云阳县</w:t>
      </w:r>
      <w:r>
        <w:rPr>
          <w:rFonts w:hint="eastAsia" w:ascii="仿宋" w:hAnsi="仿宋" w:eastAsia="仿宋" w:cs="仿宋"/>
          <w:sz w:val="32"/>
          <w:szCs w:val="32"/>
        </w:rPr>
        <w:t>行政</w:t>
      </w:r>
      <w:r>
        <w:rPr>
          <w:rFonts w:hint="eastAsia" w:ascii="仿宋" w:hAnsi="仿宋" w:eastAsia="仿宋" w:cs="仿宋"/>
          <w:sz w:val="32"/>
          <w:szCs w:val="32"/>
          <w:lang w:eastAsia="zh-CN"/>
        </w:rPr>
        <w:t>大厅</w:t>
      </w:r>
      <w:r>
        <w:rPr>
          <w:rFonts w:hint="eastAsia" w:ascii="仿宋" w:hAnsi="仿宋" w:eastAsia="仿宋" w:cs="仿宋"/>
          <w:sz w:val="32"/>
          <w:szCs w:val="32"/>
          <w:lang w:val="en-US" w:eastAsia="zh-CN"/>
        </w:rPr>
        <w:t>2楼C09号</w:t>
      </w:r>
      <w:r>
        <w:rPr>
          <w:rFonts w:hint="eastAsia" w:ascii="仿宋" w:hAnsi="仿宋" w:eastAsia="仿宋" w:cs="仿宋"/>
          <w:sz w:val="32"/>
          <w:szCs w:val="32"/>
        </w:rPr>
        <w:t>窗口</w:t>
      </w:r>
    </w:p>
    <w:p>
      <w:pPr>
        <w:pStyle w:val="23"/>
        <w:widowControl/>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rPr>
        <w:t>咨询电话：023-</w:t>
      </w:r>
      <w:r>
        <w:rPr>
          <w:rFonts w:hint="eastAsia" w:ascii="仿宋" w:hAnsi="仿宋" w:eastAsia="仿宋" w:cs="仿宋"/>
          <w:sz w:val="32"/>
          <w:szCs w:val="32"/>
          <w:lang w:val="en-US" w:eastAsia="zh-CN"/>
        </w:rPr>
        <w:t>55180465</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十九、监督投诉渠道</w:t>
      </w:r>
    </w:p>
    <w:p>
      <w:pPr>
        <w:pStyle w:val="23"/>
        <w:widowControl/>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rPr>
        <w:t>投诉电话：023-55161615</w:t>
      </w:r>
      <w:r>
        <w:rPr>
          <w:rFonts w:hint="eastAsia" w:ascii="仿宋" w:hAnsi="仿宋" w:eastAsia="仿宋" w:cs="仿宋"/>
          <w:sz w:val="32"/>
          <w:szCs w:val="32"/>
          <w:lang w:val="en-US" w:eastAsia="zh-CN"/>
        </w:rPr>
        <w:t>.</w:t>
      </w:r>
    </w:p>
    <w:p>
      <w:pPr>
        <w:pStyle w:val="23"/>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投诉网址：http://zwfw.cq.gov.cn</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二十、办公地址和时间</w:t>
      </w:r>
    </w:p>
    <w:p>
      <w:pPr>
        <w:pStyle w:val="23"/>
        <w:widowControl/>
        <w:spacing w:line="480" w:lineRule="exact"/>
        <w:ind w:firstLine="640"/>
        <w:jc w:val="left"/>
        <w:rPr>
          <w:rFonts w:hint="eastAsia" w:ascii="仿宋" w:hAnsi="仿宋" w:eastAsia="仿宋" w:cs="仿宋"/>
          <w:sz w:val="32"/>
          <w:szCs w:val="32"/>
        </w:rPr>
      </w:pPr>
      <w:r>
        <w:rPr>
          <w:rFonts w:hint="eastAsia" w:ascii="仿宋" w:hAnsi="仿宋" w:eastAsia="仿宋" w:cs="仿宋"/>
          <w:color w:val="000000"/>
          <w:sz w:val="32"/>
          <w:szCs w:val="32"/>
        </w:rPr>
        <w:t>办公地址：</w:t>
      </w:r>
      <w:r>
        <w:rPr>
          <w:rFonts w:hint="eastAsia" w:ascii="仿宋" w:hAnsi="仿宋" w:eastAsia="仿宋" w:cs="仿宋"/>
          <w:sz w:val="32"/>
          <w:szCs w:val="32"/>
        </w:rPr>
        <w:t>重庆市云阳县双江街道云商大厦</w:t>
      </w:r>
      <w:r>
        <w:rPr>
          <w:rFonts w:hint="eastAsia" w:ascii="仿宋" w:hAnsi="仿宋" w:eastAsia="仿宋" w:cs="仿宋"/>
          <w:sz w:val="32"/>
          <w:szCs w:val="32"/>
          <w:lang w:val="en-US" w:eastAsia="zh-CN"/>
        </w:rPr>
        <w:t>2</w:t>
      </w:r>
      <w:r>
        <w:rPr>
          <w:rFonts w:hint="eastAsia" w:ascii="仿宋" w:hAnsi="仿宋" w:eastAsia="仿宋" w:cs="仿宋"/>
          <w:sz w:val="32"/>
          <w:szCs w:val="32"/>
        </w:rPr>
        <w:t>楼</w:t>
      </w:r>
      <w:r>
        <w:rPr>
          <w:rFonts w:hint="eastAsia" w:ascii="仿宋" w:hAnsi="仿宋" w:eastAsia="仿宋" w:cs="仿宋"/>
          <w:sz w:val="32"/>
          <w:szCs w:val="32"/>
          <w:lang w:val="en-US" w:eastAsia="zh-CN"/>
        </w:rPr>
        <w:t>C09</w:t>
      </w:r>
      <w:r>
        <w:rPr>
          <w:rFonts w:hint="eastAsia" w:ascii="仿宋" w:hAnsi="仿宋" w:eastAsia="仿宋" w:cs="仿宋"/>
          <w:sz w:val="32"/>
          <w:szCs w:val="32"/>
        </w:rPr>
        <w:t>号窗口。</w:t>
      </w:r>
    </w:p>
    <w:p>
      <w:pPr>
        <w:pStyle w:val="23"/>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交通方式：可乘601路、</w:t>
      </w:r>
      <w:r>
        <w:rPr>
          <w:rFonts w:hint="eastAsia" w:ascii="仿宋" w:hAnsi="仿宋" w:eastAsia="仿宋" w:cs="仿宋"/>
          <w:sz w:val="32"/>
          <w:szCs w:val="32"/>
          <w:lang w:val="en-US" w:eastAsia="zh-CN"/>
        </w:rPr>
        <w:t>602路、</w:t>
      </w:r>
      <w:r>
        <w:rPr>
          <w:rFonts w:hint="eastAsia" w:ascii="仿宋" w:hAnsi="仿宋" w:eastAsia="仿宋" w:cs="仿宋"/>
          <w:sz w:val="32"/>
          <w:szCs w:val="32"/>
        </w:rPr>
        <w:t>61</w:t>
      </w:r>
      <w:r>
        <w:rPr>
          <w:rFonts w:hint="eastAsia" w:ascii="仿宋" w:hAnsi="仿宋" w:eastAsia="仿宋" w:cs="仿宋"/>
          <w:sz w:val="32"/>
          <w:szCs w:val="32"/>
          <w:lang w:val="en-US" w:eastAsia="zh-CN"/>
        </w:rPr>
        <w:t>2</w:t>
      </w:r>
      <w:r>
        <w:rPr>
          <w:rFonts w:hint="eastAsia" w:ascii="仿宋" w:hAnsi="仿宋" w:eastAsia="仿宋" w:cs="仿宋"/>
          <w:sz w:val="32"/>
          <w:szCs w:val="32"/>
        </w:rPr>
        <w:t>路、61</w:t>
      </w:r>
      <w:r>
        <w:rPr>
          <w:rFonts w:hint="eastAsia" w:ascii="仿宋" w:hAnsi="仿宋" w:eastAsia="仿宋" w:cs="仿宋"/>
          <w:sz w:val="32"/>
          <w:szCs w:val="32"/>
          <w:lang w:val="en-US" w:eastAsia="zh-CN"/>
        </w:rPr>
        <w:t>3</w:t>
      </w:r>
      <w:r>
        <w:rPr>
          <w:rFonts w:hint="eastAsia" w:ascii="仿宋" w:hAnsi="仿宋" w:eastAsia="仿宋" w:cs="仿宋"/>
          <w:sz w:val="32"/>
          <w:szCs w:val="32"/>
        </w:rPr>
        <w:t>路公交车到</w:t>
      </w:r>
      <w:r>
        <w:rPr>
          <w:rFonts w:hint="eastAsia" w:ascii="仿宋" w:hAnsi="仿宋" w:eastAsia="仿宋" w:cs="仿宋"/>
          <w:sz w:val="32"/>
          <w:szCs w:val="32"/>
          <w:lang w:eastAsia="zh-CN"/>
        </w:rPr>
        <w:t>行政大厅</w:t>
      </w:r>
      <w:r>
        <w:rPr>
          <w:rFonts w:hint="eastAsia" w:ascii="仿宋" w:hAnsi="仿宋" w:eastAsia="仿宋" w:cs="仿宋"/>
          <w:sz w:val="32"/>
          <w:szCs w:val="32"/>
        </w:rPr>
        <w:t>公交站下车，或将您的交通工具停放于</w:t>
      </w:r>
      <w:r>
        <w:rPr>
          <w:rFonts w:hint="eastAsia" w:ascii="仿宋" w:hAnsi="仿宋" w:eastAsia="仿宋" w:cs="仿宋"/>
          <w:sz w:val="32"/>
          <w:szCs w:val="32"/>
          <w:lang w:eastAsia="zh-CN"/>
        </w:rPr>
        <w:t>云商大厦</w:t>
      </w:r>
      <w:r>
        <w:rPr>
          <w:rFonts w:hint="eastAsia" w:ascii="仿宋" w:hAnsi="仿宋" w:eastAsia="仿宋" w:cs="仿宋"/>
          <w:sz w:val="32"/>
          <w:szCs w:val="32"/>
        </w:rPr>
        <w:t>停车场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40分钟内停车免费）</w:t>
      </w:r>
      <w:r>
        <w:rPr>
          <w:rFonts w:hint="eastAsia" w:ascii="仿宋" w:hAnsi="仿宋" w:eastAsia="仿宋" w:cs="仿宋"/>
          <w:sz w:val="32"/>
          <w:szCs w:val="32"/>
        </w:rPr>
        <w:t>前往行政服务中心。</w:t>
      </w:r>
    </w:p>
    <w:p>
      <w:pPr>
        <w:pStyle w:val="23"/>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办公时间：上午9：00-12：00，下午13：30-17：00，法定节假日除外。</w:t>
      </w:r>
    </w:p>
    <w:p>
      <w:pPr>
        <w:pStyle w:val="23"/>
        <w:widowControl/>
        <w:spacing w:line="480" w:lineRule="exact"/>
        <w:ind w:firstLine="640"/>
        <w:jc w:val="left"/>
        <w:rPr>
          <w:rFonts w:hint="eastAsia" w:ascii="仿宋" w:hAnsi="仿宋" w:eastAsia="仿宋" w:cs="仿宋"/>
          <w:b/>
          <w:bCs/>
          <w:sz w:val="32"/>
          <w:szCs w:val="32"/>
        </w:rPr>
      </w:pPr>
      <w:r>
        <w:rPr>
          <w:rFonts w:hint="eastAsia" w:ascii="仿宋" w:hAnsi="仿宋" w:eastAsia="仿宋" w:cs="仿宋"/>
          <w:b/>
          <w:bCs/>
          <w:sz w:val="32"/>
          <w:szCs w:val="32"/>
        </w:rPr>
        <w:t>二十一、办理进程和结果公开查询</w:t>
      </w:r>
    </w:p>
    <w:p>
      <w:pPr>
        <w:pStyle w:val="23"/>
        <w:widowControl/>
        <w:spacing w:line="480" w:lineRule="exact"/>
        <w:ind w:firstLine="640"/>
        <w:jc w:val="left"/>
        <w:rPr>
          <w:rFonts w:hint="eastAsia" w:ascii="仿宋" w:hAnsi="仿宋" w:eastAsia="仿宋" w:cs="仿宋"/>
          <w:sz w:val="32"/>
          <w:szCs w:val="32"/>
        </w:rPr>
      </w:pPr>
      <w:r>
        <w:rPr>
          <w:rFonts w:hint="eastAsia" w:ascii="仿宋" w:hAnsi="仿宋" w:eastAsia="仿宋" w:cs="仿宋"/>
          <w:sz w:val="32"/>
          <w:szCs w:val="32"/>
        </w:rPr>
        <w:t>重庆市</w:t>
      </w:r>
      <w:r>
        <w:rPr>
          <w:rFonts w:hint="eastAsia" w:ascii="仿宋" w:hAnsi="仿宋" w:eastAsia="仿宋" w:cs="仿宋"/>
          <w:sz w:val="32"/>
          <w:szCs w:val="32"/>
          <w:lang w:eastAsia="zh-CN"/>
        </w:rPr>
        <w:t>云阳县</w:t>
      </w:r>
      <w:r>
        <w:rPr>
          <w:rFonts w:hint="eastAsia" w:ascii="仿宋" w:hAnsi="仿宋" w:eastAsia="仿宋" w:cs="仿宋"/>
          <w:sz w:val="32"/>
          <w:szCs w:val="32"/>
        </w:rPr>
        <w:t>行政</w:t>
      </w:r>
      <w:r>
        <w:rPr>
          <w:rFonts w:hint="eastAsia" w:ascii="仿宋" w:hAnsi="仿宋" w:eastAsia="仿宋" w:cs="仿宋"/>
          <w:sz w:val="32"/>
          <w:szCs w:val="32"/>
          <w:lang w:eastAsia="zh-CN"/>
        </w:rPr>
        <w:t>大厅</w:t>
      </w:r>
      <w:r>
        <w:rPr>
          <w:rFonts w:hint="eastAsia" w:ascii="仿宋" w:hAnsi="仿宋" w:eastAsia="仿宋" w:cs="仿宋"/>
          <w:sz w:val="32"/>
          <w:szCs w:val="32"/>
          <w:lang w:val="en-US" w:eastAsia="zh-CN"/>
        </w:rPr>
        <w:t>2楼C09号</w:t>
      </w:r>
      <w:r>
        <w:rPr>
          <w:rFonts w:hint="eastAsia" w:ascii="仿宋" w:hAnsi="仿宋" w:eastAsia="仿宋" w:cs="仿宋"/>
          <w:sz w:val="32"/>
          <w:szCs w:val="32"/>
        </w:rPr>
        <w:t>窗口</w:t>
      </w:r>
    </w:p>
    <w:p>
      <w:pPr>
        <w:pStyle w:val="23"/>
        <w:widowControl/>
        <w:spacing w:line="48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查询</w:t>
      </w:r>
      <w:r>
        <w:rPr>
          <w:rFonts w:hint="eastAsia" w:ascii="仿宋" w:hAnsi="仿宋" w:eastAsia="仿宋" w:cs="仿宋"/>
          <w:sz w:val="32"/>
          <w:szCs w:val="32"/>
        </w:rPr>
        <w:t>电话：023-</w:t>
      </w:r>
      <w:r>
        <w:rPr>
          <w:rFonts w:hint="eastAsia" w:ascii="仿宋" w:hAnsi="仿宋" w:eastAsia="仿宋" w:cs="仿宋"/>
          <w:sz w:val="32"/>
          <w:szCs w:val="32"/>
          <w:lang w:val="en-US" w:eastAsia="zh-CN"/>
        </w:rPr>
        <w:t>55180465</w:t>
      </w:r>
    </w:p>
    <w:p>
      <w:pPr>
        <w:pStyle w:val="23"/>
        <w:widowControl/>
        <w:spacing w:line="480" w:lineRule="exact"/>
        <w:ind w:firstLine="480"/>
        <w:jc w:val="left"/>
        <w:rPr>
          <w:rFonts w:hint="eastAsia" w:ascii="仿宋" w:hAnsi="仿宋" w:eastAsia="仿宋" w:cs="仿宋"/>
          <w:sz w:val="32"/>
          <w:szCs w:val="32"/>
          <w:shd w:val="clear" w:color="auto" w:fill="FFFF00"/>
        </w:rPr>
      </w:pPr>
    </w:p>
    <w:p>
      <w:pPr>
        <w:pStyle w:val="23"/>
        <w:widowControl/>
        <w:adjustRightInd w:val="0"/>
        <w:snapToGrid w:val="0"/>
        <w:spacing w:line="480" w:lineRule="exact"/>
        <w:ind w:firstLine="883"/>
        <w:jc w:val="left"/>
        <w:rPr>
          <w:rFonts w:hint="eastAsia" w:ascii="仿宋" w:hAnsi="仿宋" w:eastAsia="仿宋" w:cs="仿宋"/>
          <w:b/>
          <w:sz w:val="32"/>
          <w:szCs w:val="32"/>
          <w:bdr w:val="single" w:color="auto" w:sz="4" w:space="0"/>
        </w:rPr>
      </w:pPr>
    </w:p>
    <w:p>
      <w:pPr>
        <w:pStyle w:val="23"/>
        <w:widowControl/>
        <w:adjustRightInd w:val="0"/>
        <w:snapToGrid w:val="0"/>
        <w:spacing w:line="360" w:lineRule="auto"/>
        <w:ind w:firstLine="0" w:firstLineChars="0"/>
        <w:jc w:val="left"/>
        <w:rPr>
          <w:rFonts w:hint="eastAsia" w:ascii="仿宋" w:hAnsi="仿宋" w:eastAsia="仿宋" w:cs="仿宋"/>
          <w:b/>
          <w:sz w:val="32"/>
          <w:szCs w:val="32"/>
        </w:rPr>
      </w:pPr>
    </w:p>
    <w:p>
      <w:pPr>
        <w:pStyle w:val="23"/>
        <w:widowControl/>
        <w:adjustRightInd w:val="0"/>
        <w:snapToGrid w:val="0"/>
        <w:spacing w:line="360" w:lineRule="auto"/>
        <w:ind w:firstLine="0" w:firstLineChars="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附录</w:t>
      </w:r>
    </w:p>
    <w:p>
      <w:pPr>
        <w:pStyle w:val="23"/>
        <w:widowControl/>
        <w:adjustRightInd w:val="0"/>
        <w:snapToGrid w:val="0"/>
        <w:spacing w:line="6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附录1  流程图</w:t>
      </w:r>
    </w:p>
    <w:p>
      <w:pPr>
        <w:pStyle w:val="23"/>
        <w:widowControl/>
        <w:adjustRightInd w:val="0"/>
        <w:snapToGrid w:val="0"/>
        <w:spacing w:line="6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附录2  相关申请材料示范文本</w:t>
      </w:r>
    </w:p>
    <w:p>
      <w:pPr>
        <w:pStyle w:val="23"/>
        <w:widowControl/>
        <w:adjustRightInd w:val="0"/>
        <w:snapToGrid w:val="0"/>
        <w:spacing w:line="600" w:lineRule="exact"/>
        <w:ind w:firstLine="0" w:firstLineChars="0"/>
        <w:jc w:val="left"/>
        <w:rPr>
          <w:rFonts w:hint="eastAsia" w:ascii="仿宋" w:hAnsi="仿宋" w:eastAsia="仿宋" w:cs="仿宋"/>
          <w:sz w:val="32"/>
          <w:szCs w:val="32"/>
        </w:rPr>
      </w:pPr>
      <w:r>
        <w:rPr>
          <w:rFonts w:hint="eastAsia" w:ascii="仿宋" w:hAnsi="仿宋" w:eastAsia="仿宋" w:cs="仿宋"/>
          <w:sz w:val="32"/>
          <w:szCs w:val="32"/>
        </w:rPr>
        <w:t>附录3  常见错误示例</w:t>
      </w:r>
    </w:p>
    <w:p>
      <w:pPr>
        <w:tabs>
          <w:tab w:val="left" w:pos="4245"/>
        </w:tabs>
        <w:ind w:right="4245"/>
        <w:rPr>
          <w:rFonts w:hint="eastAsia" w:ascii="仿宋" w:hAnsi="仿宋" w:eastAsia="仿宋" w:cs="仿宋"/>
          <w:sz w:val="32"/>
          <w:szCs w:val="32"/>
        </w:rPr>
      </w:pPr>
      <w:r>
        <w:rPr>
          <w:rFonts w:hint="eastAsia" w:ascii="仿宋" w:hAnsi="仿宋" w:eastAsia="仿宋" w:cs="仿宋"/>
          <w:sz w:val="32"/>
          <w:szCs w:val="32"/>
        </w:rPr>
        <w:tab/>
      </w:r>
    </w:p>
    <w:p>
      <w:pPr>
        <w:ind w:right="1200"/>
        <w:jc w:val="left"/>
        <w:rPr>
          <w:rFonts w:hint="eastAsia" w:ascii="仿宋" w:hAnsi="仿宋" w:eastAsia="仿宋" w:cs="仿宋"/>
          <w:sz w:val="32"/>
          <w:szCs w:val="32"/>
        </w:rPr>
      </w:pPr>
      <w:r>
        <w:rPr>
          <w:rFonts w:hint="eastAsia" w:ascii="仿宋" w:hAnsi="仿宋" w:eastAsia="仿宋" w:cs="仿宋"/>
          <w:sz w:val="32"/>
          <w:szCs w:val="32"/>
        </w:rPr>
        <w:t xml:space="preserve">  </w:t>
      </w:r>
    </w:p>
    <w:p>
      <w:pPr>
        <w:ind w:right="1200"/>
        <w:jc w:val="left"/>
      </w:pPr>
    </w:p>
    <w:p>
      <w:pPr>
        <w:ind w:right="1200"/>
        <w:jc w:val="left"/>
      </w:pPr>
    </w:p>
    <w:p>
      <w:pPr>
        <w:ind w:right="1200"/>
        <w:jc w:val="left"/>
        <w:rPr>
          <w:rFonts w:hint="eastAsia" w:eastAsia="方正仿宋_GBK"/>
          <w:sz w:val="32"/>
          <w:szCs w:val="32"/>
          <w:lang w:eastAsia="zh-CN"/>
        </w:rPr>
      </w:pPr>
      <w:r>
        <w:t xml:space="preserve"> </w:t>
      </w:r>
      <w:r>
        <w:rPr>
          <w:rFonts w:hint="eastAsia" w:ascii="仿宋" w:hAnsi="仿宋" w:eastAsia="仿宋" w:cs="仿宋"/>
          <w:sz w:val="32"/>
          <w:szCs w:val="32"/>
        </w:rPr>
        <w:t xml:space="preserve">  附录1 流程图</w:t>
      </w:r>
      <w:r>
        <w:rPr>
          <w:rFonts w:eastAsia="方正仿宋_GBK"/>
          <w:sz w:val="32"/>
          <w:szCs w:val="32"/>
        </w:rPr>
        <w:t xml:space="preserve"> </w:t>
      </w:r>
      <w:r>
        <w:rPr>
          <w:rFonts w:hint="eastAsia" w:eastAsia="方正仿宋_GBK"/>
          <w:sz w:val="32"/>
          <w:szCs w:val="32"/>
          <w:lang w:eastAsia="zh-CN"/>
        </w:rPr>
        <w:drawing>
          <wp:inline distT="0" distB="0" distL="114300" distR="114300">
            <wp:extent cx="5562600" cy="6800850"/>
            <wp:effectExtent l="0" t="0" r="0" b="0"/>
            <wp:docPr id="20" name="图片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
                    <pic:cNvPicPr>
                      <a:picLocks noChangeAspect="1"/>
                    </pic:cNvPicPr>
                  </pic:nvPicPr>
                  <pic:blipFill>
                    <a:blip r:embed="rId6"/>
                    <a:stretch>
                      <a:fillRect/>
                    </a:stretch>
                  </pic:blipFill>
                  <pic:spPr>
                    <a:xfrm>
                      <a:off x="0" y="0"/>
                      <a:ext cx="5562600" cy="6800850"/>
                    </a:xfrm>
                    <a:prstGeom prst="rect">
                      <a:avLst/>
                    </a:prstGeom>
                  </pic:spPr>
                </pic:pic>
              </a:graphicData>
            </a:graphic>
          </wp:inline>
        </w:drawing>
      </w:r>
    </w:p>
    <w:p>
      <w:pPr>
        <w:spacing w:line="560" w:lineRule="exact"/>
        <w:rPr>
          <w:rFonts w:eastAsia="方正仿宋_GBK"/>
          <w:sz w:val="32"/>
          <w:szCs w:val="32"/>
        </w:rPr>
      </w:pPr>
    </w:p>
    <w:p>
      <w:pPr>
        <w:spacing w:line="560" w:lineRule="exact"/>
        <w:rPr>
          <w:rFonts w:eastAsia="方正仿宋_GBK"/>
          <w:sz w:val="32"/>
          <w:szCs w:val="32"/>
        </w:rPr>
      </w:pPr>
    </w:p>
    <w:p>
      <w:pPr>
        <w:pStyle w:val="23"/>
        <w:widowControl/>
        <w:adjustRightInd w:val="0"/>
        <w:snapToGrid w:val="0"/>
        <w:spacing w:line="480" w:lineRule="exact"/>
        <w:ind w:left="0" w:leftChars="0" w:firstLine="0" w:firstLineChars="0"/>
        <w:jc w:val="left"/>
        <w:rPr>
          <w:rFonts w:ascii="Times New Roman"/>
          <w:b/>
          <w:sz w:val="24"/>
          <w:szCs w:val="24"/>
        </w:rPr>
      </w:pPr>
    </w:p>
    <w:p>
      <w:pPr>
        <w:pStyle w:val="23"/>
        <w:widowControl/>
        <w:adjustRightInd w:val="0"/>
        <w:snapToGrid w:val="0"/>
        <w:spacing w:line="480" w:lineRule="exact"/>
        <w:ind w:left="0" w:leftChars="0" w:firstLine="0" w:firstLineChars="0"/>
        <w:jc w:val="left"/>
        <w:rPr>
          <w:rFonts w:hint="eastAsia" w:ascii="仿宋" w:hAnsi="仿宋" w:eastAsia="仿宋" w:cs="仿宋"/>
          <w:b w:val="0"/>
          <w:bCs/>
          <w:sz w:val="32"/>
          <w:szCs w:val="32"/>
        </w:rPr>
      </w:pPr>
      <w:r>
        <w:rPr>
          <w:rFonts w:hint="eastAsia" w:ascii="仿宋" w:hAnsi="仿宋" w:eastAsia="仿宋" w:cs="仿宋"/>
          <w:b w:val="0"/>
          <w:bCs/>
          <w:sz w:val="32"/>
          <w:szCs w:val="32"/>
        </w:rPr>
        <w:t>附录2 相关申请材料示范文本</w:t>
      </w:r>
    </w:p>
    <w:p>
      <w:pPr>
        <w:pStyle w:val="23"/>
        <w:widowControl/>
        <w:adjustRightInd w:val="0"/>
        <w:snapToGrid w:val="0"/>
        <w:spacing w:line="480" w:lineRule="exact"/>
        <w:ind w:left="0" w:leftChars="0" w:firstLine="0" w:firstLineChars="0"/>
        <w:jc w:val="left"/>
        <w:rPr>
          <w:rFonts w:hint="eastAsia" w:ascii="Times New Roman" w:eastAsia="宋体"/>
          <w:b w:val="0"/>
          <w:bCs/>
          <w:sz w:val="24"/>
          <w:szCs w:val="24"/>
          <w:lang w:val="en-US" w:eastAsia="zh-CN"/>
        </w:rPr>
      </w:pPr>
      <w:r>
        <w:rPr>
          <w:rFonts w:hint="eastAsia" w:ascii="Times New Roman"/>
          <w:b w:val="0"/>
          <w:bCs/>
          <w:sz w:val="24"/>
          <w:szCs w:val="24"/>
          <w:lang w:val="en-US" w:eastAsia="zh-CN"/>
        </w:rPr>
        <w:t>（1）申请表</w:t>
      </w:r>
    </w:p>
    <w:p>
      <w:pPr>
        <w:spacing w:line="276" w:lineRule="auto"/>
        <w:jc w:val="center"/>
        <w:rPr>
          <w:rFonts w:hint="eastAsia" w:ascii="黑体" w:hAnsi="宋体" w:eastAsia="黑体"/>
          <w:bCs/>
          <w:sz w:val="30"/>
          <w:szCs w:val="30"/>
        </w:rPr>
      </w:pPr>
      <w:r>
        <w:rPr>
          <w:rFonts w:hint="eastAsia" w:ascii="黑体" w:hAnsi="宋体" w:eastAsia="黑体"/>
          <w:bCs/>
          <w:sz w:val="30"/>
          <w:szCs w:val="30"/>
        </w:rPr>
        <w:t>辐射安全许可证变更申请表</w:t>
      </w:r>
    </w:p>
    <w:p>
      <w:pPr>
        <w:spacing w:line="276" w:lineRule="auto"/>
        <w:jc w:val="center"/>
        <w:rPr>
          <w:rFonts w:hint="eastAsia" w:ascii="宋体" w:hAnsi="宋体"/>
        </w:rPr>
      </w:pPr>
      <w:r>
        <w:rPr>
          <w:rFonts w:hint="eastAsia" w:ascii="宋体" w:hAnsi="宋体"/>
        </w:rPr>
        <w:t>（变更单位名称、地址、法定代表人）</w:t>
      </w:r>
    </w:p>
    <w:p>
      <w:pPr>
        <w:adjustRightInd w:val="0"/>
        <w:snapToGrid w:val="0"/>
        <w:spacing w:before="93" w:beforeLines="30" w:line="276" w:lineRule="auto"/>
        <w:rPr>
          <w:rFonts w:hint="eastAsia" w:ascii="宋体" w:hAnsi="宋体"/>
        </w:rPr>
      </w:pPr>
      <w:r>
        <w:rPr>
          <w:rFonts w:hint="eastAsia" w:ascii="宋体" w:hAnsi="宋体"/>
        </w:rPr>
        <w:t>申请文号：                 受理编号：</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批准</w:t>
      </w:r>
      <w:r>
        <w:rPr>
          <w:rFonts w:ascii="宋体" w:hAnsi="宋体"/>
        </w:rPr>
        <w:t>文号：</w:t>
      </w:r>
      <w:r>
        <w:rPr>
          <w:rFonts w:hint="eastAsia" w:ascii="宋体" w:hAnsi="宋体"/>
        </w:rPr>
        <w:t>环辐审[     ]      号</w:t>
      </w: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4"/>
        <w:gridCol w:w="1025"/>
        <w:gridCol w:w="2913"/>
        <w:gridCol w:w="1022"/>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p>
        </w:tc>
        <w:tc>
          <w:tcPr>
            <w:tcW w:w="3938" w:type="dxa"/>
            <w:gridSpan w:val="2"/>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原核准事项</w:t>
            </w:r>
          </w:p>
        </w:tc>
        <w:tc>
          <w:tcPr>
            <w:tcW w:w="4000" w:type="dxa"/>
            <w:gridSpan w:val="2"/>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变更后的事项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单位名称</w:t>
            </w:r>
          </w:p>
          <w:p>
            <w:pPr>
              <w:spacing w:line="276" w:lineRule="auto"/>
              <w:jc w:val="center"/>
              <w:rPr>
                <w:rFonts w:hint="eastAsia" w:ascii="宋体" w:hAnsi="宋体"/>
              </w:rPr>
            </w:pPr>
            <w:r>
              <w:rPr>
                <w:rFonts w:hint="eastAsia" w:ascii="宋体" w:hAnsi="宋体"/>
              </w:rPr>
              <w:t>（盖章）</w:t>
            </w:r>
          </w:p>
        </w:tc>
        <w:tc>
          <w:tcPr>
            <w:tcW w:w="3938" w:type="dxa"/>
            <w:gridSpan w:val="2"/>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rPr>
            </w:pPr>
            <w:r>
              <w:rPr>
                <w:rFonts w:hint="eastAsia" w:ascii="宋体" w:hAnsi="宋体" w:eastAsia="仿宋_GB2312"/>
              </w:rPr>
              <w:t>XX公司</w:t>
            </w:r>
          </w:p>
        </w:tc>
        <w:tc>
          <w:tcPr>
            <w:tcW w:w="4000" w:type="dxa"/>
            <w:gridSpan w:val="2"/>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eastAsia="仿宋_GB2312"/>
              </w:rPr>
            </w:pPr>
            <w:r>
              <w:rPr>
                <w:rFonts w:hint="eastAsia" w:ascii="宋体" w:hAnsi="宋体" w:eastAsia="仿宋_GB2312"/>
              </w:rPr>
              <w:t>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地 址</w:t>
            </w:r>
          </w:p>
        </w:tc>
        <w:tc>
          <w:tcPr>
            <w:tcW w:w="3938" w:type="dxa"/>
            <w:gridSpan w:val="2"/>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rPr>
            </w:pPr>
            <w:r>
              <w:rPr>
                <w:rFonts w:hint="eastAsia" w:ascii="宋体" w:hAnsi="宋体" w:eastAsia="仿宋_GB2312"/>
              </w:rPr>
              <w:t>重庆市渝中区XX路XX号</w:t>
            </w:r>
          </w:p>
        </w:tc>
        <w:tc>
          <w:tcPr>
            <w:tcW w:w="4000" w:type="dxa"/>
            <w:gridSpan w:val="2"/>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重庆市</w:t>
            </w:r>
            <w:r>
              <w:rPr>
                <w:rFonts w:hint="eastAsia" w:ascii="宋体" w:hAnsi="宋体" w:eastAsia="仿宋_GB2312"/>
                <w:lang w:eastAsia="zh-CN"/>
              </w:rPr>
              <w:t>渝北</w:t>
            </w:r>
            <w:r>
              <w:rPr>
                <w:rFonts w:hint="eastAsia" w:ascii="宋体" w:hAnsi="宋体" w:eastAsia="仿宋_GB2312"/>
              </w:rPr>
              <w:t>区XX路XX号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4" w:type="dxa"/>
            <w:vMerge w:val="restart"/>
            <w:tcBorders>
              <w:top w:val="single" w:color="auto" w:sz="8" w:space="0"/>
              <w:left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法定代表人</w:t>
            </w:r>
          </w:p>
        </w:tc>
        <w:tc>
          <w:tcPr>
            <w:tcW w:w="1025" w:type="dxa"/>
            <w:tcBorders>
              <w:top w:val="single" w:color="auto" w:sz="8" w:space="0"/>
              <w:left w:val="single" w:color="auto" w:sz="8" w:space="0"/>
              <w:bottom w:val="single" w:color="auto" w:sz="8" w:space="0"/>
              <w:right w:val="single" w:color="auto" w:sz="4" w:space="0"/>
            </w:tcBorders>
            <w:noWrap w:val="0"/>
            <w:vAlign w:val="center"/>
          </w:tcPr>
          <w:p>
            <w:pPr>
              <w:spacing w:line="276" w:lineRule="auto"/>
              <w:jc w:val="center"/>
              <w:rPr>
                <w:rFonts w:hint="eastAsia" w:ascii="宋体" w:hAnsi="宋体"/>
              </w:rPr>
            </w:pPr>
            <w:r>
              <w:rPr>
                <w:rFonts w:hint="eastAsia" w:ascii="宋体" w:hAnsi="宋体"/>
              </w:rPr>
              <w:t>姓名</w:t>
            </w:r>
          </w:p>
        </w:tc>
        <w:tc>
          <w:tcPr>
            <w:tcW w:w="2913" w:type="dxa"/>
            <w:tcBorders>
              <w:top w:val="single" w:color="auto" w:sz="8" w:space="0"/>
              <w:left w:val="single" w:color="auto" w:sz="4" w:space="0"/>
              <w:bottom w:val="single" w:color="auto" w:sz="8" w:space="0"/>
              <w:right w:val="single" w:color="auto" w:sz="8" w:space="0"/>
            </w:tcBorders>
            <w:noWrap w:val="0"/>
            <w:vAlign w:val="center"/>
          </w:tcPr>
          <w:p>
            <w:pPr>
              <w:spacing w:line="400" w:lineRule="exact"/>
              <w:jc w:val="center"/>
              <w:rPr>
                <w:rFonts w:hint="eastAsia" w:ascii="宋体" w:hAnsi="宋体"/>
              </w:rPr>
            </w:pPr>
            <w:r>
              <w:rPr>
                <w:rFonts w:hint="eastAsia" w:ascii="宋体" w:hAnsi="宋体" w:eastAsia="仿宋_GB2312"/>
              </w:rPr>
              <w:t>赵四</w:t>
            </w:r>
          </w:p>
        </w:tc>
        <w:tc>
          <w:tcPr>
            <w:tcW w:w="1022" w:type="dxa"/>
            <w:tcBorders>
              <w:top w:val="single" w:color="auto" w:sz="8" w:space="0"/>
              <w:left w:val="single" w:color="auto" w:sz="8" w:space="0"/>
              <w:bottom w:val="single" w:color="auto" w:sz="8" w:space="0"/>
              <w:right w:val="single" w:color="auto" w:sz="4" w:space="0"/>
            </w:tcBorders>
            <w:noWrap w:val="0"/>
            <w:vAlign w:val="center"/>
          </w:tcPr>
          <w:p>
            <w:pPr>
              <w:spacing w:line="276" w:lineRule="auto"/>
              <w:jc w:val="center"/>
              <w:rPr>
                <w:rFonts w:hint="eastAsia" w:ascii="宋体" w:hAnsi="宋体"/>
              </w:rPr>
            </w:pPr>
            <w:r>
              <w:rPr>
                <w:rFonts w:hint="eastAsia" w:ascii="宋体" w:hAnsi="宋体"/>
              </w:rPr>
              <w:t>姓名</w:t>
            </w:r>
          </w:p>
        </w:tc>
        <w:tc>
          <w:tcPr>
            <w:tcW w:w="2978" w:type="dxa"/>
            <w:tcBorders>
              <w:top w:val="single" w:color="auto" w:sz="8" w:space="0"/>
              <w:left w:val="single" w:color="auto" w:sz="4" w:space="0"/>
              <w:bottom w:val="single" w:color="auto" w:sz="8" w:space="0"/>
              <w:right w:val="single" w:color="auto" w:sz="8" w:space="0"/>
            </w:tcBorders>
            <w:noWrap w:val="0"/>
            <w:vAlign w:val="center"/>
          </w:tcPr>
          <w:p>
            <w:pPr>
              <w:spacing w:line="400" w:lineRule="exact"/>
              <w:jc w:val="center"/>
              <w:rPr>
                <w:rFonts w:hint="eastAsia" w:ascii="宋体" w:hAnsi="宋体" w:eastAsia="仿宋_GB2312"/>
              </w:rPr>
            </w:pPr>
            <w:r>
              <w:rPr>
                <w:rFonts w:hint="eastAsia" w:ascii="宋体" w:hAnsi="宋体" w:eastAsia="仿宋_GB2312"/>
              </w:rPr>
              <w:t>王五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4" w:type="dxa"/>
            <w:vMerge w:val="continue"/>
            <w:tcBorders>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p>
        </w:tc>
        <w:tc>
          <w:tcPr>
            <w:tcW w:w="1025" w:type="dxa"/>
            <w:tcBorders>
              <w:top w:val="single" w:color="auto" w:sz="8" w:space="0"/>
              <w:left w:val="single" w:color="auto" w:sz="8" w:space="0"/>
              <w:bottom w:val="single" w:color="auto" w:sz="8" w:space="0"/>
              <w:right w:val="single" w:color="auto" w:sz="4" w:space="0"/>
            </w:tcBorders>
            <w:noWrap w:val="0"/>
            <w:vAlign w:val="center"/>
          </w:tcPr>
          <w:p>
            <w:pPr>
              <w:spacing w:line="276" w:lineRule="auto"/>
              <w:jc w:val="center"/>
              <w:rPr>
                <w:rFonts w:hint="eastAsia" w:ascii="宋体" w:hAnsi="宋体"/>
              </w:rPr>
            </w:pPr>
            <w:r>
              <w:rPr>
                <w:rFonts w:hint="eastAsia" w:ascii="宋体" w:hAnsi="宋体"/>
              </w:rPr>
              <w:t>证件类型</w:t>
            </w:r>
          </w:p>
        </w:tc>
        <w:tc>
          <w:tcPr>
            <w:tcW w:w="2913" w:type="dxa"/>
            <w:tcBorders>
              <w:top w:val="single" w:color="auto" w:sz="8" w:space="0"/>
              <w:left w:val="single" w:color="auto" w:sz="4" w:space="0"/>
              <w:bottom w:val="single" w:color="auto" w:sz="8" w:space="0"/>
              <w:right w:val="single" w:color="auto" w:sz="8" w:space="0"/>
            </w:tcBorders>
            <w:noWrap w:val="0"/>
            <w:vAlign w:val="center"/>
          </w:tcPr>
          <w:p>
            <w:pPr>
              <w:spacing w:line="400" w:lineRule="exact"/>
              <w:jc w:val="center"/>
              <w:rPr>
                <w:rFonts w:hint="eastAsia" w:ascii="宋体" w:hAnsi="宋体"/>
              </w:rPr>
            </w:pPr>
            <w:r>
              <w:rPr>
                <w:rFonts w:hint="eastAsia" w:ascii="宋体" w:hAnsi="宋体" w:eastAsia="仿宋_GB2312"/>
                <w:sz w:val="24"/>
              </w:rPr>
              <w:t>身份证</w:t>
            </w:r>
          </w:p>
        </w:tc>
        <w:tc>
          <w:tcPr>
            <w:tcW w:w="1022" w:type="dxa"/>
            <w:tcBorders>
              <w:top w:val="single" w:color="auto" w:sz="8" w:space="0"/>
              <w:left w:val="single" w:color="auto" w:sz="8" w:space="0"/>
              <w:bottom w:val="single" w:color="auto" w:sz="8" w:space="0"/>
              <w:right w:val="single" w:color="auto" w:sz="4" w:space="0"/>
            </w:tcBorders>
            <w:noWrap w:val="0"/>
            <w:vAlign w:val="center"/>
          </w:tcPr>
          <w:p>
            <w:pPr>
              <w:spacing w:line="276" w:lineRule="auto"/>
              <w:jc w:val="center"/>
              <w:rPr>
                <w:rFonts w:hint="eastAsia" w:ascii="宋体" w:hAnsi="宋体"/>
              </w:rPr>
            </w:pPr>
            <w:r>
              <w:rPr>
                <w:rFonts w:hint="eastAsia" w:ascii="宋体" w:hAnsi="宋体"/>
              </w:rPr>
              <w:t>证件类型</w:t>
            </w:r>
          </w:p>
        </w:tc>
        <w:tc>
          <w:tcPr>
            <w:tcW w:w="2978" w:type="dxa"/>
            <w:tcBorders>
              <w:top w:val="single" w:color="auto" w:sz="8" w:space="0"/>
              <w:left w:val="single" w:color="auto" w:sz="4" w:space="0"/>
              <w:bottom w:val="single" w:color="auto" w:sz="8" w:space="0"/>
              <w:right w:val="single" w:color="auto" w:sz="8" w:space="0"/>
            </w:tcBorders>
            <w:noWrap w:val="0"/>
            <w:vAlign w:val="center"/>
          </w:tcPr>
          <w:p>
            <w:pPr>
              <w:spacing w:line="400" w:lineRule="exact"/>
              <w:jc w:val="center"/>
              <w:rPr>
                <w:rFonts w:hint="eastAsia" w:ascii="宋体" w:hAnsi="宋体" w:eastAsia="仿宋_GB2312"/>
              </w:rPr>
            </w:pPr>
            <w:r>
              <w:rPr>
                <w:rFonts w:hint="eastAsia" w:ascii="宋体" w:hAnsi="宋体" w:eastAsia="仿宋_GB2312"/>
                <w:sz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4" w:type="dxa"/>
            <w:vMerge w:val="continue"/>
            <w:tcBorders>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p>
        </w:tc>
        <w:tc>
          <w:tcPr>
            <w:tcW w:w="1025" w:type="dxa"/>
            <w:tcBorders>
              <w:top w:val="single" w:color="auto" w:sz="8" w:space="0"/>
              <w:left w:val="single" w:color="auto" w:sz="8" w:space="0"/>
              <w:bottom w:val="single" w:color="auto" w:sz="8" w:space="0"/>
              <w:right w:val="single" w:color="auto" w:sz="4" w:space="0"/>
            </w:tcBorders>
            <w:noWrap w:val="0"/>
            <w:vAlign w:val="center"/>
          </w:tcPr>
          <w:p>
            <w:pPr>
              <w:spacing w:line="276" w:lineRule="auto"/>
              <w:jc w:val="center"/>
              <w:rPr>
                <w:rFonts w:hint="eastAsia" w:ascii="宋体" w:hAnsi="宋体"/>
              </w:rPr>
            </w:pPr>
            <w:r>
              <w:rPr>
                <w:rFonts w:hint="eastAsia" w:ascii="宋体" w:hAnsi="宋体"/>
              </w:rPr>
              <w:t>号码</w:t>
            </w:r>
          </w:p>
        </w:tc>
        <w:tc>
          <w:tcPr>
            <w:tcW w:w="2913" w:type="dxa"/>
            <w:tcBorders>
              <w:top w:val="single" w:color="auto" w:sz="8" w:space="0"/>
              <w:left w:val="single" w:color="auto" w:sz="4"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51022301954XX01XXXX</w:t>
            </w:r>
          </w:p>
        </w:tc>
        <w:tc>
          <w:tcPr>
            <w:tcW w:w="1022" w:type="dxa"/>
            <w:tcBorders>
              <w:top w:val="single" w:color="auto" w:sz="8" w:space="0"/>
              <w:left w:val="single" w:color="auto" w:sz="8" w:space="0"/>
              <w:bottom w:val="single" w:color="auto" w:sz="8" w:space="0"/>
              <w:right w:val="single" w:color="auto" w:sz="4" w:space="0"/>
            </w:tcBorders>
            <w:noWrap w:val="0"/>
            <w:vAlign w:val="center"/>
          </w:tcPr>
          <w:p>
            <w:pPr>
              <w:spacing w:line="276" w:lineRule="auto"/>
              <w:jc w:val="center"/>
              <w:rPr>
                <w:rFonts w:hint="eastAsia" w:ascii="宋体" w:hAnsi="宋体"/>
              </w:rPr>
            </w:pPr>
            <w:r>
              <w:rPr>
                <w:rFonts w:hint="eastAsia" w:ascii="宋体" w:hAnsi="宋体"/>
              </w:rPr>
              <w:t>号码</w:t>
            </w:r>
          </w:p>
        </w:tc>
        <w:tc>
          <w:tcPr>
            <w:tcW w:w="2978" w:type="dxa"/>
            <w:tcBorders>
              <w:top w:val="single" w:color="auto" w:sz="8" w:space="0"/>
              <w:left w:val="single" w:color="auto" w:sz="4"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51022301954XX01XXXX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63"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种类和范围</w:t>
            </w:r>
          </w:p>
        </w:tc>
        <w:tc>
          <w:tcPr>
            <w:tcW w:w="3938" w:type="dxa"/>
            <w:gridSpan w:val="2"/>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使用Ⅱ类射线装置</w:t>
            </w:r>
          </w:p>
        </w:tc>
        <w:tc>
          <w:tcPr>
            <w:tcW w:w="102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证书编号</w:t>
            </w:r>
          </w:p>
        </w:tc>
        <w:tc>
          <w:tcPr>
            <w:tcW w:w="2978"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渝环（辐）证00411号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有效期至</w:t>
            </w:r>
          </w:p>
        </w:tc>
        <w:tc>
          <w:tcPr>
            <w:tcW w:w="3938" w:type="dxa"/>
            <w:gridSpan w:val="2"/>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2020年10月 10日</w:t>
            </w:r>
            <w:r>
              <w:rPr>
                <w:rFonts w:hint="eastAsia" w:ascii="宋体" w:hAnsi="宋体"/>
              </w:rPr>
              <w:t xml:space="preserve">   </w:t>
            </w:r>
          </w:p>
        </w:tc>
        <w:tc>
          <w:tcPr>
            <w:tcW w:w="102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发证日期</w:t>
            </w:r>
          </w:p>
        </w:tc>
        <w:tc>
          <w:tcPr>
            <w:tcW w:w="2978"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 xml:space="preserve">  2015 年 10月 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经办人</w:t>
            </w:r>
          </w:p>
        </w:tc>
        <w:tc>
          <w:tcPr>
            <w:tcW w:w="3938" w:type="dxa"/>
            <w:gridSpan w:val="2"/>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李立</w:t>
            </w:r>
          </w:p>
        </w:tc>
        <w:tc>
          <w:tcPr>
            <w:tcW w:w="1022"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电话</w:t>
            </w:r>
          </w:p>
        </w:tc>
        <w:tc>
          <w:tcPr>
            <w:tcW w:w="2978"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eastAsia="仿宋_GB2312"/>
              </w:rPr>
              <w:t>139023881XX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pacing w:line="276" w:lineRule="auto"/>
              <w:jc w:val="center"/>
              <w:rPr>
                <w:rFonts w:hint="eastAsia" w:ascii="宋体" w:hAnsi="宋体"/>
              </w:rPr>
            </w:pPr>
            <w:r>
              <w:rPr>
                <w:rFonts w:hint="eastAsia" w:ascii="宋体" w:hAnsi="宋体"/>
              </w:rPr>
              <w:t>附 件</w:t>
            </w:r>
          </w:p>
        </w:tc>
        <w:tc>
          <w:tcPr>
            <w:tcW w:w="7938" w:type="dxa"/>
            <w:gridSpan w:val="4"/>
            <w:tcBorders>
              <w:top w:val="single" w:color="auto" w:sz="8" w:space="0"/>
              <w:left w:val="single" w:color="auto" w:sz="8" w:space="0"/>
              <w:bottom w:val="single" w:color="auto" w:sz="8" w:space="0"/>
              <w:right w:val="single" w:color="auto" w:sz="8" w:space="0"/>
            </w:tcBorders>
            <w:noWrap w:val="0"/>
            <w:vAlign w:val="center"/>
          </w:tcPr>
          <w:p>
            <w:pPr>
              <w:spacing w:line="276" w:lineRule="auto"/>
              <w:ind w:firstLine="210" w:firstLineChars="100"/>
              <w:rPr>
                <w:rFonts w:hint="eastAsia" w:ascii="宋体" w:hAnsi="宋体"/>
              </w:rPr>
            </w:pPr>
            <w:r>
              <w:rPr>
                <w:rFonts w:hint="eastAsia" w:ascii="宋体" w:hAnsi="宋体"/>
              </w:rPr>
              <w:sym w:font="Wingdings 2" w:char="0052"/>
            </w:r>
            <w:r>
              <w:rPr>
                <w:rFonts w:hint="eastAsia" w:ascii="宋体" w:hAnsi="宋体"/>
              </w:rPr>
              <w:t>辐射安全许可证正、副本　</w:t>
            </w:r>
          </w:p>
          <w:p>
            <w:pPr>
              <w:spacing w:line="276" w:lineRule="auto"/>
              <w:ind w:firstLine="210" w:firstLineChars="100"/>
              <w:rPr>
                <w:rFonts w:hint="eastAsia" w:ascii="宋体" w:hAnsi="宋体"/>
              </w:rPr>
            </w:pPr>
            <w:r>
              <w:rPr>
                <w:rFonts w:hint="eastAsia" w:ascii="宋体" w:hAnsi="宋体"/>
              </w:rPr>
              <w:sym w:font="Wingdings 2" w:char="0052"/>
            </w:r>
            <w:r>
              <w:rPr>
                <w:rFonts w:hint="eastAsia" w:ascii="宋体" w:hAnsi="宋体"/>
              </w:rPr>
              <w:t>变更后的企业法人营业执照或事业单位法人证书正、副本复印件</w:t>
            </w:r>
          </w:p>
          <w:p>
            <w:pPr>
              <w:spacing w:line="276" w:lineRule="auto"/>
              <w:ind w:firstLine="210" w:firstLineChars="100"/>
              <w:rPr>
                <w:rFonts w:hint="eastAsia" w:ascii="宋体" w:hAnsi="宋体"/>
              </w:rPr>
            </w:pPr>
            <w:r>
              <w:rPr>
                <w:rFonts w:hint="eastAsia" w:ascii="宋体" w:hAnsi="宋体"/>
              </w:rPr>
              <w:sym w:font="Wingdings 2" w:char="0052"/>
            </w:r>
            <w:r>
              <w:rPr>
                <w:rFonts w:hint="eastAsia" w:ascii="宋体" w:hAnsi="宋体"/>
              </w:rPr>
              <w:t>变更后的法定代表人身份证复印件</w:t>
            </w:r>
          </w:p>
          <w:p>
            <w:pPr>
              <w:spacing w:line="276" w:lineRule="auto"/>
              <w:ind w:firstLine="210" w:firstLineChars="100"/>
              <w:rPr>
                <w:rFonts w:hint="eastAsia" w:ascii="宋体" w:hAnsi="宋体"/>
                <w:u w:val="single"/>
              </w:rPr>
            </w:pPr>
            <w:r>
              <w:rPr>
                <w:rFonts w:hint="eastAsia" w:ascii="宋体" w:hAnsi="宋体"/>
              </w:rPr>
              <w:t xml:space="preserve">□其他 </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072" w:type="dxa"/>
            <w:gridSpan w:val="5"/>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276" w:lineRule="auto"/>
              <w:ind w:firstLine="210" w:firstLineChars="100"/>
              <w:rPr>
                <w:rFonts w:hint="eastAsia" w:ascii="宋体" w:hAnsi="宋体"/>
              </w:rPr>
            </w:pPr>
            <w:r>
              <w:rPr>
                <w:rFonts w:hint="eastAsia" w:ascii="宋体" w:hAnsi="宋体"/>
              </w:rPr>
              <w:t>环保部门意见</w:t>
            </w:r>
            <w:r>
              <w:rPr>
                <w:rFonts w:ascii="宋体" w:hAnsi="宋体"/>
              </w:rPr>
              <w:t>:</w:t>
            </w:r>
          </w:p>
          <w:p>
            <w:pPr>
              <w:adjustRightInd w:val="0"/>
              <w:snapToGrid w:val="0"/>
              <w:spacing w:line="276" w:lineRule="auto"/>
              <w:ind w:firstLine="420" w:firstLineChars="200"/>
              <w:rPr>
                <w:rFonts w:hint="eastAsia" w:ascii="宋体" w:hAnsi="宋体"/>
              </w:rPr>
            </w:pPr>
            <w:r>
              <w:rPr>
                <w:rFonts w:hint="eastAsia" w:ascii="宋体" w:hAnsi="宋体"/>
              </w:rPr>
              <w:t>□ 同意变更</w:t>
            </w:r>
            <w:r>
              <w:rPr>
                <w:rFonts w:ascii="宋体" w:hAnsi="宋体"/>
              </w:rPr>
              <w:t xml:space="preserve">  </w:t>
            </w:r>
            <w:r>
              <w:rPr>
                <w:rFonts w:hint="eastAsia" w:ascii="宋体" w:hAnsi="宋体"/>
              </w:rPr>
              <w:t xml:space="preserve"> </w:t>
            </w:r>
            <w:r>
              <w:rPr>
                <w:rFonts w:ascii="宋体" w:hAnsi="宋体"/>
              </w:rPr>
              <w:t xml:space="preserve">   </w:t>
            </w:r>
          </w:p>
          <w:p>
            <w:pPr>
              <w:adjustRightInd w:val="0"/>
              <w:snapToGrid w:val="0"/>
              <w:spacing w:line="276" w:lineRule="auto"/>
              <w:ind w:firstLine="420" w:firstLineChars="200"/>
              <w:rPr>
                <w:rFonts w:hint="eastAsia" w:ascii="宋体" w:hAnsi="宋体"/>
              </w:rPr>
            </w:pPr>
            <w:r>
              <w:rPr>
                <w:rFonts w:hint="eastAsia" w:ascii="宋体" w:hAnsi="宋体"/>
              </w:rPr>
              <w:t>□ 不同意变更（另附理由）</w:t>
            </w:r>
          </w:p>
          <w:p>
            <w:pPr>
              <w:adjustRightInd w:val="0"/>
              <w:snapToGrid w:val="0"/>
              <w:spacing w:line="276" w:lineRule="auto"/>
              <w:ind w:firstLine="5460" w:firstLineChars="2600"/>
              <w:rPr>
                <w:rFonts w:hint="eastAsia" w:ascii="宋体" w:hAnsi="宋体"/>
              </w:rPr>
            </w:pPr>
            <w:r>
              <w:rPr>
                <w:rFonts w:hint="eastAsia" w:ascii="宋体" w:hAnsi="宋体"/>
              </w:rPr>
              <w:t>(盖章)</w:t>
            </w:r>
          </w:p>
          <w:p>
            <w:pPr>
              <w:spacing w:line="276" w:lineRule="auto"/>
              <w:ind w:firstLine="1260" w:firstLineChars="600"/>
              <w:rPr>
                <w:rFonts w:hint="eastAsia" w:ascii="宋体" w:hAnsi="宋体"/>
              </w:rPr>
            </w:pPr>
            <w:r>
              <w:rPr>
                <w:rFonts w:hint="eastAsia" w:ascii="宋体" w:hAnsi="宋体"/>
              </w:rPr>
              <w:t>经办人：</w:t>
            </w:r>
            <w:r>
              <w:rPr>
                <w:rFonts w:ascii="宋体" w:hAnsi="宋体"/>
              </w:rPr>
              <w:t xml:space="preserve">           </w:t>
            </w:r>
            <w:r>
              <w:rPr>
                <w:rFonts w:hint="eastAsia" w:ascii="宋体" w:hAnsi="宋体"/>
              </w:rPr>
              <w:t xml:space="preserve">                   日期：</w:t>
            </w:r>
          </w:p>
        </w:tc>
      </w:tr>
    </w:tbl>
    <w:p>
      <w:pPr>
        <w:spacing w:line="276" w:lineRule="auto"/>
        <w:rPr>
          <w:rFonts w:hint="eastAsia" w:ascii="宋体" w:hAnsi="宋体"/>
        </w:rPr>
      </w:pPr>
      <w:r>
        <w:rPr>
          <w:rFonts w:hint="eastAsia" w:ascii="宋体" w:hAnsi="宋体"/>
        </w:rPr>
        <w:t>填表说明：</w:t>
      </w:r>
    </w:p>
    <w:p>
      <w:pPr>
        <w:spacing w:line="276" w:lineRule="auto"/>
        <w:jc w:val="left"/>
        <w:rPr>
          <w:rFonts w:hint="eastAsia" w:ascii="宋体" w:hAnsi="宋体"/>
        </w:rPr>
      </w:pPr>
      <w:r>
        <w:rPr>
          <w:rFonts w:hint="eastAsia" w:ascii="宋体" w:hAnsi="宋体"/>
        </w:rPr>
        <w:t>1.</w:t>
      </w:r>
      <w:r>
        <w:rPr>
          <w:rFonts w:ascii="宋体" w:hAnsi="宋体"/>
        </w:rPr>
        <w:t>本表一式</w:t>
      </w:r>
      <w:r>
        <w:rPr>
          <w:rFonts w:hint="eastAsia" w:ascii="宋体" w:hAnsi="宋体"/>
          <w:lang w:eastAsia="zh-CN"/>
        </w:rPr>
        <w:t>一</w:t>
      </w:r>
      <w:r>
        <w:rPr>
          <w:rFonts w:ascii="宋体" w:hAnsi="宋体"/>
        </w:rPr>
        <w:t>份</w:t>
      </w:r>
      <w:r>
        <w:rPr>
          <w:rFonts w:hint="eastAsia" w:ascii="宋体" w:hAnsi="宋体"/>
        </w:rPr>
        <w:t>，</w:t>
      </w:r>
      <w:r>
        <w:rPr>
          <w:rFonts w:ascii="宋体" w:hAnsi="宋体"/>
        </w:rPr>
        <w:t>格式与内容不得擅自更改</w:t>
      </w:r>
      <w:r>
        <w:rPr>
          <w:rFonts w:hint="eastAsia" w:ascii="宋体" w:hAnsi="宋体"/>
        </w:rPr>
        <w:t>。</w:t>
      </w:r>
    </w:p>
    <w:p>
      <w:pPr>
        <w:spacing w:line="276" w:lineRule="auto"/>
        <w:jc w:val="left"/>
      </w:pPr>
      <w:r>
        <w:rPr>
          <w:rFonts w:hint="eastAsia" w:ascii="宋体" w:hAnsi="宋体"/>
        </w:rPr>
        <w:t>2.“变更后的事项”未变更的填写“—”；单位盖章须盖变更后的单位公章。</w:t>
      </w:r>
    </w:p>
    <w:p>
      <w:pPr>
        <w:pStyle w:val="23"/>
        <w:widowControl/>
        <w:ind w:firstLine="0" w:firstLineChars="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附录3  常见错误示例</w:t>
      </w:r>
    </w:p>
    <w:p>
      <w:pPr>
        <w:pStyle w:val="23"/>
        <w:widowControl/>
        <w:ind w:firstLine="64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1．辐射工作场所填写不规范，需具体到几层楼、几号房间。</w:t>
      </w:r>
    </w:p>
    <w:p>
      <w:pPr>
        <w:pStyle w:val="23"/>
        <w:widowControl/>
        <w:ind w:firstLine="64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2．X线机填写额定管电压(kV)和管电流(mA</w:t>
      </w:r>
      <w:r>
        <w:rPr>
          <w:rFonts w:hint="eastAsia" w:ascii="仿宋" w:hAnsi="仿宋" w:eastAsia="仿宋" w:cs="仿宋"/>
          <w:sz w:val="32"/>
          <w:szCs w:val="32"/>
        </w:rPr>
        <w:t>)不规范，应填写其正常工作时的电压和电流，而不是填写</w:t>
      </w:r>
      <w:r>
        <w:rPr>
          <w:rFonts w:hint="eastAsia" w:ascii="仿宋" w:hAnsi="仿宋" w:eastAsia="仿宋" w:cs="仿宋"/>
          <w:sz w:val="32"/>
          <w:szCs w:val="32"/>
          <w:shd w:val="clear" w:color="auto" w:fill="FFFFFF"/>
        </w:rPr>
        <w:t>X线机</w:t>
      </w:r>
      <w:r>
        <w:rPr>
          <w:rFonts w:hint="eastAsia" w:ascii="仿宋" w:hAnsi="仿宋" w:eastAsia="仿宋" w:cs="仿宋"/>
          <w:sz w:val="32"/>
          <w:szCs w:val="32"/>
        </w:rPr>
        <w:t>接入的电压和电流</w:t>
      </w:r>
      <w:r>
        <w:rPr>
          <w:rFonts w:hint="eastAsia" w:ascii="仿宋" w:hAnsi="仿宋" w:eastAsia="仿宋" w:cs="仿宋"/>
          <w:sz w:val="32"/>
          <w:szCs w:val="32"/>
          <w:shd w:val="clear" w:color="auto" w:fill="FFFFFF"/>
        </w:rPr>
        <w:t>。</w:t>
      </w:r>
    </w:p>
    <w:p>
      <w:pPr>
        <w:pStyle w:val="23"/>
        <w:widowControl/>
        <w:ind w:firstLine="0" w:firstLineChars="0"/>
        <w:jc w:val="left"/>
        <w:rPr>
          <w:rFonts w:ascii="Times New Roman" w:hAnsi="Times New Roman"/>
          <w:sz w:val="24"/>
          <w:szCs w:val="24"/>
          <w:shd w:val="clear" w:color="auto" w:fill="FFFF00"/>
        </w:rPr>
      </w:pPr>
    </w:p>
    <w:p>
      <w:pPr>
        <w:pStyle w:val="23"/>
        <w:widowControl/>
        <w:ind w:firstLine="0" w:firstLineChars="0"/>
        <w:jc w:val="left"/>
        <w:rPr>
          <w:rFonts w:ascii="Times New Roman" w:hAnsi="Times New Roman"/>
          <w:sz w:val="24"/>
          <w:szCs w:val="24"/>
          <w:shd w:val="clear" w:color="auto" w:fill="FFFF00"/>
        </w:rPr>
      </w:pPr>
    </w:p>
    <w:p>
      <w:pPr>
        <w:pStyle w:val="23"/>
        <w:widowControl/>
        <w:ind w:firstLine="0" w:firstLineChars="0"/>
        <w:jc w:val="left"/>
        <w:rPr>
          <w:rFonts w:ascii="Times New Roman" w:hAnsi="Times New Roman"/>
          <w:sz w:val="24"/>
          <w:szCs w:val="24"/>
          <w:shd w:val="clear" w:color="auto" w:fill="FFFF00"/>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pPr>
    </w:p>
    <w:p>
      <w:pPr>
        <w:spacing w:line="360" w:lineRule="auto"/>
        <w:rPr>
          <w:rFonts w:eastAsia="方正仿宋_GBK"/>
          <w:sz w:val="32"/>
          <w:szCs w:val="32"/>
          <w:shd w:val="clear" w:color="auto" w:fill="FFFFFF"/>
        </w:rPr>
        <w:sectPr>
          <w:headerReference r:id="rId3" w:type="default"/>
          <w:footerReference r:id="rId4" w:type="default"/>
          <w:pgSz w:w="11906" w:h="16838"/>
          <w:pgMar w:top="1440" w:right="1797" w:bottom="1440" w:left="1797" w:header="851" w:footer="992" w:gutter="0"/>
          <w:cols w:space="425" w:num="1"/>
          <w:docGrid w:type="linesAndChars" w:linePitch="312" w:charSpace="0"/>
        </w:sectPr>
      </w:pPr>
    </w:p>
    <w:p>
      <w:pPr>
        <w:rPr>
          <w:rFonts w:eastAsia="方正仿宋_GBK"/>
          <w:sz w:val="32"/>
          <w:szCs w:val="32"/>
          <w:shd w:val="clear" w:color="auto" w:fill="FFFFFF"/>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A00002EF" w:usb1="4000204B" w:usb2="00000000" w:usb3="00000000" w:csb0="2000009F" w:csb1="00000000"/>
  </w:font>
  <w:font w:name="FontAwesome">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22</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A"/>
    <w:rsid w:val="000079B2"/>
    <w:rsid w:val="00010434"/>
    <w:rsid w:val="00014DB8"/>
    <w:rsid w:val="00023288"/>
    <w:rsid w:val="00030EA7"/>
    <w:rsid w:val="00050B37"/>
    <w:rsid w:val="00053FFE"/>
    <w:rsid w:val="0006578B"/>
    <w:rsid w:val="000A273F"/>
    <w:rsid w:val="000A2A66"/>
    <w:rsid w:val="000B12CA"/>
    <w:rsid w:val="000B3B84"/>
    <w:rsid w:val="000B42E2"/>
    <w:rsid w:val="000C3D36"/>
    <w:rsid w:val="000E2817"/>
    <w:rsid w:val="00101330"/>
    <w:rsid w:val="0010739A"/>
    <w:rsid w:val="00114AA2"/>
    <w:rsid w:val="00124E55"/>
    <w:rsid w:val="0013364C"/>
    <w:rsid w:val="0017004B"/>
    <w:rsid w:val="00197443"/>
    <w:rsid w:val="001B3040"/>
    <w:rsid w:val="001B44CE"/>
    <w:rsid w:val="001E5A52"/>
    <w:rsid w:val="002026A8"/>
    <w:rsid w:val="00204034"/>
    <w:rsid w:val="0020499D"/>
    <w:rsid w:val="00207D63"/>
    <w:rsid w:val="002231C9"/>
    <w:rsid w:val="00224E39"/>
    <w:rsid w:val="00225DD4"/>
    <w:rsid w:val="00227504"/>
    <w:rsid w:val="0023137D"/>
    <w:rsid w:val="0025110F"/>
    <w:rsid w:val="00294F5A"/>
    <w:rsid w:val="002B657B"/>
    <w:rsid w:val="002D0208"/>
    <w:rsid w:val="002D051C"/>
    <w:rsid w:val="002D667A"/>
    <w:rsid w:val="002E1C81"/>
    <w:rsid w:val="00310DC1"/>
    <w:rsid w:val="00334183"/>
    <w:rsid w:val="003363AB"/>
    <w:rsid w:val="00347BA3"/>
    <w:rsid w:val="00347CED"/>
    <w:rsid w:val="003853FC"/>
    <w:rsid w:val="003919A9"/>
    <w:rsid w:val="003A1156"/>
    <w:rsid w:val="003A48F5"/>
    <w:rsid w:val="003B2EAB"/>
    <w:rsid w:val="003D37BE"/>
    <w:rsid w:val="003D3A03"/>
    <w:rsid w:val="003E4CE5"/>
    <w:rsid w:val="003E6CC4"/>
    <w:rsid w:val="003F694F"/>
    <w:rsid w:val="003F7821"/>
    <w:rsid w:val="00413236"/>
    <w:rsid w:val="0041536B"/>
    <w:rsid w:val="00421183"/>
    <w:rsid w:val="00450575"/>
    <w:rsid w:val="0048080C"/>
    <w:rsid w:val="00485C00"/>
    <w:rsid w:val="004908F8"/>
    <w:rsid w:val="00495C94"/>
    <w:rsid w:val="004A5994"/>
    <w:rsid w:val="004A70E3"/>
    <w:rsid w:val="004A75C0"/>
    <w:rsid w:val="004B214E"/>
    <w:rsid w:val="004B58D2"/>
    <w:rsid w:val="004B728B"/>
    <w:rsid w:val="004C10DC"/>
    <w:rsid w:val="004D472B"/>
    <w:rsid w:val="004F47BD"/>
    <w:rsid w:val="004F7987"/>
    <w:rsid w:val="00501675"/>
    <w:rsid w:val="00506EE1"/>
    <w:rsid w:val="0053480F"/>
    <w:rsid w:val="0054133B"/>
    <w:rsid w:val="00583C41"/>
    <w:rsid w:val="005B25DE"/>
    <w:rsid w:val="005B6DEA"/>
    <w:rsid w:val="005C36A1"/>
    <w:rsid w:val="005D2C94"/>
    <w:rsid w:val="005D74BD"/>
    <w:rsid w:val="005F1CB6"/>
    <w:rsid w:val="005F1E3D"/>
    <w:rsid w:val="005F5925"/>
    <w:rsid w:val="00603B2C"/>
    <w:rsid w:val="00604848"/>
    <w:rsid w:val="0061325B"/>
    <w:rsid w:val="00617496"/>
    <w:rsid w:val="00622764"/>
    <w:rsid w:val="00624533"/>
    <w:rsid w:val="00665B61"/>
    <w:rsid w:val="0067248F"/>
    <w:rsid w:val="00677455"/>
    <w:rsid w:val="006845F9"/>
    <w:rsid w:val="006924AC"/>
    <w:rsid w:val="006A25D8"/>
    <w:rsid w:val="006A6683"/>
    <w:rsid w:val="006B10FF"/>
    <w:rsid w:val="006B3E5A"/>
    <w:rsid w:val="006B7863"/>
    <w:rsid w:val="006C58A3"/>
    <w:rsid w:val="00725CBF"/>
    <w:rsid w:val="0073239E"/>
    <w:rsid w:val="00732FB3"/>
    <w:rsid w:val="00755AE8"/>
    <w:rsid w:val="00763170"/>
    <w:rsid w:val="00773BBE"/>
    <w:rsid w:val="0077557B"/>
    <w:rsid w:val="00776D2D"/>
    <w:rsid w:val="007856F1"/>
    <w:rsid w:val="007A2EA3"/>
    <w:rsid w:val="007B28A7"/>
    <w:rsid w:val="007B40A8"/>
    <w:rsid w:val="007C5C8B"/>
    <w:rsid w:val="007C7CB3"/>
    <w:rsid w:val="007D3DD1"/>
    <w:rsid w:val="007D769E"/>
    <w:rsid w:val="007E5724"/>
    <w:rsid w:val="007F2B49"/>
    <w:rsid w:val="007F600F"/>
    <w:rsid w:val="0080557A"/>
    <w:rsid w:val="00837BF8"/>
    <w:rsid w:val="00844DF5"/>
    <w:rsid w:val="00845393"/>
    <w:rsid w:val="00877D5D"/>
    <w:rsid w:val="0089458D"/>
    <w:rsid w:val="008949E3"/>
    <w:rsid w:val="008967C0"/>
    <w:rsid w:val="008E2448"/>
    <w:rsid w:val="008E24F3"/>
    <w:rsid w:val="008F3C76"/>
    <w:rsid w:val="008F3ED2"/>
    <w:rsid w:val="0092204E"/>
    <w:rsid w:val="00922200"/>
    <w:rsid w:val="00927119"/>
    <w:rsid w:val="00933084"/>
    <w:rsid w:val="00935745"/>
    <w:rsid w:val="0093620E"/>
    <w:rsid w:val="00946518"/>
    <w:rsid w:val="009611FB"/>
    <w:rsid w:val="00962A8C"/>
    <w:rsid w:val="00973088"/>
    <w:rsid w:val="00974EBF"/>
    <w:rsid w:val="009878BE"/>
    <w:rsid w:val="009A0D32"/>
    <w:rsid w:val="009B577A"/>
    <w:rsid w:val="009C204C"/>
    <w:rsid w:val="009C3411"/>
    <w:rsid w:val="009D2B11"/>
    <w:rsid w:val="009F24A6"/>
    <w:rsid w:val="009F5A76"/>
    <w:rsid w:val="00A317A9"/>
    <w:rsid w:val="00A4194B"/>
    <w:rsid w:val="00A43FF5"/>
    <w:rsid w:val="00A92926"/>
    <w:rsid w:val="00AA0CE9"/>
    <w:rsid w:val="00AA198E"/>
    <w:rsid w:val="00AB4E04"/>
    <w:rsid w:val="00AC045E"/>
    <w:rsid w:val="00AC461C"/>
    <w:rsid w:val="00AF40C2"/>
    <w:rsid w:val="00B24F53"/>
    <w:rsid w:val="00B2615E"/>
    <w:rsid w:val="00B336B7"/>
    <w:rsid w:val="00B40691"/>
    <w:rsid w:val="00B52793"/>
    <w:rsid w:val="00B7764B"/>
    <w:rsid w:val="00B80E52"/>
    <w:rsid w:val="00B83185"/>
    <w:rsid w:val="00B93B50"/>
    <w:rsid w:val="00B97B2D"/>
    <w:rsid w:val="00BB3C6E"/>
    <w:rsid w:val="00BB449F"/>
    <w:rsid w:val="00BB4B2E"/>
    <w:rsid w:val="00BB75CB"/>
    <w:rsid w:val="00BC417B"/>
    <w:rsid w:val="00C02D51"/>
    <w:rsid w:val="00C033FE"/>
    <w:rsid w:val="00C17C04"/>
    <w:rsid w:val="00C23358"/>
    <w:rsid w:val="00C507D7"/>
    <w:rsid w:val="00C578EB"/>
    <w:rsid w:val="00C860E8"/>
    <w:rsid w:val="00C93763"/>
    <w:rsid w:val="00CA0FFB"/>
    <w:rsid w:val="00CD07AB"/>
    <w:rsid w:val="00CD658D"/>
    <w:rsid w:val="00CE27EA"/>
    <w:rsid w:val="00CE3E6F"/>
    <w:rsid w:val="00CE7DA4"/>
    <w:rsid w:val="00CF429B"/>
    <w:rsid w:val="00CF75BA"/>
    <w:rsid w:val="00D00C55"/>
    <w:rsid w:val="00D35062"/>
    <w:rsid w:val="00D37826"/>
    <w:rsid w:val="00D40FDC"/>
    <w:rsid w:val="00D432D9"/>
    <w:rsid w:val="00D54074"/>
    <w:rsid w:val="00D61D68"/>
    <w:rsid w:val="00D622F6"/>
    <w:rsid w:val="00D71699"/>
    <w:rsid w:val="00D72D37"/>
    <w:rsid w:val="00DA2E1F"/>
    <w:rsid w:val="00DA3177"/>
    <w:rsid w:val="00DA7AD5"/>
    <w:rsid w:val="00DD040A"/>
    <w:rsid w:val="00DE4F44"/>
    <w:rsid w:val="00DF3E8B"/>
    <w:rsid w:val="00DF62F6"/>
    <w:rsid w:val="00E124A1"/>
    <w:rsid w:val="00E2284C"/>
    <w:rsid w:val="00E248DA"/>
    <w:rsid w:val="00E24E39"/>
    <w:rsid w:val="00E415CB"/>
    <w:rsid w:val="00E630F1"/>
    <w:rsid w:val="00E734E1"/>
    <w:rsid w:val="00E8308F"/>
    <w:rsid w:val="00E85EB6"/>
    <w:rsid w:val="00E90DB7"/>
    <w:rsid w:val="00E921B3"/>
    <w:rsid w:val="00E93063"/>
    <w:rsid w:val="00EC3F86"/>
    <w:rsid w:val="00EE1FA4"/>
    <w:rsid w:val="00EE2E95"/>
    <w:rsid w:val="00F03D80"/>
    <w:rsid w:val="00F04A1D"/>
    <w:rsid w:val="00F04D61"/>
    <w:rsid w:val="00F1124B"/>
    <w:rsid w:val="00F16CBB"/>
    <w:rsid w:val="00F227E6"/>
    <w:rsid w:val="00F25668"/>
    <w:rsid w:val="00F353BE"/>
    <w:rsid w:val="00F46172"/>
    <w:rsid w:val="00F54214"/>
    <w:rsid w:val="00F55A28"/>
    <w:rsid w:val="00F6730E"/>
    <w:rsid w:val="00F723F5"/>
    <w:rsid w:val="00F87974"/>
    <w:rsid w:val="00F9416C"/>
    <w:rsid w:val="00FA341A"/>
    <w:rsid w:val="00FA5BBA"/>
    <w:rsid w:val="00FB29DF"/>
    <w:rsid w:val="00FB356B"/>
    <w:rsid w:val="00FB5422"/>
    <w:rsid w:val="00FB59C9"/>
    <w:rsid w:val="00FC1E5B"/>
    <w:rsid w:val="00FD7667"/>
    <w:rsid w:val="00FE029E"/>
    <w:rsid w:val="00FE1B16"/>
    <w:rsid w:val="05166C3E"/>
    <w:rsid w:val="0C3E0396"/>
    <w:rsid w:val="19E07975"/>
    <w:rsid w:val="20FD2327"/>
    <w:rsid w:val="226A1E64"/>
    <w:rsid w:val="248139EF"/>
    <w:rsid w:val="2E014AAB"/>
    <w:rsid w:val="36DB58E7"/>
    <w:rsid w:val="3B043AB7"/>
    <w:rsid w:val="3B1F02EC"/>
    <w:rsid w:val="3B603CB0"/>
    <w:rsid w:val="4B067F6A"/>
    <w:rsid w:val="4F6A4D6B"/>
    <w:rsid w:val="53F80709"/>
    <w:rsid w:val="5699756A"/>
    <w:rsid w:val="5E531040"/>
    <w:rsid w:val="62F85C07"/>
    <w:rsid w:val="69D0091A"/>
    <w:rsid w:val="6C24053D"/>
    <w:rsid w:val="6D6574E3"/>
    <w:rsid w:val="760D78C7"/>
    <w:rsid w:val="78B0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240" w:lineRule="exact"/>
      <w:jc w:val="center"/>
      <w:outlineLvl w:val="0"/>
    </w:pPr>
    <w:rPr>
      <w:rFonts w:ascii="仿宋_GB2312"/>
      <w:b/>
      <w:color w:val="00000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link w:val="40"/>
    <w:qFormat/>
    <w:uiPriority w:val="0"/>
    <w:rPr>
      <w:rFonts w:ascii="宋体" w:hAnsi="Courier New" w:cs="Courier New"/>
      <w:szCs w:val="21"/>
    </w:r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29"/>
    <w:qFormat/>
    <w:uiPriority w:val="0"/>
    <w:rPr>
      <w:kern w:val="0"/>
      <w:sz w:val="16"/>
      <w:szCs w:val="16"/>
    </w:rPr>
  </w:style>
  <w:style w:type="paragraph" w:styleId="8">
    <w:name w:val="footer"/>
    <w:basedOn w:val="1"/>
    <w:link w:val="35"/>
    <w:qFormat/>
    <w:uiPriority w:val="0"/>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color w:val="FF0000"/>
    </w:rPr>
  </w:style>
  <w:style w:type="character" w:styleId="14">
    <w:name w:val="page number"/>
    <w:basedOn w:val="12"/>
    <w:qFormat/>
    <w:uiPriority w:val="0"/>
    <w:rPr>
      <w:rFonts w:eastAsia="宋体" w:cs="Times New Roman"/>
      <w:sz w:val="24"/>
      <w:szCs w:val="32"/>
    </w:rPr>
  </w:style>
  <w:style w:type="character" w:styleId="15">
    <w:name w:val="FollowedHyperlink"/>
    <w:basedOn w:val="12"/>
    <w:qFormat/>
    <w:uiPriority w:val="0"/>
    <w:rPr>
      <w:rFonts w:eastAsia="宋体"/>
      <w:color w:val="000000"/>
      <w:sz w:val="24"/>
      <w:szCs w:val="32"/>
      <w:u w:val="none"/>
    </w:rPr>
  </w:style>
  <w:style w:type="character" w:styleId="16">
    <w:name w:val="Emphasis"/>
    <w:basedOn w:val="12"/>
    <w:qFormat/>
    <w:uiPriority w:val="0"/>
    <w:rPr>
      <w:rFonts w:eastAsia="宋体"/>
      <w:sz w:val="21"/>
      <w:szCs w:val="21"/>
    </w:rPr>
  </w:style>
  <w:style w:type="character" w:styleId="17">
    <w:name w:val="HTML Definition"/>
    <w:basedOn w:val="12"/>
    <w:qFormat/>
    <w:uiPriority w:val="0"/>
    <w:rPr>
      <w:i/>
    </w:rPr>
  </w:style>
  <w:style w:type="character" w:styleId="18">
    <w:name w:val="Hyperlink"/>
    <w:basedOn w:val="12"/>
    <w:qFormat/>
    <w:uiPriority w:val="0"/>
    <w:rPr>
      <w:rFonts w:eastAsia="宋体"/>
      <w:color w:val="000000"/>
      <w:sz w:val="24"/>
      <w:szCs w:val="32"/>
      <w:u w:val="none"/>
    </w:rPr>
  </w:style>
  <w:style w:type="character" w:styleId="19">
    <w:name w:val="HTML Code"/>
    <w:basedOn w:val="12"/>
    <w:qFormat/>
    <w:uiPriority w:val="0"/>
    <w:rPr>
      <w:rFonts w:ascii="Courier New" w:hAnsi="Courier New" w:eastAsia="宋体"/>
      <w:sz w:val="21"/>
      <w:szCs w:val="21"/>
    </w:rPr>
  </w:style>
  <w:style w:type="character" w:styleId="20">
    <w:name w:val="HTML Cite"/>
    <w:basedOn w:val="12"/>
    <w:qFormat/>
    <w:uiPriority w:val="0"/>
    <w:rPr>
      <w:rFonts w:eastAsia="宋体"/>
      <w:sz w:val="21"/>
      <w:szCs w:val="21"/>
    </w:rPr>
  </w:style>
  <w:style w:type="character" w:styleId="21">
    <w:name w:val="HTML Keyboard"/>
    <w:basedOn w:val="12"/>
    <w:qFormat/>
    <w:uiPriority w:val="0"/>
    <w:rPr>
      <w:rFonts w:hint="default" w:ascii="Consolas" w:hAnsi="Consolas" w:eastAsia="Consolas" w:cs="Consolas"/>
      <w:color w:val="FFFFFF"/>
      <w:sz w:val="21"/>
      <w:szCs w:val="21"/>
      <w:shd w:val="clear" w:fill="333333"/>
    </w:rPr>
  </w:style>
  <w:style w:type="character" w:styleId="22">
    <w:name w:val="HTML Sample"/>
    <w:basedOn w:val="12"/>
    <w:qFormat/>
    <w:uiPriority w:val="0"/>
    <w:rPr>
      <w:rFonts w:hint="default" w:ascii="Consolas" w:hAnsi="Consolas" w:eastAsia="Consolas" w:cs="Consolas"/>
      <w:sz w:val="21"/>
      <w:szCs w:val="21"/>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Char"/>
    <w:basedOn w:val="1"/>
    <w:qFormat/>
    <w:uiPriority w:val="0"/>
    <w:pPr>
      <w:tabs>
        <w:tab w:val="left" w:pos="360"/>
      </w:tabs>
    </w:pPr>
    <w:rPr>
      <w:sz w:val="24"/>
      <w:szCs w:val="32"/>
    </w:rPr>
  </w:style>
  <w:style w:type="character" w:customStyle="1" w:styleId="25">
    <w:name w:val="editor_createlink_mousedown"/>
    <w:basedOn w:val="12"/>
    <w:qFormat/>
    <w:uiPriority w:val="0"/>
    <w:rPr>
      <w:rFonts w:eastAsia="宋体"/>
      <w:sz w:val="24"/>
      <w:szCs w:val="32"/>
    </w:rPr>
  </w:style>
  <w:style w:type="character" w:customStyle="1" w:styleId="26">
    <w:name w:val="editor_quote_mousedown"/>
    <w:basedOn w:val="12"/>
    <w:qFormat/>
    <w:uiPriority w:val="0"/>
    <w:rPr>
      <w:rFonts w:eastAsia="宋体"/>
      <w:sz w:val="24"/>
      <w:szCs w:val="32"/>
    </w:rPr>
  </w:style>
  <w:style w:type="character" w:customStyle="1" w:styleId="27">
    <w:name w:val="页眉 Char"/>
    <w:link w:val="9"/>
    <w:qFormat/>
    <w:uiPriority w:val="0"/>
    <w:rPr>
      <w:rFonts w:eastAsia="宋体"/>
      <w:kern w:val="2"/>
      <w:sz w:val="18"/>
      <w:szCs w:val="18"/>
      <w:lang w:val="en-US" w:eastAsia="zh-CN" w:bidi="ar-SA"/>
    </w:rPr>
  </w:style>
  <w:style w:type="character" w:customStyle="1" w:styleId="28">
    <w:name w:val="new3"/>
    <w:qFormat/>
    <w:uiPriority w:val="0"/>
    <w:rPr>
      <w:rFonts w:cs="Times New Roman"/>
    </w:rPr>
  </w:style>
  <w:style w:type="character" w:customStyle="1" w:styleId="29">
    <w:name w:val="批注框文本 Char"/>
    <w:link w:val="7"/>
    <w:qFormat/>
    <w:uiPriority w:val="0"/>
    <w:rPr>
      <w:sz w:val="16"/>
      <w:szCs w:val="16"/>
      <w:lang w:bidi="ar-SA"/>
    </w:rPr>
  </w:style>
  <w:style w:type="character" w:customStyle="1" w:styleId="30">
    <w:name w:val="editor_quote"/>
    <w:basedOn w:val="12"/>
    <w:qFormat/>
    <w:uiPriority w:val="0"/>
    <w:rPr>
      <w:rFonts w:eastAsia="宋体"/>
      <w:sz w:val="24"/>
      <w:szCs w:val="32"/>
    </w:rPr>
  </w:style>
  <w:style w:type="character" w:customStyle="1" w:styleId="31">
    <w:name w:val="editor_createlink_mouseover"/>
    <w:basedOn w:val="12"/>
    <w:qFormat/>
    <w:uiPriority w:val="0"/>
    <w:rPr>
      <w:rFonts w:eastAsia="宋体"/>
      <w:sz w:val="24"/>
      <w:szCs w:val="32"/>
    </w:rPr>
  </w:style>
  <w:style w:type="character" w:customStyle="1" w:styleId="32">
    <w:name w:val="页眉 Char Char"/>
    <w:qFormat/>
    <w:uiPriority w:val="0"/>
    <w:rPr>
      <w:rFonts w:cs="Times New Roman"/>
      <w:kern w:val="2"/>
      <w:sz w:val="18"/>
      <w:szCs w:val="18"/>
    </w:rPr>
  </w:style>
  <w:style w:type="character" w:customStyle="1" w:styleId="33">
    <w:name w:val="Plain Text Char1"/>
    <w:qFormat/>
    <w:uiPriority w:val="0"/>
    <w:rPr>
      <w:rFonts w:ascii="宋体" w:hAnsi="Courier New" w:cs="Courier New"/>
      <w:szCs w:val="21"/>
    </w:rPr>
  </w:style>
  <w:style w:type="character" w:customStyle="1" w:styleId="34">
    <w:name w:val="editor_createlink"/>
    <w:basedOn w:val="12"/>
    <w:qFormat/>
    <w:uiPriority w:val="0"/>
    <w:rPr>
      <w:rFonts w:eastAsia="宋体"/>
      <w:sz w:val="24"/>
      <w:szCs w:val="32"/>
    </w:rPr>
  </w:style>
  <w:style w:type="character" w:customStyle="1" w:styleId="35">
    <w:name w:val="页脚 Char"/>
    <w:link w:val="8"/>
    <w:qFormat/>
    <w:uiPriority w:val="0"/>
    <w:rPr>
      <w:rFonts w:eastAsia="宋体"/>
      <w:kern w:val="2"/>
      <w:sz w:val="18"/>
      <w:szCs w:val="18"/>
      <w:lang w:val="en-US" w:eastAsia="zh-CN" w:bidi="ar-SA"/>
    </w:rPr>
  </w:style>
  <w:style w:type="character" w:customStyle="1" w:styleId="36">
    <w:name w:val="editor_quote_disabled"/>
    <w:basedOn w:val="12"/>
    <w:qFormat/>
    <w:uiPriority w:val="0"/>
    <w:rPr>
      <w:rFonts w:eastAsia="宋体"/>
      <w:sz w:val="24"/>
      <w:szCs w:val="32"/>
    </w:rPr>
  </w:style>
  <w:style w:type="character" w:customStyle="1" w:styleId="37">
    <w:name w:val="editor_createlink_active"/>
    <w:basedOn w:val="12"/>
    <w:qFormat/>
    <w:uiPriority w:val="0"/>
    <w:rPr>
      <w:rFonts w:eastAsia="宋体"/>
      <w:sz w:val="24"/>
      <w:szCs w:val="32"/>
    </w:rPr>
  </w:style>
  <w:style w:type="character" w:customStyle="1" w:styleId="38">
    <w:name w:val="editor_quote_mouseover"/>
    <w:basedOn w:val="12"/>
    <w:qFormat/>
    <w:uiPriority w:val="0"/>
    <w:rPr>
      <w:rFonts w:eastAsia="宋体"/>
      <w:sz w:val="24"/>
      <w:szCs w:val="32"/>
    </w:rPr>
  </w:style>
  <w:style w:type="character" w:customStyle="1" w:styleId="39">
    <w:name w:val="editor_quote_active"/>
    <w:basedOn w:val="12"/>
    <w:qFormat/>
    <w:uiPriority w:val="0"/>
    <w:rPr>
      <w:rFonts w:eastAsia="宋体"/>
      <w:sz w:val="24"/>
      <w:szCs w:val="32"/>
    </w:rPr>
  </w:style>
  <w:style w:type="character" w:customStyle="1" w:styleId="40">
    <w:name w:val="纯文本 Char"/>
    <w:link w:val="5"/>
    <w:qFormat/>
    <w:uiPriority w:val="0"/>
    <w:rPr>
      <w:rFonts w:ascii="宋体" w:hAnsi="Courier New" w:eastAsia="宋体" w:cs="Courier New"/>
      <w:kern w:val="2"/>
      <w:sz w:val="21"/>
      <w:szCs w:val="21"/>
      <w:lang w:val="en-US" w:eastAsia="zh-CN" w:bidi="ar-SA"/>
    </w:rPr>
  </w:style>
  <w:style w:type="character" w:customStyle="1" w:styleId="41">
    <w:name w:val="editor_createlink_disabled"/>
    <w:basedOn w:val="12"/>
    <w:qFormat/>
    <w:uiPriority w:val="0"/>
    <w:rPr>
      <w:rFonts w:eastAsia="宋体"/>
      <w:sz w:val="24"/>
      <w:szCs w:val="32"/>
    </w:rPr>
  </w:style>
  <w:style w:type="paragraph" w:customStyle="1" w:styleId="42">
    <w:name w:val="p0"/>
    <w:basedOn w:val="1"/>
    <w:qFormat/>
    <w:uiPriority w:val="0"/>
    <w:pPr>
      <w:widowControl/>
    </w:pPr>
    <w:rPr>
      <w:rFonts w:ascii="Calibri" w:hAnsi="Calibri" w:cs="宋体"/>
      <w:kern w:val="0"/>
      <w:szCs w:val="21"/>
    </w:rPr>
  </w:style>
  <w:style w:type="character" w:customStyle="1" w:styleId="43">
    <w:name w:val="font21"/>
    <w:qFormat/>
    <w:uiPriority w:val="0"/>
    <w:rPr>
      <w:rFonts w:ascii="宋体" w:hAnsi="宋体" w:eastAsia="宋体"/>
      <w:color w:val="000000"/>
      <w:sz w:val="21"/>
      <w:u w:val="none"/>
    </w:rPr>
  </w:style>
  <w:style w:type="character" w:customStyle="1" w:styleId="44">
    <w:name w:val="checkbox6"/>
    <w:basedOn w:val="12"/>
    <w:qFormat/>
    <w:uiPriority w:val="0"/>
  </w:style>
  <w:style w:type="character" w:customStyle="1" w:styleId="45">
    <w:name w:val="ui-jqgrid-resize"/>
    <w:basedOn w:val="12"/>
    <w:qFormat/>
    <w:uiPriority w:val="0"/>
  </w:style>
  <w:style w:type="character" w:customStyle="1" w:styleId="46">
    <w:name w:val="ui-jqgrid-resize1"/>
    <w:basedOn w:val="12"/>
    <w:qFormat/>
    <w:uiPriority w:val="0"/>
  </w:style>
  <w:style w:type="character" w:customStyle="1" w:styleId="47">
    <w:name w:val="active2"/>
    <w:basedOn w:val="12"/>
    <w:qFormat/>
    <w:uiPriority w:val="0"/>
    <w:rPr>
      <w:shd w:val="clear" w:fill="3598DB"/>
    </w:rPr>
  </w:style>
  <w:style w:type="character" w:customStyle="1" w:styleId="48">
    <w:name w:val="input-icon2"/>
    <w:basedOn w:val="12"/>
    <w:qFormat/>
    <w:uiPriority w:val="0"/>
  </w:style>
  <w:style w:type="character" w:customStyle="1" w:styleId="49">
    <w:name w:val="layui-layer-tabnow"/>
    <w:basedOn w:val="12"/>
    <w:qFormat/>
    <w:uiPriority w:val="0"/>
    <w:rPr>
      <w:bdr w:val="single" w:color="CCCCCC" w:sz="6" w:space="0"/>
      <w:shd w:val="clear" w:fill="FFFFFF"/>
    </w:rPr>
  </w:style>
  <w:style w:type="character" w:customStyle="1" w:styleId="50">
    <w:name w:val="first-child2"/>
    <w:basedOn w:val="12"/>
    <w:qFormat/>
    <w:uiPriority w:val="0"/>
  </w:style>
  <w:style w:type="character" w:customStyle="1" w:styleId="51">
    <w:name w:val="before"/>
    <w:basedOn w:val="12"/>
    <w:qFormat/>
    <w:uiPriority w:val="0"/>
    <w:rPr>
      <w:rFonts w:hint="default" w:ascii="FontAwesome" w:hAnsi="FontAwesome" w:eastAsia="FontAwesome" w:cs="FontAwesome"/>
      <w:color w:val="888888"/>
      <w:sz w:val="18"/>
      <w:szCs w:val="18"/>
    </w:rPr>
  </w:style>
  <w:style w:type="character" w:customStyle="1" w:styleId="52">
    <w:name w:val="before1"/>
    <w:basedOn w:val="12"/>
    <w:qFormat/>
    <w:uiPriority w:val="0"/>
    <w:rPr>
      <w:rFonts w:hint="default" w:ascii="FontAwesome" w:hAnsi="FontAwesome" w:eastAsia="FontAwesome" w:cs="FontAwesome"/>
      <w:color w:val="888888"/>
      <w:sz w:val="18"/>
      <w:szCs w:val="18"/>
    </w:rPr>
  </w:style>
  <w:style w:type="character" w:customStyle="1" w:styleId="53">
    <w:name w:val="ui-icon10"/>
    <w:basedOn w:val="12"/>
    <w:qFormat/>
    <w:uiPriority w:val="0"/>
  </w:style>
  <w:style w:type="character" w:customStyle="1" w:styleId="54">
    <w:name w:val="active"/>
    <w:basedOn w:val="12"/>
    <w:qFormat/>
    <w:uiPriority w:val="0"/>
    <w:rPr>
      <w:shd w:val="clear" w:fill="3598DB"/>
    </w:rPr>
  </w:style>
  <w:style w:type="character" w:customStyle="1" w:styleId="55">
    <w:name w:val="checkbox"/>
    <w:basedOn w:val="12"/>
    <w:qFormat/>
    <w:uiPriority w:val="0"/>
  </w:style>
  <w:style w:type="character" w:customStyle="1" w:styleId="56">
    <w:name w:val="input-icon"/>
    <w:basedOn w:val="12"/>
    <w:qFormat/>
    <w:uiPriority w:val="0"/>
  </w:style>
  <w:style w:type="character" w:customStyle="1" w:styleId="57">
    <w:name w:val="checkbox5"/>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22</Pages>
  <Words>4242</Words>
  <Characters>2677</Characters>
  <Lines>22</Lines>
  <Paragraphs>13</Paragraphs>
  <TotalTime>17</TotalTime>
  <ScaleCrop>false</ScaleCrop>
  <LinksUpToDate>false</LinksUpToDate>
  <CharactersWithSpaces>6906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2018-03-13T13:01:00Z</dcterms:created>
  <dc:creator>覃小柏</dc:creator>
  <cp:lastModifiedBy>lenovo</cp:lastModifiedBy>
  <dcterms:modified xsi:type="dcterms:W3CDTF">2021-01-25T07:28:47Z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