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bookmarkStart w:id="2" w:name="_GoBack"/>
      <w:bookmarkEnd w:id="2"/>
    </w:p>
    <w:p/>
    <w:p/>
    <w:p>
      <w:pPr>
        <w:adjustRightInd w:val="0"/>
        <w:snapToGrid w:val="0"/>
        <w:spacing w:line="600" w:lineRule="exact"/>
        <w:jc w:val="center"/>
        <w:rPr>
          <w:b/>
          <w:w w:val="60"/>
          <w:sz w:val="106"/>
          <w:szCs w:val="106"/>
        </w:rPr>
      </w:pPr>
      <w:r>
        <w:pict>
          <v:shape id="_x0000_s2050" o:spid="_x0000_s2050" o:spt="136" type="#_x0000_t136" style="position:absolute;left:0pt;margin-left:92.15pt;margin-top:100.4pt;height:53.85pt;width:411pt;mso-position-horizontal-relative:page;mso-position-vertical-relative:margin;z-index:251659264;mso-width-relative:page;mso-height-relative:page;" fillcolor="#FF0000" filled="t" stroked="f" coordsize="21600,21600">
            <v:path/>
            <v:fill on="t" focussize="0,0"/>
            <v:stroke on="f" color="#FF0000"/>
            <v:imagedata o:title=""/>
            <o:lock v:ext="edit"/>
            <v:textpath on="t" fitshape="t" fitpath="t" trim="t" xscale="f" string="重庆市市场监督管理局办公室" style="font-family:方正小标宋_GBK;font-size:36pt;font-weight:bold;v-text-align:center;"/>
          </v:shape>
        </w:pict>
      </w:r>
    </w:p>
    <w:p>
      <w:pPr>
        <w:spacing w:line="600" w:lineRule="exact"/>
      </w:pPr>
    </w:p>
    <w:p>
      <w:pPr>
        <w:jc w:val="center"/>
        <w:rPr>
          <w:rFonts w:ascii="方正仿宋_GBK"/>
        </w:rPr>
      </w:pPr>
    </w:p>
    <w:p>
      <w:pPr>
        <w:jc w:val="center"/>
        <w:rPr>
          <w:rFonts w:ascii="方正仿宋_GBK"/>
        </w:rPr>
      </w:pPr>
    </w:p>
    <w:p>
      <w:pPr>
        <w:jc w:val="center"/>
      </w:pPr>
      <w:r>
        <w:pict>
          <v:line id="_x0000_s2051" o:spid="_x0000_s2051" o:spt="20" style="position:absolute;left:0pt;margin-left:76.55pt;margin-top:232.75pt;height:0pt;width:442.2pt;mso-position-horizontal-relative:page;mso-position-vertical-relative:margin;z-index:251658240;mso-width-relative:page;mso-height-relative:page;" filled="f" stroked="t" coordsize="21600,21600" o:gfxdata="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BYAAABkcnMvUEsBAhQAFAAAAAgAh07iQO0JBU7YAAAADAEAAA8AAAAA&#10;AAAAAQAgAAAAOAAAAGRycy9kb3ducmV2LnhtbFBLAQIUABQAAAAIAIdO4kCoa7FpxQEAAIIDAAAO&#10;AAAAAAAAAAEAIAAAAD0BAABkcnMvZTJvRG9jLnhtbFBLBQYAAAAABgAGAFkBAAB0BQAAAAA=&#10;">
            <v:path arrowok="t"/>
            <v:fill on="f" focussize="0,0"/>
            <v:stroke weight="1.75pt" color="#FF0000" joinstyle="round"/>
            <v:imagedata o:title=""/>
            <o:lock v:ext="edit" aspectratio="f"/>
          </v:line>
        </w:pict>
      </w:r>
      <w:r>
        <w:rPr>
          <w:rFonts w:hint="eastAsia"/>
          <w:lang w:eastAsia="zh-CN"/>
        </w:rPr>
        <w:t>渝市监办发</w:t>
      </w:r>
      <w:r>
        <w:rPr>
          <w:color w:val="000000"/>
        </w:rPr>
        <w:t>〔</w:t>
      </w:r>
      <w:r>
        <w:rPr>
          <w:rFonts w:hint="eastAsia"/>
          <w:color w:val="000000"/>
          <w:lang w:eastAsia="zh-CN"/>
        </w:rPr>
        <w:t>2022</w:t>
      </w:r>
      <w:r>
        <w:rPr>
          <w:color w:val="000000"/>
        </w:rPr>
        <w:t>〕</w:t>
      </w:r>
      <w:r>
        <w:rPr>
          <w:rFonts w:hint="eastAsia"/>
          <w:color w:val="000000"/>
          <w:lang w:eastAsia="zh-CN"/>
        </w:rPr>
        <w:t>19</w:t>
      </w:r>
      <w:r>
        <w:rPr>
          <w:color w:val="000000"/>
        </w:rPr>
        <w:t>号</w:t>
      </w:r>
    </w:p>
    <w:p>
      <w:pPr>
        <w:keepNext w:val="0"/>
        <w:keepLines w:val="0"/>
        <w:pageBreakBefore w:val="0"/>
        <w:widowControl w:val="0"/>
        <w:tabs>
          <w:tab w:val="left" w:pos="3792"/>
        </w:tabs>
        <w:kinsoku/>
        <w:wordWrap/>
        <w:overflowPunct/>
        <w:topLinePunct w:val="0"/>
        <w:autoSpaceDE/>
        <w:autoSpaceDN/>
        <w:bidi w:val="0"/>
        <w:snapToGrid/>
        <w:spacing w:line="240" w:lineRule="auto"/>
        <w:ind w:left="0" w:leftChars="0" w:right="0" w:rightChars="0" w:firstLine="0" w:firstLineChars="0"/>
        <w:outlineLvl w:val="9"/>
        <w:rPr>
          <w:sz w:val="32"/>
          <w:szCs w:val="32"/>
        </w:rPr>
      </w:pPr>
      <w:bookmarkStart w:id="0" w:name="zw"/>
      <w:bookmarkEnd w:id="0"/>
    </w:p>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firstLine="0" w:firstLineChars="0"/>
        <w:jc w:val="center"/>
        <w:textAlignment w:val="baseline"/>
        <w:outlineLvl w:val="9"/>
        <w:rPr>
          <w:rFonts w:eastAsia="方正小标宋_GBK"/>
          <w:sz w:val="32"/>
          <w:szCs w:val="32"/>
        </w:rPr>
      </w:pPr>
    </w:p>
    <w:p>
      <w:pPr>
        <w:keepNext w:val="0"/>
        <w:keepLines w:val="0"/>
        <w:pageBreakBefore w:val="0"/>
        <w:widowControl w:val="0"/>
        <w:kinsoku/>
        <w:wordWrap/>
        <w:overflowPunct/>
        <w:topLinePunct w:val="0"/>
        <w:autoSpaceDE/>
        <w:autoSpaceDN/>
        <w:bidi w:val="0"/>
        <w:adjustRightInd w:val="0"/>
        <w:snapToGrid w:val="0"/>
        <w:spacing w:line="720" w:lineRule="atLeast"/>
        <w:ind w:left="0" w:leftChars="0" w:right="0" w:rightChars="0" w:firstLine="0" w:firstLineChars="0"/>
        <w:jc w:val="center"/>
        <w:textAlignment w:val="baseline"/>
        <w:outlineLvl w:val="9"/>
        <w:rPr>
          <w:rFonts w:eastAsia="方正小标宋_GBK"/>
          <w:sz w:val="44"/>
          <w:szCs w:val="44"/>
        </w:rPr>
      </w:pPr>
      <w:r>
        <w:rPr>
          <w:rFonts w:eastAsia="方正小标宋_GBK"/>
          <w:sz w:val="44"/>
          <w:szCs w:val="44"/>
        </w:rPr>
        <w:t>重庆市市场监督管理局办公室</w:t>
      </w:r>
    </w:p>
    <w:p>
      <w:pPr>
        <w:keepNext w:val="0"/>
        <w:keepLines w:val="0"/>
        <w:pageBreakBefore w:val="0"/>
        <w:widowControl w:val="0"/>
        <w:kinsoku/>
        <w:wordWrap/>
        <w:overflowPunct/>
        <w:topLinePunct w:val="0"/>
        <w:autoSpaceDE/>
        <w:autoSpaceDN/>
        <w:bidi w:val="0"/>
        <w:adjustRightInd w:val="0"/>
        <w:snapToGrid w:val="0"/>
        <w:spacing w:line="720" w:lineRule="atLeast"/>
        <w:ind w:left="0" w:leftChars="0" w:right="0" w:rightChars="0" w:firstLine="0" w:firstLineChars="0"/>
        <w:jc w:val="center"/>
        <w:textAlignment w:val="baseline"/>
        <w:outlineLvl w:val="9"/>
        <w:rPr>
          <w:rFonts w:eastAsia="方正小标宋_GBK"/>
          <w:sz w:val="44"/>
          <w:szCs w:val="44"/>
        </w:rPr>
      </w:pPr>
      <w:r>
        <w:rPr>
          <w:rFonts w:eastAsia="方正小标宋_GBK"/>
          <w:sz w:val="44"/>
          <w:szCs w:val="44"/>
        </w:rPr>
        <w:t>关于印发2022年度</w:t>
      </w:r>
      <w:r>
        <w:rPr>
          <w:rFonts w:hint="eastAsia" w:eastAsia="方正小标宋_GBK"/>
          <w:sz w:val="44"/>
          <w:szCs w:val="44"/>
        </w:rPr>
        <w:t>“</w:t>
      </w:r>
      <w:r>
        <w:rPr>
          <w:rFonts w:eastAsia="方正小标宋_GBK"/>
          <w:sz w:val="44"/>
          <w:szCs w:val="44"/>
        </w:rPr>
        <w:t>双随机、一公开</w:t>
      </w:r>
      <w:r>
        <w:rPr>
          <w:rFonts w:hint="eastAsia" w:eastAsia="方正小标宋_GBK"/>
          <w:sz w:val="44"/>
          <w:szCs w:val="44"/>
        </w:rPr>
        <w:t>”</w:t>
      </w:r>
      <w:r>
        <w:rPr>
          <w:rFonts w:eastAsia="方正小标宋_GBK"/>
          <w:sz w:val="44"/>
          <w:szCs w:val="44"/>
        </w:rPr>
        <w:t xml:space="preserve"> </w:t>
      </w:r>
    </w:p>
    <w:p>
      <w:pPr>
        <w:keepNext w:val="0"/>
        <w:keepLines w:val="0"/>
        <w:pageBreakBefore w:val="0"/>
        <w:widowControl w:val="0"/>
        <w:kinsoku/>
        <w:wordWrap/>
        <w:overflowPunct/>
        <w:topLinePunct w:val="0"/>
        <w:autoSpaceDE/>
        <w:autoSpaceDN/>
        <w:bidi w:val="0"/>
        <w:adjustRightInd w:val="0"/>
        <w:snapToGrid w:val="0"/>
        <w:spacing w:line="720" w:lineRule="atLeast"/>
        <w:ind w:left="0" w:leftChars="0" w:right="0" w:rightChars="0" w:firstLine="0" w:firstLineChars="0"/>
        <w:jc w:val="center"/>
        <w:textAlignment w:val="baseline"/>
        <w:outlineLvl w:val="9"/>
        <w:rPr>
          <w:rFonts w:eastAsia="方正小标宋_GBK"/>
          <w:sz w:val="44"/>
          <w:szCs w:val="44"/>
        </w:rPr>
      </w:pPr>
      <w:r>
        <w:rPr>
          <w:rFonts w:eastAsia="方正小标宋_GBK"/>
          <w:sz w:val="44"/>
          <w:szCs w:val="44"/>
        </w:rPr>
        <w:t>抽查工作计划的通知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outlineLvl w:val="9"/>
        <w:rPr>
          <w:szCs w:val="32"/>
        </w:rPr>
      </w:pPr>
      <w:bookmarkStart w:id="1" w:name="OLE_LINK3"/>
      <w:r>
        <w:rPr>
          <w:szCs w:val="32"/>
        </w:rPr>
        <w:t>市知识产权局</w:t>
      </w:r>
      <w:bookmarkEnd w:id="1"/>
      <w:r>
        <w:rPr>
          <w:szCs w:val="32"/>
        </w:rPr>
        <w:t>，各区县局，市局</w:t>
      </w:r>
      <w:r>
        <w:rPr>
          <w:rFonts w:hint="eastAsia"/>
          <w:szCs w:val="32"/>
        </w:rPr>
        <w:t>有关</w:t>
      </w:r>
      <w:r>
        <w:rPr>
          <w:szCs w:val="32"/>
        </w:rPr>
        <w:t>处室、直属单位：</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szCs w:val="32"/>
        </w:rPr>
      </w:pPr>
      <w:r>
        <w:rPr>
          <w:snapToGrid w:val="0"/>
          <w:color w:val="000000"/>
          <w:szCs w:val="32"/>
        </w:rPr>
        <w:t>按照市场监管总局《关于全面推进</w:t>
      </w:r>
      <w:r>
        <w:rPr>
          <w:rFonts w:hint="eastAsia"/>
          <w:snapToGrid w:val="0"/>
          <w:color w:val="000000"/>
          <w:szCs w:val="32"/>
        </w:rPr>
        <w:t>“</w:t>
      </w:r>
      <w:r>
        <w:rPr>
          <w:snapToGrid w:val="0"/>
          <w:color w:val="000000"/>
          <w:szCs w:val="32"/>
        </w:rPr>
        <w:t>双随机、一公开</w:t>
      </w:r>
      <w:r>
        <w:rPr>
          <w:rFonts w:hint="eastAsia"/>
          <w:snapToGrid w:val="0"/>
          <w:color w:val="000000"/>
          <w:szCs w:val="32"/>
        </w:rPr>
        <w:t>”</w:t>
      </w:r>
      <w:r>
        <w:rPr>
          <w:snapToGrid w:val="0"/>
          <w:color w:val="000000"/>
          <w:szCs w:val="32"/>
        </w:rPr>
        <w:t>监管工作的通知》要</w:t>
      </w:r>
      <w:r>
        <w:rPr>
          <w:szCs w:val="32"/>
        </w:rPr>
        <w:t>求，市局制定《2022年度</w:t>
      </w:r>
      <w:r>
        <w:rPr>
          <w:rFonts w:hint="eastAsia"/>
          <w:szCs w:val="32"/>
        </w:rPr>
        <w:t>“</w:t>
      </w:r>
      <w:r>
        <w:rPr>
          <w:szCs w:val="32"/>
        </w:rPr>
        <w:t>双随机、一公开</w:t>
      </w:r>
      <w:r>
        <w:rPr>
          <w:rFonts w:hint="eastAsia"/>
          <w:szCs w:val="32"/>
        </w:rPr>
        <w:t>”</w:t>
      </w:r>
      <w:r>
        <w:rPr>
          <w:szCs w:val="32"/>
        </w:rPr>
        <w:t>抽查工作计划》（以下简称</w:t>
      </w:r>
      <w:r>
        <w:rPr>
          <w:rFonts w:hint="eastAsia"/>
          <w:szCs w:val="32"/>
        </w:rPr>
        <w:t>“</w:t>
      </w:r>
      <w:r>
        <w:rPr>
          <w:szCs w:val="32"/>
        </w:rPr>
        <w:t>计划</w:t>
      </w:r>
      <w:r>
        <w:rPr>
          <w:rFonts w:hint="eastAsia"/>
          <w:szCs w:val="32"/>
        </w:rPr>
        <w:t>”</w:t>
      </w:r>
      <w:r>
        <w:rPr>
          <w:szCs w:val="32"/>
        </w:rPr>
        <w:t>），已经市局2022年</w:t>
      </w:r>
      <w:r>
        <w:rPr>
          <w:rFonts w:hint="eastAsia"/>
          <w:szCs w:val="32"/>
        </w:rPr>
        <w:t>度</w:t>
      </w:r>
      <w:r>
        <w:rPr>
          <w:szCs w:val="32"/>
        </w:rPr>
        <w:t>第2次局长办公会审议通过。现印发你们，请按照以下工作要求，认真贯彻落实。</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szCs w:val="32"/>
          <w:lang w:val="zh-TW"/>
        </w:rPr>
      </w:pPr>
      <w:r>
        <w:rPr>
          <w:rFonts w:eastAsia="方正黑体_GBK"/>
        </w:rPr>
        <w:t>一、加快计划任务推进。</w:t>
      </w:r>
      <w:r>
        <w:rPr>
          <w:color w:val="000000"/>
          <w:szCs w:val="32"/>
        </w:rPr>
        <w:t>各单位要按照计划及</w:t>
      </w:r>
      <w:r>
        <w:rPr>
          <w:szCs w:val="32"/>
          <w:lang w:val="zh-TW"/>
        </w:rPr>
        <w:t>《重庆市市场监督管理局</w:t>
      </w:r>
      <w:r>
        <w:rPr>
          <w:rFonts w:hint="eastAsia"/>
          <w:szCs w:val="32"/>
          <w:lang w:val="zh-TW"/>
        </w:rPr>
        <w:t>“</w:t>
      </w:r>
      <w:r>
        <w:rPr>
          <w:szCs w:val="32"/>
          <w:lang w:val="zh-TW"/>
        </w:rPr>
        <w:t>双随机、一公开</w:t>
      </w:r>
      <w:r>
        <w:rPr>
          <w:rFonts w:hint="eastAsia"/>
          <w:szCs w:val="32"/>
          <w:lang w:val="zh-TW"/>
        </w:rPr>
        <w:t>”</w:t>
      </w:r>
      <w:r>
        <w:rPr>
          <w:szCs w:val="32"/>
          <w:lang w:val="zh-TW"/>
        </w:rPr>
        <w:t>监管实施办法》</w:t>
      </w:r>
      <w:r>
        <w:rPr>
          <w:color w:val="000000"/>
          <w:szCs w:val="32"/>
        </w:rPr>
        <w:t>制定工作方案，明确抽查对象数量、检查内容、检查方式、时间节点和工作要求等，抓紧计划实施。</w:t>
      </w:r>
      <w:r>
        <w:rPr>
          <w:color w:val="000000"/>
          <w:szCs w:val="32"/>
          <w:lang w:val="zh-TW"/>
        </w:rPr>
        <w:t>由区县局或委托</w:t>
      </w:r>
      <w:r>
        <w:rPr>
          <w:color w:val="000000"/>
          <w:szCs w:val="32"/>
        </w:rPr>
        <w:t>第三方机构实施的，相关处室要加强工作统筹、跟踪指导和督查考核，掌握工作进度和质量，确保计划全面、按时、优质完成</w:t>
      </w:r>
      <w:r>
        <w:rPr>
          <w:szCs w:val="32"/>
          <w:lang w:val="zh-TW"/>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color w:val="000000"/>
          <w:szCs w:val="32"/>
        </w:rPr>
      </w:pPr>
      <w:r>
        <w:rPr>
          <w:rFonts w:eastAsia="方正黑体_GBK"/>
        </w:rPr>
        <w:t>二、加强分级分类管理。</w:t>
      </w:r>
      <w:r>
        <w:rPr>
          <w:color w:val="000000"/>
          <w:szCs w:val="32"/>
        </w:rPr>
        <w:t>各单位要全面贯彻落实市场监管总局《关于推进企业信用风险分类管理进一步提升监管效能的意见》、市政府《重庆市营商环境创新试点实施方案》要求，推进</w:t>
      </w:r>
      <w:r>
        <w:rPr>
          <w:rFonts w:hint="eastAsia"/>
          <w:color w:val="000000"/>
          <w:szCs w:val="32"/>
        </w:rPr>
        <w:t>“</w:t>
      </w:r>
      <w:r>
        <w:rPr>
          <w:color w:val="000000"/>
          <w:szCs w:val="32"/>
        </w:rPr>
        <w:t>双随机、一公开</w:t>
      </w:r>
      <w:r>
        <w:rPr>
          <w:rFonts w:hint="eastAsia"/>
          <w:color w:val="000000"/>
          <w:szCs w:val="32"/>
        </w:rPr>
        <w:t>”</w:t>
      </w:r>
      <w:r>
        <w:rPr>
          <w:color w:val="000000"/>
          <w:szCs w:val="32"/>
        </w:rPr>
        <w:t>监管和信用监管深度融合，探索按风险分级分类</w:t>
      </w:r>
      <w:r>
        <w:rPr>
          <w:color w:val="000000"/>
          <w:spacing w:val="-6"/>
          <w:szCs w:val="32"/>
        </w:rPr>
        <w:t>管理模式并在计划实施中应用，提高计划精准性和监管问题发现率</w:t>
      </w:r>
      <w:r>
        <w:rPr>
          <w:color w:val="000000"/>
          <w:szCs w:val="32"/>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eastAsia="方正黑体_GBK"/>
        </w:rPr>
      </w:pPr>
      <w:r>
        <w:rPr>
          <w:rFonts w:eastAsia="方正黑体_GBK"/>
        </w:rPr>
        <w:t>三、加速工作基础优化。</w:t>
      </w:r>
      <w:r>
        <w:rPr>
          <w:szCs w:val="32"/>
        </w:rPr>
        <w:t>各单位要</w:t>
      </w:r>
      <w:r>
        <w:rPr>
          <w:color w:val="000000"/>
          <w:kern w:val="0"/>
          <w:szCs w:val="32"/>
        </w:rPr>
        <w:t>根据政策变化和上级工作新动向、新要求，及时</w:t>
      </w:r>
      <w:r>
        <w:rPr>
          <w:szCs w:val="32"/>
        </w:rPr>
        <w:t>修订抽查</w:t>
      </w:r>
      <w:r>
        <w:rPr>
          <w:color w:val="000000"/>
          <w:kern w:val="0"/>
          <w:szCs w:val="32"/>
        </w:rPr>
        <w:t>计划和</w:t>
      </w:r>
      <w:r>
        <w:rPr>
          <w:szCs w:val="32"/>
        </w:rPr>
        <w:t>《抽查工作指引（试行）》。加强</w:t>
      </w:r>
      <w:r>
        <w:rPr>
          <w:rFonts w:hint="eastAsia"/>
          <w:szCs w:val="32"/>
        </w:rPr>
        <w:t>“</w:t>
      </w:r>
      <w:r>
        <w:rPr>
          <w:szCs w:val="32"/>
        </w:rPr>
        <w:t>两库</w:t>
      </w:r>
      <w:r>
        <w:rPr>
          <w:rFonts w:hint="eastAsia"/>
          <w:szCs w:val="32"/>
        </w:rPr>
        <w:t>”</w:t>
      </w:r>
      <w:r>
        <w:rPr>
          <w:szCs w:val="32"/>
        </w:rPr>
        <w:t>数据</w:t>
      </w:r>
      <w:r>
        <w:rPr>
          <w:rFonts w:hint="eastAsia"/>
          <w:szCs w:val="32"/>
        </w:rPr>
        <w:t>“</w:t>
      </w:r>
      <w:r>
        <w:rPr>
          <w:szCs w:val="32"/>
        </w:rPr>
        <w:t>清洗</w:t>
      </w:r>
      <w:r>
        <w:rPr>
          <w:rFonts w:hint="eastAsia"/>
          <w:szCs w:val="32"/>
        </w:rPr>
        <w:t>”</w:t>
      </w:r>
      <w:r>
        <w:rPr>
          <w:szCs w:val="32"/>
        </w:rPr>
        <w:t>和动态管理，做好检查对象名录库分领域、分级、分类管理，开展执法检查人员名录库执法资质和专业特长标注</w:t>
      </w:r>
      <w:r>
        <w:rPr>
          <w:rFonts w:hint="eastAsia"/>
          <w:szCs w:val="32"/>
        </w:rPr>
        <w:t>“</w:t>
      </w:r>
      <w:r>
        <w:rPr>
          <w:szCs w:val="32"/>
        </w:rPr>
        <w:t>回头看</w:t>
      </w:r>
      <w:r>
        <w:rPr>
          <w:rFonts w:hint="eastAsia"/>
          <w:szCs w:val="32"/>
        </w:rPr>
        <w:t>”</w:t>
      </w:r>
      <w:r>
        <w:rPr>
          <w:szCs w:val="32"/>
        </w:rPr>
        <w:t>，持续充实</w:t>
      </w:r>
      <w:r>
        <w:rPr>
          <w:rFonts w:hint="eastAsia"/>
          <w:szCs w:val="32"/>
        </w:rPr>
        <w:t>“</w:t>
      </w:r>
      <w:r>
        <w:rPr>
          <w:szCs w:val="32"/>
        </w:rPr>
        <w:t>专家库</w:t>
      </w:r>
      <w:r>
        <w:rPr>
          <w:rFonts w:hint="eastAsia"/>
          <w:szCs w:val="32"/>
        </w:rPr>
        <w:t>”</w:t>
      </w:r>
      <w:r>
        <w:rPr>
          <w:szCs w:val="32"/>
        </w:rPr>
        <w:t>，为开展抽查工作奠定坚实基础。</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color w:val="000000"/>
          <w:szCs w:val="32"/>
        </w:rPr>
      </w:pPr>
      <w:r>
        <w:rPr>
          <w:rFonts w:eastAsia="方正黑体_GBK"/>
        </w:rPr>
        <w:t>四、加大抽查成果运用。</w:t>
      </w:r>
      <w:r>
        <w:rPr>
          <w:color w:val="000000"/>
          <w:szCs w:val="32"/>
        </w:rPr>
        <w:t>各单位要严格落实检查结果</w:t>
      </w:r>
      <w:r>
        <w:rPr>
          <w:rFonts w:hint="eastAsia"/>
          <w:color w:val="000000"/>
          <w:szCs w:val="32"/>
        </w:rPr>
        <w:t>“</w:t>
      </w:r>
      <w:r>
        <w:rPr>
          <w:color w:val="000000"/>
          <w:szCs w:val="32"/>
        </w:rPr>
        <w:t>及时、全面、规范</w:t>
      </w:r>
      <w:r>
        <w:rPr>
          <w:rFonts w:hint="eastAsia"/>
          <w:color w:val="000000"/>
          <w:szCs w:val="32"/>
        </w:rPr>
        <w:t>”</w:t>
      </w:r>
      <w:r>
        <w:rPr>
          <w:color w:val="000000"/>
          <w:szCs w:val="32"/>
        </w:rPr>
        <w:t>公示要求，按照</w:t>
      </w:r>
      <w:r>
        <w:rPr>
          <w:rFonts w:hint="eastAsia"/>
          <w:color w:val="000000"/>
          <w:szCs w:val="32"/>
        </w:rPr>
        <w:t>“</w:t>
      </w:r>
      <w:r>
        <w:rPr>
          <w:color w:val="000000"/>
          <w:szCs w:val="32"/>
        </w:rPr>
        <w:t>谁检查、谁录入、谁公开</w:t>
      </w:r>
      <w:r>
        <w:rPr>
          <w:rFonts w:hint="eastAsia"/>
          <w:color w:val="000000"/>
          <w:szCs w:val="32"/>
        </w:rPr>
        <w:t>”</w:t>
      </w:r>
      <w:r>
        <w:rPr>
          <w:color w:val="000000"/>
          <w:szCs w:val="32"/>
        </w:rPr>
        <w:t>原则在抽查任务结束后20个工作日内通过国家企业信用信息公示系统进行公示，为企业信用风险分类提供</w:t>
      </w:r>
      <w:r>
        <w:t>支撑。要加强抽查结果分析研判，</w:t>
      </w:r>
      <w:r>
        <w:rPr>
          <w:color w:val="000000"/>
          <w:szCs w:val="32"/>
        </w:rPr>
        <w:t>找出风险，找到问题，找准症结并及时研究解决。要注意收集提炼工作成效和经验做法，不断提升监管效能。</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color w:val="000000"/>
          <w:szCs w:val="32"/>
        </w:rPr>
      </w:pPr>
      <w:r>
        <w:rPr>
          <w:color w:val="000000"/>
          <w:szCs w:val="32"/>
        </w:rPr>
        <w:t>附件：2022年度</w:t>
      </w:r>
      <w:r>
        <w:rPr>
          <w:rFonts w:hint="eastAsia"/>
          <w:color w:val="000000"/>
          <w:szCs w:val="32"/>
        </w:rPr>
        <w:t>“</w:t>
      </w:r>
      <w:r>
        <w:rPr>
          <w:color w:val="000000"/>
          <w:szCs w:val="32"/>
        </w:rPr>
        <w:t>双随机、一公开</w:t>
      </w:r>
      <w:r>
        <w:rPr>
          <w:rFonts w:hint="eastAsia"/>
          <w:color w:val="000000"/>
          <w:szCs w:val="32"/>
        </w:rPr>
        <w:t>”</w:t>
      </w:r>
      <w:r>
        <w:rPr>
          <w:color w:val="000000"/>
          <w:szCs w:val="32"/>
        </w:rPr>
        <w:t>抽查工作计划</w:t>
      </w:r>
      <w:r>
        <w:rPr>
          <w:szCs w:val="32"/>
        </w:rPr>
        <w:t xml:space="preserve">      </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3476" w:firstLineChars="1100"/>
        <w:jc w:val="both"/>
        <w:textAlignment w:val="auto"/>
        <w:outlineLvl w:val="9"/>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108" w:firstLineChars="1300"/>
        <w:jc w:val="both"/>
        <w:textAlignment w:val="auto"/>
        <w:outlineLvl w:val="9"/>
      </w:pPr>
      <w:r>
        <w:t>重庆市市场监督管理局办公室</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740" w:firstLineChars="1500"/>
        <w:jc w:val="both"/>
        <w:textAlignment w:val="auto"/>
        <w:outlineLvl w:val="9"/>
      </w:pPr>
      <w:r>
        <w:t>2022年</w:t>
      </w:r>
      <w:r>
        <w:rPr>
          <w:rFonts w:hint="eastAsia"/>
          <w:lang w:val="en-US" w:eastAsia="zh-CN"/>
        </w:rPr>
        <w:t>1</w:t>
      </w:r>
      <w:r>
        <w:t>月</w:t>
      </w:r>
      <w:r>
        <w:rPr>
          <w:rFonts w:hint="eastAsia"/>
          <w:lang w:val="en-US" w:eastAsia="zh-CN"/>
        </w:rPr>
        <w:t>28</w:t>
      </w:r>
      <w:r>
        <w:t>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szCs w:val="32"/>
        </w:rPr>
      </w:pPr>
      <w:r>
        <w:rPr>
          <w:kern w:val="30"/>
          <w:szCs w:val="32"/>
        </w:rPr>
        <w:t>（</w:t>
      </w:r>
      <w:r>
        <w:rPr>
          <w:szCs w:val="32"/>
        </w:rPr>
        <w:t>联系人：黄红武，联系电话：63712613、13608326365</w:t>
      </w:r>
      <w:r>
        <w:rPr>
          <w:rFonts w:hint="eastAsia"/>
          <w:szCs w:val="32"/>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212" w:firstLineChars="700"/>
        <w:jc w:val="both"/>
        <w:textAlignment w:val="auto"/>
        <w:outlineLvl w:val="9"/>
        <w:rPr>
          <w:kern w:val="30"/>
          <w:szCs w:val="32"/>
        </w:rPr>
      </w:pPr>
      <w:r>
        <w:rPr>
          <w:szCs w:val="32"/>
        </w:rPr>
        <w:t>黄腾飞，联系电话：63712613、13594256061</w:t>
      </w:r>
      <w:r>
        <w:rPr>
          <w:rFonts w:hint="eastAsia"/>
          <w:szCs w:val="32"/>
        </w:rPr>
        <w:t>。</w:t>
      </w:r>
      <w:r>
        <w:rPr>
          <w:kern w:val="30"/>
          <w:szCs w:val="32"/>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212" w:firstLineChars="700"/>
        <w:jc w:val="both"/>
        <w:textAlignment w:val="auto"/>
        <w:outlineLvl w:val="9"/>
        <w:rPr>
          <w:kern w:val="30"/>
          <w:szCs w:val="32"/>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212" w:firstLineChars="700"/>
        <w:jc w:val="both"/>
        <w:textAlignment w:val="auto"/>
        <w:outlineLvl w:val="9"/>
        <w:rPr>
          <w:kern w:val="30"/>
          <w:szCs w:val="32"/>
        </w:rPr>
        <w:sectPr>
          <w:footerReference r:id="rId3" w:type="default"/>
          <w:pgSz w:w="11906" w:h="16838"/>
          <w:pgMar w:top="2098" w:right="1531" w:bottom="1984" w:left="1531" w:header="851" w:footer="1417" w:gutter="0"/>
          <w:pgBorders>
            <w:top w:val="none" w:color="auto" w:sz="0" w:space="0"/>
            <w:left w:val="none" w:color="auto" w:sz="0" w:space="0"/>
            <w:bottom w:val="none" w:color="auto" w:sz="0" w:space="0"/>
            <w:right w:val="none" w:color="auto" w:sz="0" w:space="0"/>
          </w:pgBorders>
          <w:pgNumType w:fmt="decimal"/>
          <w:cols w:space="720" w:num="1"/>
          <w:rtlGutter w:val="0"/>
          <w:docGrid w:type="linesAndChars" w:linePitch="579" w:charSpace="-849"/>
        </w:sect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黑体_GBK" w:hAnsi="方正黑体_GBK" w:eastAsia="方正黑体_GBK" w:cs="方正黑体_GBK"/>
          <w:color w:val="000000"/>
          <w:kern w:val="0"/>
          <w:sz w:val="32"/>
          <w:szCs w:val="32"/>
        </w:rPr>
      </w:pPr>
      <w:r>
        <w:rPr>
          <w:rFonts w:hint="eastAsia" w:ascii="方正黑体_GBK" w:hAnsi="方正黑体_GBK" w:eastAsia="方正黑体_GBK" w:cs="方正黑体_GBK"/>
          <w:color w:val="000000"/>
          <w:kern w:val="0"/>
          <w:sz w:val="32"/>
          <w:szCs w:val="32"/>
        </w:rPr>
        <w:t>附件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黑体_GBK" w:hAnsi="方正黑体_GBK" w:eastAsia="方正黑体_GBK" w:cs="方正黑体_GBK"/>
          <w:color w:val="000000"/>
          <w:kern w:val="0"/>
          <w:sz w:val="32"/>
          <w:szCs w:val="32"/>
        </w:rPr>
      </w:pPr>
    </w:p>
    <w:p>
      <w:pPr>
        <w:keepNext w:val="0"/>
        <w:keepLines w:val="0"/>
        <w:pageBreakBefore w:val="0"/>
        <w:widowControl w:val="0"/>
        <w:kinsoku/>
        <w:wordWrap/>
        <w:overflowPunct/>
        <w:topLinePunct w:val="0"/>
        <w:autoSpaceDE/>
        <w:autoSpaceDN/>
        <w:bidi w:val="0"/>
        <w:adjustRightInd/>
        <w:snapToGrid w:val="0"/>
        <w:spacing w:line="720" w:lineRule="atLeast"/>
        <w:ind w:left="0" w:leftChars="0" w:right="0" w:rightChars="0" w:firstLine="0" w:firstLineChars="0"/>
        <w:jc w:val="center"/>
        <w:textAlignment w:val="auto"/>
        <w:outlineLvl w:val="9"/>
        <w:rPr>
          <w:sz w:val="44"/>
          <w:szCs w:val="44"/>
        </w:rPr>
      </w:pPr>
      <w:r>
        <w:rPr>
          <w:rFonts w:eastAsia="方正小标宋_GBK"/>
          <w:color w:val="000000"/>
          <w:kern w:val="0"/>
          <w:sz w:val="44"/>
          <w:szCs w:val="44"/>
        </w:rPr>
        <w:t>2022年度</w:t>
      </w:r>
      <w:r>
        <w:rPr>
          <w:rFonts w:hint="eastAsia" w:eastAsia="方正小标宋_GBK"/>
          <w:color w:val="000000"/>
          <w:kern w:val="0"/>
          <w:sz w:val="44"/>
          <w:szCs w:val="44"/>
        </w:rPr>
        <w:t>“</w:t>
      </w:r>
      <w:r>
        <w:rPr>
          <w:rFonts w:eastAsia="方正小标宋_GBK"/>
          <w:color w:val="000000"/>
          <w:kern w:val="0"/>
          <w:sz w:val="44"/>
          <w:szCs w:val="44"/>
        </w:rPr>
        <w:t>双随机、一公开</w:t>
      </w:r>
      <w:r>
        <w:rPr>
          <w:rFonts w:hint="eastAsia" w:eastAsia="方正小标宋_GBK"/>
          <w:color w:val="000000"/>
          <w:kern w:val="0"/>
          <w:sz w:val="44"/>
          <w:szCs w:val="44"/>
        </w:rPr>
        <w:t>”</w:t>
      </w:r>
      <w:r>
        <w:rPr>
          <w:rFonts w:eastAsia="方正小标宋_GBK"/>
          <w:color w:val="000000"/>
          <w:kern w:val="0"/>
          <w:sz w:val="44"/>
          <w:szCs w:val="44"/>
        </w:rPr>
        <w:t>抽查工作计划</w:t>
      </w:r>
    </w:p>
    <w:tbl>
      <w:tblPr>
        <w:tblStyle w:val="8"/>
        <w:tblW w:w="148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10"/>
        <w:gridCol w:w="2072"/>
        <w:gridCol w:w="3188"/>
        <w:gridCol w:w="931"/>
        <w:gridCol w:w="993"/>
        <w:gridCol w:w="1541"/>
        <w:gridCol w:w="872"/>
        <w:gridCol w:w="1170"/>
        <w:gridCol w:w="90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blHeader/>
          <w:jc w:val="center"/>
        </w:trPr>
        <w:tc>
          <w:tcPr>
            <w:tcW w:w="450"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序号</w:t>
            </w:r>
          </w:p>
        </w:tc>
        <w:tc>
          <w:tcPr>
            <w:tcW w:w="1110"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计划名称</w:t>
            </w:r>
          </w:p>
        </w:tc>
        <w:tc>
          <w:tcPr>
            <w:tcW w:w="2072" w:type="dxa"/>
            <w:tcBorders>
              <w:tl2br w:val="nil"/>
              <w:tr2bl w:val="nil"/>
            </w:tcBorders>
            <w:vAlign w:val="center"/>
          </w:tcPr>
          <w:p>
            <w:pPr>
              <w:widowControl/>
              <w:spacing w:line="240" w:lineRule="exact"/>
              <w:jc w:val="center"/>
              <w:rPr>
                <w:rFonts w:eastAsia="方正黑体_GBK"/>
                <w:kern w:val="0"/>
                <w:sz w:val="21"/>
                <w:szCs w:val="21"/>
              </w:rPr>
            </w:pPr>
            <w:r>
              <w:rPr>
                <w:rFonts w:eastAsia="方正黑体_GBK"/>
                <w:kern w:val="0"/>
                <w:sz w:val="21"/>
                <w:szCs w:val="21"/>
              </w:rPr>
              <w:t>抽查事项</w:t>
            </w:r>
          </w:p>
        </w:tc>
        <w:tc>
          <w:tcPr>
            <w:tcW w:w="3188"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抽查对象范围</w:t>
            </w:r>
          </w:p>
        </w:tc>
        <w:tc>
          <w:tcPr>
            <w:tcW w:w="931"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抽查</w:t>
            </w:r>
          </w:p>
          <w:p>
            <w:pPr>
              <w:widowControl/>
              <w:spacing w:line="240" w:lineRule="exact"/>
              <w:jc w:val="center"/>
              <w:rPr>
                <w:rFonts w:eastAsia="方正黑体_GBK"/>
                <w:color w:val="000000"/>
                <w:kern w:val="0"/>
                <w:sz w:val="21"/>
                <w:szCs w:val="21"/>
              </w:rPr>
            </w:pPr>
            <w:r>
              <w:rPr>
                <w:rFonts w:eastAsia="方正黑体_GBK"/>
                <w:color w:val="000000"/>
                <w:kern w:val="0"/>
                <w:sz w:val="21"/>
                <w:szCs w:val="21"/>
              </w:rPr>
              <w:t>类别</w:t>
            </w:r>
          </w:p>
        </w:tc>
        <w:tc>
          <w:tcPr>
            <w:tcW w:w="993"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抽取对象数（户）</w:t>
            </w:r>
          </w:p>
        </w:tc>
        <w:tc>
          <w:tcPr>
            <w:tcW w:w="1541"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抽查比例</w:t>
            </w:r>
          </w:p>
        </w:tc>
        <w:tc>
          <w:tcPr>
            <w:tcW w:w="872"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抽查</w:t>
            </w:r>
          </w:p>
          <w:p>
            <w:pPr>
              <w:widowControl/>
              <w:spacing w:line="240" w:lineRule="exact"/>
              <w:jc w:val="center"/>
              <w:rPr>
                <w:rFonts w:eastAsia="方正黑体_GBK"/>
                <w:color w:val="000000"/>
                <w:kern w:val="0"/>
                <w:sz w:val="21"/>
                <w:szCs w:val="21"/>
              </w:rPr>
            </w:pPr>
            <w:r>
              <w:rPr>
                <w:rFonts w:eastAsia="方正黑体_GBK"/>
                <w:color w:val="000000"/>
                <w:kern w:val="0"/>
                <w:sz w:val="21"/>
                <w:szCs w:val="21"/>
              </w:rPr>
              <w:t>时间</w:t>
            </w:r>
          </w:p>
        </w:tc>
        <w:tc>
          <w:tcPr>
            <w:tcW w:w="1170"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检查主体</w:t>
            </w:r>
          </w:p>
        </w:tc>
        <w:tc>
          <w:tcPr>
            <w:tcW w:w="900"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spacing w:val="-20"/>
                <w:kern w:val="0"/>
                <w:sz w:val="21"/>
                <w:szCs w:val="21"/>
              </w:rPr>
              <w:t>承办处室（单位）</w:t>
            </w:r>
          </w:p>
        </w:tc>
        <w:tc>
          <w:tcPr>
            <w:tcW w:w="1620" w:type="dxa"/>
            <w:tcBorders>
              <w:tl2br w:val="nil"/>
              <w:tr2bl w:val="nil"/>
            </w:tcBorders>
            <w:vAlign w:val="center"/>
          </w:tcPr>
          <w:p>
            <w:pPr>
              <w:widowControl/>
              <w:spacing w:line="240" w:lineRule="exact"/>
              <w:jc w:val="center"/>
              <w:rPr>
                <w:rFonts w:eastAsia="方正黑体_GBK"/>
                <w:color w:val="000000"/>
                <w:kern w:val="0"/>
                <w:sz w:val="21"/>
                <w:szCs w:val="21"/>
              </w:rPr>
            </w:pPr>
            <w:r>
              <w:rPr>
                <w:rFonts w:eastAsia="方正黑体_GBK"/>
                <w:color w:val="000000"/>
                <w:kern w:val="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食品相关产品生产企业监督抽查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食品相关产品生产</w:t>
            </w:r>
          </w:p>
          <w:p>
            <w:pPr>
              <w:widowControl/>
              <w:spacing w:line="240" w:lineRule="exact"/>
              <w:jc w:val="center"/>
              <w:rPr>
                <w:color w:val="000000"/>
                <w:kern w:val="0"/>
                <w:sz w:val="21"/>
                <w:szCs w:val="21"/>
              </w:rPr>
            </w:pPr>
            <w:r>
              <w:rPr>
                <w:color w:val="000000"/>
                <w:kern w:val="0"/>
                <w:sz w:val="21"/>
                <w:szCs w:val="21"/>
              </w:rPr>
              <w:t>企业监督检查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食品相关产品生产获证企业</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18</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5%</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2-10月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食品</w:t>
            </w:r>
          </w:p>
          <w:p>
            <w:pPr>
              <w:widowControl/>
              <w:spacing w:line="240" w:lineRule="exact"/>
              <w:jc w:val="center"/>
              <w:rPr>
                <w:color w:val="000000"/>
                <w:kern w:val="0"/>
                <w:sz w:val="21"/>
                <w:szCs w:val="21"/>
              </w:rPr>
            </w:pPr>
            <w:r>
              <w:rPr>
                <w:color w:val="000000"/>
                <w:kern w:val="0"/>
                <w:sz w:val="21"/>
                <w:szCs w:val="21"/>
              </w:rPr>
              <w:t>生产处</w:t>
            </w:r>
          </w:p>
        </w:tc>
        <w:tc>
          <w:tcPr>
            <w:tcW w:w="1620" w:type="dxa"/>
            <w:vMerge w:val="restart"/>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0" w:hRule="atLeast"/>
          <w:jc w:val="center"/>
        </w:trPr>
        <w:tc>
          <w:tcPr>
            <w:tcW w:w="450"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2</w:t>
            </w:r>
          </w:p>
        </w:tc>
        <w:tc>
          <w:tcPr>
            <w:tcW w:w="1110"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食品生产企业监督抽查</w:t>
            </w:r>
          </w:p>
        </w:tc>
        <w:tc>
          <w:tcPr>
            <w:tcW w:w="2072"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食品生产企业监督</w:t>
            </w:r>
          </w:p>
          <w:p>
            <w:pPr>
              <w:widowControl/>
              <w:spacing w:line="240" w:lineRule="exact"/>
              <w:jc w:val="center"/>
              <w:rPr>
                <w:color w:val="000000"/>
                <w:kern w:val="0"/>
                <w:sz w:val="21"/>
                <w:szCs w:val="21"/>
              </w:rPr>
            </w:pPr>
            <w:r>
              <w:rPr>
                <w:color w:val="000000"/>
                <w:kern w:val="0"/>
                <w:sz w:val="21"/>
                <w:szCs w:val="21"/>
              </w:rPr>
              <w:t>检查</w:t>
            </w:r>
          </w:p>
        </w:tc>
        <w:tc>
          <w:tcPr>
            <w:tcW w:w="3188" w:type="dxa"/>
            <w:tcBorders>
              <w:tl2br w:val="nil"/>
              <w:tr2bl w:val="nil"/>
            </w:tcBorders>
            <w:shd w:val="clear" w:color="auto" w:fill="auto"/>
            <w:vAlign w:val="center"/>
          </w:tcPr>
          <w:p>
            <w:pPr>
              <w:widowControl/>
              <w:spacing w:line="240" w:lineRule="exact"/>
              <w:jc w:val="left"/>
              <w:rPr>
                <w:kern w:val="0"/>
                <w:sz w:val="21"/>
                <w:szCs w:val="21"/>
              </w:rPr>
            </w:pPr>
            <w:r>
              <w:rPr>
                <w:spacing w:val="-6"/>
                <w:kern w:val="0"/>
                <w:sz w:val="21"/>
                <w:szCs w:val="21"/>
              </w:rPr>
              <w:t>肉制品，酒类，食品植物油、油脂及其制品，蜂产品，饮料，方便食品，罐头，速冻食品，蔬菜食品，糕点，食品添加剂生产获证企业，</w:t>
            </w:r>
            <w:r>
              <w:rPr>
                <w:spacing w:val="-6"/>
                <w:kern w:val="0"/>
                <w:sz w:val="21"/>
                <w:szCs w:val="21"/>
              </w:rPr>
              <w:br w:type="textWrapping"/>
            </w:r>
            <w:r>
              <w:rPr>
                <w:spacing w:val="-6"/>
                <w:kern w:val="0"/>
                <w:sz w:val="21"/>
                <w:szCs w:val="21"/>
              </w:rPr>
              <w:t>粮食加工品，调味品，薯类和膨化食品，饼干，冷冻饮品，糖果制品，茶叶及相关制品，水果制品，炒货食品及坚果制品，蛋制品，可可及焙烤咖啡产品，食糖，水产制品，淀粉及淀粉制品，豆制品，特殊膳食食品，其他食品生产获证企业</w:t>
            </w:r>
          </w:p>
        </w:tc>
        <w:tc>
          <w:tcPr>
            <w:tcW w:w="931" w:type="dxa"/>
            <w:tcBorders>
              <w:tl2br w:val="nil"/>
              <w:tr2bl w:val="nil"/>
            </w:tcBorders>
            <w:shd w:val="clear" w:color="auto" w:fill="FFFFFF"/>
            <w:vAlign w:val="center"/>
          </w:tcPr>
          <w:p>
            <w:pPr>
              <w:widowControl/>
              <w:spacing w:line="240" w:lineRule="exact"/>
              <w:jc w:val="center"/>
              <w:rPr>
                <w:kern w:val="0"/>
                <w:sz w:val="21"/>
                <w:szCs w:val="21"/>
              </w:rPr>
            </w:pPr>
            <w:r>
              <w:rPr>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131</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br w:type="textWrapping"/>
            </w:r>
            <w:r>
              <w:rPr>
                <w:kern w:val="0"/>
                <w:sz w:val="21"/>
                <w:szCs w:val="21"/>
              </w:rPr>
              <w:t>A:3%；</w:t>
            </w:r>
            <w:r>
              <w:rPr>
                <w:kern w:val="0"/>
                <w:sz w:val="21"/>
                <w:szCs w:val="21"/>
              </w:rPr>
              <w:br w:type="textWrapping"/>
            </w:r>
            <w:r>
              <w:rPr>
                <w:kern w:val="0"/>
                <w:sz w:val="21"/>
                <w:szCs w:val="21"/>
              </w:rPr>
              <w:t>B:4%；</w:t>
            </w:r>
            <w:r>
              <w:rPr>
                <w:kern w:val="0"/>
                <w:sz w:val="21"/>
                <w:szCs w:val="21"/>
              </w:rPr>
              <w:br w:type="textWrapping"/>
            </w:r>
            <w:r>
              <w:rPr>
                <w:kern w:val="0"/>
                <w:sz w:val="21"/>
                <w:szCs w:val="21"/>
              </w:rPr>
              <w:t>C:5%；</w:t>
            </w:r>
            <w:r>
              <w:rPr>
                <w:kern w:val="0"/>
                <w:sz w:val="21"/>
                <w:szCs w:val="21"/>
              </w:rPr>
              <w:br w:type="textWrapping"/>
            </w:r>
            <w:r>
              <w:rPr>
                <w:kern w:val="0"/>
                <w:sz w:val="21"/>
                <w:szCs w:val="21"/>
              </w:rPr>
              <w:t>D:6%。</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2-10月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35"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餐饮服务抽查工作</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餐饮服务食品安全</w:t>
            </w:r>
          </w:p>
          <w:p>
            <w:pPr>
              <w:widowControl/>
              <w:spacing w:line="240" w:lineRule="exact"/>
              <w:jc w:val="center"/>
              <w:rPr>
                <w:kern w:val="0"/>
                <w:sz w:val="21"/>
                <w:szCs w:val="21"/>
              </w:rPr>
            </w:pPr>
            <w:r>
              <w:rPr>
                <w:kern w:val="0"/>
                <w:sz w:val="21"/>
                <w:szCs w:val="21"/>
              </w:rPr>
              <w:t>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2021年风险等级Ⅰ、Ⅱ、Ⅲ、Ⅳ级餐饮服务单位</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3600</w:t>
            </w:r>
          </w:p>
        </w:tc>
        <w:tc>
          <w:tcPr>
            <w:tcW w:w="1541" w:type="dxa"/>
            <w:tcBorders>
              <w:tl2br w:val="nil"/>
              <w:tr2bl w:val="nil"/>
            </w:tcBorders>
            <w:vAlign w:val="center"/>
          </w:tcPr>
          <w:p>
            <w:pPr>
              <w:widowControl/>
              <w:spacing w:line="240" w:lineRule="exact"/>
              <w:jc w:val="left"/>
              <w:rPr>
                <w:kern w:val="0"/>
                <w:sz w:val="21"/>
                <w:szCs w:val="21"/>
              </w:rPr>
            </w:pPr>
            <w:r>
              <w:rPr>
                <w:kern w:val="0"/>
                <w:sz w:val="21"/>
                <w:szCs w:val="21"/>
              </w:rPr>
              <w:t>Ⅰ级：2%；                       Ⅱ级：5%；                     Ⅲ级：100%；                          Ⅳ级：100%。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2-10月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餐饮处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含保健食品检查事项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工业产品生产许可证产品生产企业</w:t>
            </w:r>
          </w:p>
          <w:p>
            <w:pPr>
              <w:widowControl/>
              <w:spacing w:line="240" w:lineRule="exact"/>
              <w:jc w:val="center"/>
              <w:rPr>
                <w:color w:val="000000"/>
                <w:kern w:val="0"/>
                <w:sz w:val="21"/>
                <w:szCs w:val="21"/>
              </w:rPr>
            </w:pPr>
            <w:r>
              <w:rPr>
                <w:color w:val="000000"/>
                <w:kern w:val="0"/>
                <w:sz w:val="21"/>
                <w:szCs w:val="21"/>
              </w:rPr>
              <w:t>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工业产品生产许可</w:t>
            </w:r>
          </w:p>
          <w:p>
            <w:pPr>
              <w:widowControl/>
              <w:spacing w:line="240" w:lineRule="exact"/>
              <w:jc w:val="center"/>
              <w:rPr>
                <w:color w:val="000000"/>
                <w:kern w:val="0"/>
                <w:sz w:val="21"/>
                <w:szCs w:val="21"/>
              </w:rPr>
            </w:pPr>
            <w:r>
              <w:rPr>
                <w:color w:val="000000"/>
                <w:kern w:val="0"/>
                <w:sz w:val="21"/>
                <w:szCs w:val="21"/>
              </w:rPr>
              <w:t>资格检查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工业产品生产许可获证企业（个体工商户）</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66</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质监处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工业产品生产许可证获证企业条件检查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工业产品（重点产品）生产许可获证企业（个体工商户）</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150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重点产品包括：钢铁、水泥、危险化学品、危险化学品包装物容器等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450"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5</w:t>
            </w:r>
          </w:p>
        </w:tc>
        <w:tc>
          <w:tcPr>
            <w:tcW w:w="1110"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产品质量监督抽查</w:t>
            </w:r>
          </w:p>
        </w:tc>
        <w:tc>
          <w:tcPr>
            <w:tcW w:w="2072"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生产领域产品质量监督抽查</w:t>
            </w:r>
          </w:p>
        </w:tc>
        <w:tc>
          <w:tcPr>
            <w:tcW w:w="3188" w:type="dxa"/>
            <w:tcBorders>
              <w:tl2br w:val="nil"/>
              <w:tr2bl w:val="nil"/>
            </w:tcBorders>
            <w:shd w:val="clear" w:color="auto" w:fill="auto"/>
            <w:vAlign w:val="center"/>
          </w:tcPr>
          <w:p>
            <w:pPr>
              <w:widowControl/>
              <w:spacing w:line="240" w:lineRule="exact"/>
              <w:jc w:val="left"/>
              <w:rPr>
                <w:color w:val="000000"/>
                <w:kern w:val="0"/>
                <w:sz w:val="21"/>
                <w:szCs w:val="21"/>
              </w:rPr>
            </w:pPr>
            <w:r>
              <w:rPr>
                <w:color w:val="000000"/>
                <w:kern w:val="0"/>
                <w:sz w:val="21"/>
                <w:szCs w:val="21"/>
              </w:rPr>
              <w:t>全市工业产品生产企业</w:t>
            </w:r>
          </w:p>
        </w:tc>
        <w:tc>
          <w:tcPr>
            <w:tcW w:w="931"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300</w:t>
            </w:r>
          </w:p>
        </w:tc>
        <w:tc>
          <w:tcPr>
            <w:tcW w:w="1541" w:type="dxa"/>
            <w:tcBorders>
              <w:tl2br w:val="nil"/>
              <w:tr2bl w:val="nil"/>
            </w:tcBorders>
            <w:shd w:val="clear" w:color="auto" w:fill="FFFFFF"/>
            <w:vAlign w:val="center"/>
          </w:tcPr>
          <w:p>
            <w:pPr>
              <w:widowControl/>
              <w:spacing w:line="240" w:lineRule="exact"/>
              <w:jc w:val="left"/>
              <w:rPr>
                <w:color w:val="000000"/>
                <w:kern w:val="0"/>
                <w:sz w:val="21"/>
                <w:szCs w:val="21"/>
              </w:rPr>
            </w:pPr>
            <w:r>
              <w:rPr>
                <w:color w:val="000000"/>
                <w:kern w:val="0"/>
                <w:sz w:val="21"/>
                <w:szCs w:val="21"/>
              </w:rPr>
              <w:t>建筑玻璃：80%；</w:t>
            </w:r>
          </w:p>
          <w:p>
            <w:pPr>
              <w:widowControl/>
              <w:spacing w:line="240" w:lineRule="exact"/>
              <w:jc w:val="left"/>
              <w:rPr>
                <w:color w:val="000000"/>
                <w:kern w:val="0"/>
                <w:sz w:val="21"/>
                <w:szCs w:val="21"/>
              </w:rPr>
            </w:pPr>
            <w:r>
              <w:rPr>
                <w:color w:val="000000"/>
                <w:kern w:val="0"/>
                <w:sz w:val="21"/>
                <w:szCs w:val="21"/>
              </w:rPr>
              <w:t>砖：75%。</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质监处、各区县市场监管部门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根据生产企业状况进行差异化抽取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4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6</w:t>
            </w:r>
          </w:p>
        </w:tc>
        <w:tc>
          <w:tcPr>
            <w:tcW w:w="111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市场类标准监督检查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企业标准自我声明</w:t>
            </w:r>
          </w:p>
          <w:p>
            <w:pPr>
              <w:widowControl/>
              <w:spacing w:line="240" w:lineRule="exact"/>
              <w:jc w:val="center"/>
              <w:rPr>
                <w:kern w:val="0"/>
                <w:sz w:val="21"/>
                <w:szCs w:val="21"/>
              </w:rPr>
            </w:pPr>
            <w:r>
              <w:rPr>
                <w:kern w:val="0"/>
                <w:sz w:val="21"/>
                <w:szCs w:val="21"/>
              </w:rPr>
              <w:t>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企业在</w:t>
            </w:r>
            <w:r>
              <w:rPr>
                <w:rFonts w:hint="eastAsia"/>
                <w:kern w:val="0"/>
                <w:sz w:val="21"/>
                <w:szCs w:val="21"/>
              </w:rPr>
              <w:t>“</w:t>
            </w:r>
            <w:r>
              <w:rPr>
                <w:kern w:val="0"/>
                <w:sz w:val="21"/>
                <w:szCs w:val="21"/>
              </w:rPr>
              <w:t>企业标准信息公共服务平台</w:t>
            </w:r>
            <w:r>
              <w:rPr>
                <w:rFonts w:hint="eastAsia"/>
                <w:kern w:val="0"/>
                <w:sz w:val="21"/>
                <w:szCs w:val="21"/>
              </w:rPr>
              <w:t>”</w:t>
            </w:r>
            <w:r>
              <w:rPr>
                <w:kern w:val="0"/>
                <w:sz w:val="21"/>
                <w:szCs w:val="21"/>
              </w:rPr>
              <w:t>自我声明公开的现行有效的企业标准</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100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br w:type="textWrapping"/>
            </w:r>
            <w:r>
              <w:rPr>
                <w:kern w:val="0"/>
                <w:sz w:val="21"/>
                <w:szCs w:val="21"/>
              </w:rPr>
              <w:t>B:4%；</w:t>
            </w:r>
            <w:r>
              <w:rPr>
                <w:kern w:val="0"/>
                <w:sz w:val="21"/>
                <w:szCs w:val="21"/>
              </w:rPr>
              <w:br w:type="textWrapping"/>
            </w:r>
            <w:r>
              <w:rPr>
                <w:kern w:val="0"/>
                <w:sz w:val="21"/>
                <w:szCs w:val="21"/>
              </w:rPr>
              <w:t>C:5%；</w:t>
            </w:r>
            <w:r>
              <w:rPr>
                <w:kern w:val="0"/>
                <w:sz w:val="21"/>
                <w:szCs w:val="21"/>
              </w:rPr>
              <w:br w:type="textWrapping"/>
            </w:r>
            <w:r>
              <w:rPr>
                <w:kern w:val="0"/>
                <w:sz w:val="21"/>
                <w:szCs w:val="21"/>
              </w:rPr>
              <w:t>D:6%；</w:t>
            </w:r>
            <w:r>
              <w:rPr>
                <w:kern w:val="0"/>
                <w:sz w:val="21"/>
                <w:szCs w:val="21"/>
              </w:rPr>
              <w:br w:type="textWrapping"/>
            </w:r>
            <w:r>
              <w:rPr>
                <w:kern w:val="0"/>
                <w:sz w:val="21"/>
                <w:szCs w:val="21"/>
              </w:rPr>
              <w:t>E:7%。</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标准化处、各区县市场监管</w:t>
            </w:r>
          </w:p>
          <w:p>
            <w:pPr>
              <w:widowControl/>
              <w:spacing w:line="240" w:lineRule="exact"/>
              <w:jc w:val="center"/>
              <w:rPr>
                <w:kern w:val="0"/>
                <w:sz w:val="21"/>
                <w:szCs w:val="21"/>
              </w:rPr>
            </w:pPr>
            <w:r>
              <w:rPr>
                <w:kern w:val="0"/>
                <w:sz w:val="21"/>
                <w:szCs w:val="21"/>
              </w:rPr>
              <w:t>部门</w:t>
            </w:r>
          </w:p>
        </w:tc>
        <w:tc>
          <w:tcPr>
            <w:tcW w:w="90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标准化处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1.需保证每个区县局均有抽取对象。</w:t>
            </w:r>
            <w:r>
              <w:rPr>
                <w:color w:val="000000"/>
                <w:kern w:val="0"/>
                <w:sz w:val="21"/>
                <w:szCs w:val="21"/>
              </w:rPr>
              <w:br w:type="textWrapping"/>
            </w:r>
            <w:r>
              <w:rPr>
                <w:color w:val="000000"/>
                <w:kern w:val="0"/>
                <w:sz w:val="21"/>
                <w:szCs w:val="21"/>
              </w:rPr>
              <w:t>2.2019至2021年已抽查且企业标准信息未变化的，不作为2022年抽查对象。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团体标准自我声明</w:t>
            </w:r>
          </w:p>
          <w:p>
            <w:pPr>
              <w:widowControl/>
              <w:spacing w:line="240" w:lineRule="exact"/>
              <w:jc w:val="center"/>
              <w:rPr>
                <w:kern w:val="0"/>
                <w:sz w:val="21"/>
                <w:szCs w:val="21"/>
              </w:rPr>
            </w:pPr>
            <w:r>
              <w:rPr>
                <w:kern w:val="0"/>
                <w:sz w:val="21"/>
                <w:szCs w:val="21"/>
              </w:rPr>
              <w:t>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社会团体在</w:t>
            </w:r>
            <w:r>
              <w:rPr>
                <w:rFonts w:hint="eastAsia"/>
                <w:kern w:val="0"/>
                <w:sz w:val="21"/>
                <w:szCs w:val="21"/>
              </w:rPr>
              <w:t>“</w:t>
            </w:r>
            <w:r>
              <w:rPr>
                <w:kern w:val="0"/>
                <w:sz w:val="21"/>
                <w:szCs w:val="21"/>
              </w:rPr>
              <w:t>全国团体标准信息平台</w:t>
            </w:r>
            <w:r>
              <w:rPr>
                <w:rFonts w:hint="eastAsia"/>
                <w:kern w:val="0"/>
                <w:sz w:val="21"/>
                <w:szCs w:val="21"/>
              </w:rPr>
              <w:t>”</w:t>
            </w:r>
            <w:r>
              <w:rPr>
                <w:kern w:val="0"/>
                <w:sz w:val="21"/>
                <w:szCs w:val="21"/>
              </w:rPr>
              <w:t>自我声明公开的现行有效的团体标准</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5%</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标准化处、有关区县市场监管部门</w:t>
            </w:r>
          </w:p>
        </w:tc>
        <w:tc>
          <w:tcPr>
            <w:tcW w:w="900" w:type="dxa"/>
            <w:vMerge w:val="continue"/>
            <w:tcBorders>
              <w:tl2br w:val="nil"/>
              <w:tr2bl w:val="nil"/>
            </w:tcBorders>
            <w:vAlign w:val="center"/>
          </w:tcPr>
          <w:p>
            <w:pPr>
              <w:widowControl/>
              <w:spacing w:line="240" w:lineRule="exact"/>
              <w:jc w:val="left"/>
              <w:rPr>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15"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机电类特种设备生产单位监督检查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机电类特种设备生产单位监督检查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市局发证的机电类特种设备生产单位</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106</w:t>
            </w:r>
          </w:p>
        </w:tc>
        <w:tc>
          <w:tcPr>
            <w:tcW w:w="1541" w:type="dxa"/>
            <w:tcBorders>
              <w:tl2br w:val="nil"/>
              <w:tr2bl w:val="nil"/>
            </w:tcBorders>
            <w:vAlign w:val="center"/>
          </w:tcPr>
          <w:p>
            <w:pPr>
              <w:widowControl/>
              <w:spacing w:line="240" w:lineRule="exact"/>
              <w:jc w:val="left"/>
              <w:rPr>
                <w:kern w:val="0"/>
                <w:sz w:val="21"/>
                <w:szCs w:val="21"/>
              </w:rPr>
            </w:pPr>
            <w:r>
              <w:rPr>
                <w:kern w:val="0"/>
                <w:sz w:val="21"/>
                <w:szCs w:val="21"/>
              </w:rPr>
              <w:t>E类的企业抽查比例100%，新取证单位、免评换证单位、</w:t>
            </w:r>
            <w:r>
              <w:rPr>
                <w:rFonts w:hint="eastAsia"/>
                <w:kern w:val="0"/>
                <w:sz w:val="21"/>
                <w:szCs w:val="21"/>
              </w:rPr>
              <w:t>“</w:t>
            </w:r>
            <w:r>
              <w:rPr>
                <w:kern w:val="0"/>
                <w:sz w:val="21"/>
                <w:szCs w:val="21"/>
              </w:rPr>
              <w:t>三年行动</w:t>
            </w:r>
            <w:r>
              <w:rPr>
                <w:rFonts w:hint="eastAsia"/>
                <w:kern w:val="0"/>
                <w:sz w:val="21"/>
                <w:szCs w:val="21"/>
              </w:rPr>
              <w:t>”</w:t>
            </w:r>
            <w:r>
              <w:rPr>
                <w:kern w:val="0"/>
                <w:sz w:val="21"/>
                <w:szCs w:val="21"/>
              </w:rPr>
              <w:t>必检单位抽查比例为100%。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3-10月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机电处</w:t>
            </w:r>
          </w:p>
        </w:tc>
        <w:tc>
          <w:tcPr>
            <w:tcW w:w="90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机电处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45"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8</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承压类特种设备生产单位监督检查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承压类特种设备生产单位监督检查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市局、相关区县局发证的承压类特种设备生产单位</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66</w:t>
            </w:r>
          </w:p>
        </w:tc>
        <w:tc>
          <w:tcPr>
            <w:tcW w:w="1541" w:type="dxa"/>
            <w:tcBorders>
              <w:tl2br w:val="nil"/>
              <w:tr2bl w:val="nil"/>
            </w:tcBorders>
            <w:vAlign w:val="center"/>
          </w:tcPr>
          <w:p>
            <w:pPr>
              <w:widowControl/>
              <w:spacing w:line="240" w:lineRule="exact"/>
              <w:jc w:val="left"/>
              <w:rPr>
                <w:spacing w:val="-9"/>
                <w:kern w:val="0"/>
                <w:sz w:val="21"/>
                <w:szCs w:val="21"/>
              </w:rPr>
            </w:pPr>
            <w:r>
              <w:rPr>
                <w:spacing w:val="-9"/>
                <w:kern w:val="0"/>
                <w:sz w:val="21"/>
                <w:szCs w:val="21"/>
              </w:rPr>
              <w:t>B：25%；</w:t>
            </w:r>
          </w:p>
          <w:p>
            <w:pPr>
              <w:widowControl/>
              <w:spacing w:line="240" w:lineRule="exact"/>
              <w:jc w:val="left"/>
              <w:rPr>
                <w:spacing w:val="-9"/>
                <w:kern w:val="0"/>
                <w:sz w:val="21"/>
                <w:szCs w:val="21"/>
              </w:rPr>
            </w:pPr>
            <w:r>
              <w:rPr>
                <w:spacing w:val="-9"/>
                <w:kern w:val="0"/>
                <w:sz w:val="21"/>
                <w:szCs w:val="21"/>
              </w:rPr>
              <w:t>C：100%；</w:t>
            </w:r>
          </w:p>
          <w:p>
            <w:pPr>
              <w:widowControl/>
              <w:spacing w:line="240" w:lineRule="exact"/>
              <w:jc w:val="left"/>
              <w:rPr>
                <w:spacing w:val="-9"/>
                <w:kern w:val="0"/>
                <w:sz w:val="21"/>
                <w:szCs w:val="21"/>
              </w:rPr>
            </w:pPr>
            <w:r>
              <w:rPr>
                <w:spacing w:val="-9"/>
                <w:kern w:val="0"/>
                <w:sz w:val="21"/>
                <w:szCs w:val="21"/>
              </w:rPr>
              <w:t>D：100%；E：100%。</w:t>
            </w:r>
          </w:p>
          <w:p>
            <w:pPr>
              <w:widowControl/>
              <w:spacing w:line="240" w:lineRule="exact"/>
              <w:jc w:val="left"/>
              <w:rPr>
                <w:kern w:val="0"/>
                <w:sz w:val="21"/>
                <w:szCs w:val="21"/>
              </w:rPr>
            </w:pPr>
            <w:r>
              <w:rPr>
                <w:spacing w:val="-9"/>
                <w:kern w:val="0"/>
                <w:sz w:val="21"/>
                <w:szCs w:val="21"/>
              </w:rPr>
              <w:t>发生安全事故、取证不足1年、承诺换证、有投诉举报的企业100%抽查。</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承压处，自贸区、两江新区、经开区市场监管部门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承压处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0"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9</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特种设备检验检测机构交叉检查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特种设备检验检测</w:t>
            </w:r>
          </w:p>
          <w:p>
            <w:pPr>
              <w:widowControl/>
              <w:spacing w:line="240" w:lineRule="exact"/>
              <w:jc w:val="center"/>
              <w:rPr>
                <w:color w:val="000000"/>
                <w:kern w:val="0"/>
                <w:sz w:val="21"/>
                <w:szCs w:val="21"/>
              </w:rPr>
            </w:pPr>
            <w:r>
              <w:rPr>
                <w:color w:val="000000"/>
                <w:kern w:val="0"/>
                <w:sz w:val="21"/>
                <w:szCs w:val="21"/>
              </w:rPr>
              <w:t>机构交叉检查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全市气瓶、安全阀检验检测机构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w:t>
            </w:r>
          </w:p>
        </w:tc>
        <w:tc>
          <w:tcPr>
            <w:tcW w:w="1541"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B：10%；</w:t>
            </w:r>
          </w:p>
          <w:p>
            <w:pPr>
              <w:widowControl/>
              <w:spacing w:line="240" w:lineRule="exact"/>
              <w:jc w:val="left"/>
              <w:rPr>
                <w:color w:val="000000"/>
                <w:kern w:val="0"/>
                <w:sz w:val="21"/>
                <w:szCs w:val="21"/>
              </w:rPr>
            </w:pPr>
            <w:r>
              <w:rPr>
                <w:color w:val="000000"/>
                <w:kern w:val="0"/>
                <w:sz w:val="21"/>
                <w:szCs w:val="21"/>
              </w:rPr>
              <w:t>C：10%；</w:t>
            </w:r>
          </w:p>
          <w:p>
            <w:pPr>
              <w:widowControl/>
              <w:spacing w:line="240" w:lineRule="exact"/>
              <w:jc w:val="left"/>
              <w:rPr>
                <w:color w:val="000000"/>
                <w:kern w:val="0"/>
                <w:sz w:val="21"/>
                <w:szCs w:val="21"/>
              </w:rPr>
            </w:pPr>
            <w:r>
              <w:rPr>
                <w:color w:val="000000"/>
                <w:kern w:val="0"/>
                <w:sz w:val="21"/>
                <w:szCs w:val="21"/>
              </w:rPr>
              <w:t>D：100%；E：100%。</w:t>
            </w:r>
            <w:r>
              <w:rPr>
                <w:color w:val="000000"/>
                <w:kern w:val="0"/>
                <w:sz w:val="21"/>
                <w:szCs w:val="21"/>
              </w:rPr>
              <w:br w:type="textWrapping"/>
            </w:r>
            <w:r>
              <w:rPr>
                <w:color w:val="000000"/>
                <w:kern w:val="0"/>
                <w:sz w:val="21"/>
                <w:szCs w:val="21"/>
              </w:rPr>
              <w:t>发生安全事故、取证不足1年、有投诉举报的企业100%抽查。</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承压处</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5" w:hRule="atLeast"/>
          <w:jc w:val="center"/>
        </w:trPr>
        <w:tc>
          <w:tcPr>
            <w:tcW w:w="450"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10</w:t>
            </w:r>
          </w:p>
        </w:tc>
        <w:tc>
          <w:tcPr>
            <w:tcW w:w="1110" w:type="dxa"/>
            <w:tcBorders>
              <w:tl2br w:val="nil"/>
              <w:tr2bl w:val="nil"/>
            </w:tcBorders>
            <w:shd w:val="clear" w:color="auto" w:fill="FFFFFF"/>
            <w:vAlign w:val="center"/>
          </w:tcPr>
          <w:p>
            <w:pPr>
              <w:widowControl/>
              <w:spacing w:line="240" w:lineRule="exact"/>
              <w:jc w:val="center"/>
              <w:rPr>
                <w:color w:val="000000"/>
                <w:kern w:val="0"/>
                <w:sz w:val="21"/>
                <w:szCs w:val="21"/>
              </w:rPr>
            </w:pPr>
            <w:r>
              <w:rPr>
                <w:color w:val="000000"/>
                <w:kern w:val="0"/>
                <w:sz w:val="21"/>
                <w:szCs w:val="21"/>
              </w:rPr>
              <w:t>特种设备使用单位监督检查</w:t>
            </w:r>
          </w:p>
        </w:tc>
        <w:tc>
          <w:tcPr>
            <w:tcW w:w="2072" w:type="dxa"/>
            <w:tcBorders>
              <w:tl2br w:val="nil"/>
              <w:tr2bl w:val="nil"/>
            </w:tcBorders>
            <w:shd w:val="clear" w:color="auto" w:fill="FFFFFF"/>
            <w:vAlign w:val="center"/>
          </w:tcPr>
          <w:p>
            <w:pPr>
              <w:widowControl/>
              <w:spacing w:line="240" w:lineRule="exact"/>
              <w:jc w:val="center"/>
              <w:rPr>
                <w:color w:val="000000"/>
                <w:kern w:val="0"/>
                <w:sz w:val="21"/>
                <w:szCs w:val="21"/>
              </w:rPr>
            </w:pPr>
            <w:r>
              <w:rPr>
                <w:color w:val="000000"/>
                <w:kern w:val="0"/>
                <w:sz w:val="21"/>
                <w:szCs w:val="21"/>
              </w:rPr>
              <w:t>特种设备使用单位</w:t>
            </w:r>
          </w:p>
          <w:p>
            <w:pPr>
              <w:widowControl/>
              <w:spacing w:line="240" w:lineRule="exact"/>
              <w:jc w:val="center"/>
              <w:rPr>
                <w:color w:val="000000"/>
                <w:kern w:val="0"/>
                <w:sz w:val="21"/>
                <w:szCs w:val="21"/>
              </w:rPr>
            </w:pPr>
            <w:r>
              <w:rPr>
                <w:color w:val="000000"/>
                <w:kern w:val="0"/>
                <w:sz w:val="21"/>
                <w:szCs w:val="21"/>
              </w:rPr>
              <w:t>监督检查</w:t>
            </w:r>
          </w:p>
        </w:tc>
        <w:tc>
          <w:tcPr>
            <w:tcW w:w="3188" w:type="dxa"/>
            <w:tcBorders>
              <w:tl2br w:val="nil"/>
              <w:tr2bl w:val="nil"/>
            </w:tcBorders>
            <w:shd w:val="clear" w:color="auto" w:fill="FFFFFF"/>
            <w:vAlign w:val="center"/>
          </w:tcPr>
          <w:p>
            <w:pPr>
              <w:widowControl/>
              <w:spacing w:line="240" w:lineRule="exact"/>
              <w:jc w:val="left"/>
              <w:rPr>
                <w:color w:val="000000"/>
                <w:kern w:val="0"/>
                <w:sz w:val="21"/>
                <w:szCs w:val="21"/>
              </w:rPr>
            </w:pPr>
            <w:r>
              <w:rPr>
                <w:color w:val="000000"/>
                <w:kern w:val="0"/>
                <w:sz w:val="21"/>
                <w:szCs w:val="21"/>
              </w:rPr>
              <w:t>特种设备使用单位（优先安排重点监督检查的使用单位）</w:t>
            </w:r>
          </w:p>
        </w:tc>
        <w:tc>
          <w:tcPr>
            <w:tcW w:w="931" w:type="dxa"/>
            <w:tcBorders>
              <w:tl2br w:val="nil"/>
              <w:tr2bl w:val="nil"/>
            </w:tcBorders>
            <w:shd w:val="clear" w:color="auto" w:fill="FFFFFF"/>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shd w:val="clear" w:color="auto" w:fill="FFFFFF"/>
            <w:vAlign w:val="center"/>
          </w:tcPr>
          <w:p>
            <w:pPr>
              <w:widowControl/>
              <w:spacing w:line="240" w:lineRule="exact"/>
              <w:jc w:val="center"/>
              <w:rPr>
                <w:kern w:val="0"/>
                <w:sz w:val="21"/>
                <w:szCs w:val="21"/>
              </w:rPr>
            </w:pPr>
            <w:r>
              <w:rPr>
                <w:kern w:val="0"/>
                <w:sz w:val="21"/>
                <w:szCs w:val="21"/>
              </w:rPr>
              <w:t>2123</w:t>
            </w:r>
          </w:p>
        </w:tc>
        <w:tc>
          <w:tcPr>
            <w:tcW w:w="1541" w:type="dxa"/>
            <w:tcBorders>
              <w:tl2br w:val="nil"/>
              <w:tr2bl w:val="nil"/>
            </w:tcBorders>
            <w:shd w:val="clear" w:color="auto" w:fill="FFFFFF"/>
            <w:vAlign w:val="center"/>
          </w:tcPr>
          <w:p>
            <w:pPr>
              <w:widowControl/>
              <w:spacing w:line="240" w:lineRule="exact"/>
              <w:jc w:val="center"/>
              <w:rPr>
                <w:color w:val="000000"/>
                <w:kern w:val="0"/>
                <w:sz w:val="21"/>
                <w:szCs w:val="21"/>
              </w:rPr>
            </w:pPr>
            <w:r>
              <w:rPr>
                <w:kern w:val="0"/>
                <w:sz w:val="21"/>
                <w:szCs w:val="21"/>
              </w:rPr>
              <w:t>按照使用单位5%的比例开展抽查。其中：</w:t>
            </w:r>
            <w:r>
              <w:rPr>
                <w:color w:val="000000"/>
                <w:kern w:val="0"/>
                <w:sz w:val="21"/>
                <w:szCs w:val="21"/>
              </w:rPr>
              <w:t>公众聚集场所的特种设备使用单位抽查比例：100%；近2年发生过特种设备事故的特种设备使用单位抽查比例为100%；其余为有必要实施重点监督检查的单位。</w:t>
            </w:r>
          </w:p>
        </w:tc>
        <w:tc>
          <w:tcPr>
            <w:tcW w:w="872"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3-11月</w:t>
            </w:r>
          </w:p>
        </w:tc>
        <w:tc>
          <w:tcPr>
            <w:tcW w:w="1170" w:type="dxa"/>
            <w:tcBorders>
              <w:tl2br w:val="nil"/>
              <w:tr2bl w:val="nil"/>
            </w:tcBorders>
            <w:shd w:val="clear" w:color="auto" w:fill="FFFFFF"/>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tcBorders>
              <w:tl2br w:val="nil"/>
              <w:tr2bl w:val="nil"/>
            </w:tcBorders>
            <w:shd w:val="clear" w:color="auto" w:fill="auto"/>
            <w:vAlign w:val="center"/>
          </w:tcPr>
          <w:p>
            <w:pPr>
              <w:widowControl/>
              <w:spacing w:line="240" w:lineRule="exact"/>
              <w:jc w:val="center"/>
              <w:rPr>
                <w:color w:val="000000"/>
                <w:kern w:val="0"/>
                <w:sz w:val="21"/>
                <w:szCs w:val="21"/>
              </w:rPr>
            </w:pPr>
            <w:r>
              <w:rPr>
                <w:color w:val="000000"/>
                <w:kern w:val="0"/>
                <w:sz w:val="21"/>
                <w:szCs w:val="21"/>
              </w:rPr>
              <w:t>机电处</w:t>
            </w:r>
            <w:r>
              <w:rPr>
                <w:color w:val="000000"/>
                <w:kern w:val="0"/>
                <w:sz w:val="21"/>
                <w:szCs w:val="21"/>
              </w:rPr>
              <w:br w:type="textWrapping"/>
            </w:r>
            <w:r>
              <w:rPr>
                <w:color w:val="000000"/>
                <w:kern w:val="0"/>
                <w:sz w:val="21"/>
                <w:szCs w:val="21"/>
              </w:rPr>
              <w:t>承压处</w:t>
            </w:r>
          </w:p>
        </w:tc>
        <w:tc>
          <w:tcPr>
            <w:tcW w:w="1620" w:type="dxa"/>
            <w:tcBorders>
              <w:tl2br w:val="nil"/>
              <w:tr2bl w:val="nil"/>
            </w:tcBorders>
            <w:shd w:val="clear" w:color="auto" w:fill="FFFFFF"/>
            <w:vAlign w:val="center"/>
          </w:tcPr>
          <w:p>
            <w:pPr>
              <w:widowControl/>
              <w:spacing w:line="240" w:lineRule="exact"/>
              <w:jc w:val="left"/>
              <w:rPr>
                <w:color w:val="000000"/>
                <w:kern w:val="0"/>
                <w:sz w:val="21"/>
                <w:szCs w:val="21"/>
              </w:rPr>
            </w:pPr>
            <w:r>
              <w:rPr>
                <w:color w:val="000000"/>
                <w:kern w:val="0"/>
                <w:sz w:val="21"/>
                <w:szCs w:val="21"/>
              </w:rPr>
              <w:t>根据特种设备相关规定进行差异化抽取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0"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w:t>
            </w:r>
          </w:p>
        </w:tc>
        <w:tc>
          <w:tcPr>
            <w:tcW w:w="111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计量监督检查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在用计量器具监督</w:t>
            </w:r>
          </w:p>
          <w:p>
            <w:pPr>
              <w:widowControl/>
              <w:spacing w:line="240" w:lineRule="exact"/>
              <w:jc w:val="center"/>
              <w:rPr>
                <w:kern w:val="0"/>
                <w:sz w:val="21"/>
                <w:szCs w:val="21"/>
              </w:rPr>
            </w:pPr>
            <w:r>
              <w:rPr>
                <w:kern w:val="0"/>
                <w:sz w:val="21"/>
                <w:szCs w:val="21"/>
              </w:rPr>
              <w:t>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企业、事业单位、个体工商户及其他经营者</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3000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计量处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法定计量检定机构专项监督检查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法定计量检定机构</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5</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30%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法定计量单位使用情况专项监督检查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宣传出版、文化教育、市场交易等领域</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1350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3%</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w:t>
            </w:r>
          </w:p>
          <w:p>
            <w:pPr>
              <w:widowControl/>
              <w:spacing w:line="240" w:lineRule="exact"/>
              <w:jc w:val="center"/>
              <w:rPr>
                <w:kern w:val="0"/>
                <w:sz w:val="21"/>
                <w:szCs w:val="21"/>
              </w:rPr>
            </w:pPr>
            <w:r>
              <w:rPr>
                <w:kern w:val="0"/>
                <w:sz w:val="21"/>
                <w:szCs w:val="21"/>
              </w:rPr>
              <w:t>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定量包装商品净含量、商品包装计量监督专项抽查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企业、个体工商户及其他经营者</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400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4%</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型式批准监督检查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企业、事业单位、个体工商户及其他经营者</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25</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21%</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4-10月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计量标准器核准监督检查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计量检定机构、建标企（事）业单位和获得内部强检授权的企业</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B：20%；</w:t>
            </w:r>
            <w:r>
              <w:rPr>
                <w:kern w:val="0"/>
                <w:sz w:val="21"/>
                <w:szCs w:val="21"/>
              </w:rPr>
              <w:br w:type="textWrapping"/>
            </w:r>
            <w:r>
              <w:rPr>
                <w:kern w:val="0"/>
                <w:sz w:val="21"/>
                <w:szCs w:val="21"/>
              </w:rPr>
              <w:t>C：50%；</w:t>
            </w:r>
            <w:r>
              <w:rPr>
                <w:kern w:val="0"/>
                <w:sz w:val="21"/>
                <w:szCs w:val="21"/>
              </w:rPr>
              <w:br w:type="textWrapping"/>
            </w:r>
            <w:r>
              <w:rPr>
                <w:kern w:val="0"/>
                <w:sz w:val="21"/>
                <w:szCs w:val="21"/>
              </w:rPr>
              <w:t xml:space="preserve"> E：100%。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能效标识计量专项监督检查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100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3-9月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水效标识计量专项监督检查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100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3-9月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0" w:hRule="atLeast"/>
          <w:jc w:val="center"/>
        </w:trPr>
        <w:tc>
          <w:tcPr>
            <w:tcW w:w="45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12</w:t>
            </w:r>
          </w:p>
        </w:tc>
        <w:tc>
          <w:tcPr>
            <w:tcW w:w="1110" w:type="dxa"/>
            <w:tcBorders>
              <w:tl2br w:val="nil"/>
              <w:tr2bl w:val="nil"/>
            </w:tcBorders>
            <w:vAlign w:val="center"/>
          </w:tcPr>
          <w:p>
            <w:pPr>
              <w:widowControl/>
              <w:spacing w:line="240" w:lineRule="exact"/>
              <w:jc w:val="center"/>
              <w:rPr>
                <w:kern w:val="0"/>
                <w:sz w:val="21"/>
                <w:szCs w:val="21"/>
              </w:rPr>
            </w:pPr>
            <w:r>
              <w:rPr>
                <w:kern w:val="0"/>
                <w:sz w:val="21"/>
                <w:szCs w:val="21"/>
              </w:rPr>
              <w:t>特殊食品销售监督检查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特殊食品销售监督</w:t>
            </w:r>
          </w:p>
          <w:p>
            <w:pPr>
              <w:widowControl/>
              <w:spacing w:line="240" w:lineRule="exact"/>
              <w:jc w:val="center"/>
              <w:rPr>
                <w:kern w:val="0"/>
                <w:sz w:val="21"/>
                <w:szCs w:val="21"/>
              </w:rPr>
            </w:pPr>
            <w:r>
              <w:rPr>
                <w:kern w:val="0"/>
                <w:sz w:val="21"/>
                <w:szCs w:val="21"/>
              </w:rPr>
              <w:t>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特殊食品销售经营者，包括销售特殊食品的食品贸易商、商场超市经营者、便利店经营者、食杂店经营者、药店经营者、网络食品销售商等。</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5372</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A：6%；</w:t>
            </w:r>
          </w:p>
          <w:p>
            <w:pPr>
              <w:widowControl/>
              <w:spacing w:line="240" w:lineRule="exact"/>
              <w:jc w:val="center"/>
              <w:rPr>
                <w:kern w:val="0"/>
                <w:sz w:val="21"/>
                <w:szCs w:val="21"/>
              </w:rPr>
            </w:pPr>
            <w:r>
              <w:rPr>
                <w:kern w:val="0"/>
                <w:sz w:val="21"/>
                <w:szCs w:val="21"/>
              </w:rPr>
              <w:t>B：6%；</w:t>
            </w:r>
            <w:r>
              <w:rPr>
                <w:kern w:val="0"/>
                <w:sz w:val="21"/>
                <w:szCs w:val="21"/>
              </w:rPr>
              <w:br w:type="textWrapping"/>
            </w:r>
            <w:r>
              <w:rPr>
                <w:kern w:val="0"/>
                <w:sz w:val="21"/>
                <w:szCs w:val="21"/>
              </w:rPr>
              <w:t xml:space="preserve">  C：100%；</w:t>
            </w:r>
          </w:p>
          <w:p>
            <w:pPr>
              <w:widowControl/>
              <w:spacing w:line="240" w:lineRule="exact"/>
              <w:jc w:val="center"/>
              <w:rPr>
                <w:kern w:val="0"/>
                <w:sz w:val="21"/>
                <w:szCs w:val="21"/>
              </w:rPr>
            </w:pPr>
            <w:r>
              <w:rPr>
                <w:kern w:val="0"/>
                <w:sz w:val="21"/>
                <w:szCs w:val="21"/>
              </w:rPr>
              <w:t xml:space="preserve">  D：100%。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4-11月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特殊</w:t>
            </w:r>
          </w:p>
          <w:p>
            <w:pPr>
              <w:widowControl/>
              <w:spacing w:line="240" w:lineRule="exact"/>
              <w:jc w:val="center"/>
              <w:rPr>
                <w:color w:val="000000"/>
                <w:kern w:val="0"/>
                <w:sz w:val="21"/>
                <w:szCs w:val="21"/>
              </w:rPr>
            </w:pPr>
            <w:r>
              <w:rPr>
                <w:color w:val="000000"/>
                <w:kern w:val="0"/>
                <w:sz w:val="21"/>
                <w:szCs w:val="21"/>
              </w:rPr>
              <w:t>食品处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因抽查对象动态变化，抽取对象数量以实际检查户数为准。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0"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13</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食品销售监督检查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校园及周边食品销售监督检查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校园及校园周边食品销售者</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2175</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食品</w:t>
            </w:r>
          </w:p>
          <w:p>
            <w:pPr>
              <w:widowControl/>
              <w:spacing w:line="240" w:lineRule="exact"/>
              <w:jc w:val="center"/>
              <w:rPr>
                <w:color w:val="000000"/>
                <w:kern w:val="0"/>
                <w:sz w:val="21"/>
                <w:szCs w:val="21"/>
              </w:rPr>
            </w:pPr>
            <w:r>
              <w:rPr>
                <w:color w:val="000000"/>
                <w:kern w:val="0"/>
                <w:sz w:val="21"/>
                <w:szCs w:val="21"/>
              </w:rPr>
              <w:t>经营处</w:t>
            </w:r>
          </w:p>
        </w:tc>
        <w:tc>
          <w:tcPr>
            <w:tcW w:w="1620" w:type="dxa"/>
            <w:vMerge w:val="restart"/>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总局要求说明：由于食品经营者变化很大，双随机抽查结果的主体数应当以实际检查户数为准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较高和高风险食品销售监督检查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风险等级为B、C、D级的食品销售者(D级需扣除校园及周边)</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13230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B:5%；</w:t>
            </w:r>
            <w:r>
              <w:rPr>
                <w:kern w:val="0"/>
                <w:sz w:val="21"/>
                <w:szCs w:val="21"/>
              </w:rPr>
              <w:br w:type="textWrapping"/>
            </w:r>
            <w:r>
              <w:rPr>
                <w:kern w:val="0"/>
                <w:sz w:val="21"/>
                <w:szCs w:val="21"/>
              </w:rPr>
              <w:t>C:8%；</w:t>
            </w:r>
            <w:r>
              <w:rPr>
                <w:kern w:val="0"/>
                <w:sz w:val="21"/>
                <w:szCs w:val="21"/>
              </w:rPr>
              <w:br w:type="textWrapping"/>
            </w:r>
            <w:r>
              <w:rPr>
                <w:kern w:val="0"/>
                <w:sz w:val="21"/>
                <w:szCs w:val="21"/>
              </w:rPr>
              <w:t xml:space="preserve"> D:10%。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一般风险食品销售监督检查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风险等级为A级的食品销售者</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714</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网络食品销售监督检查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已备案的网络食品交易第三方平台</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8</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continue"/>
            <w:tcBorders>
              <w:tl2br w:val="nil"/>
              <w:tr2bl w:val="nil"/>
            </w:tcBorders>
            <w:vAlign w:val="center"/>
          </w:tcPr>
          <w:p>
            <w:pPr>
              <w:widowControl/>
              <w:spacing w:line="240" w:lineRule="exact"/>
              <w:jc w:val="left"/>
              <w:rPr>
                <w:color w:val="000000"/>
                <w:kern w:val="0"/>
                <w:sz w:val="21"/>
                <w:szCs w:val="21"/>
              </w:rPr>
            </w:pP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入网食品销售者</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151</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14</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食用农产品市场销售质量安全检查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食用农产品集中交易市场监督检查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食用农产品集中交易市场（含批发市场和农贸市场）</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644</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50%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食用农产品销售企业（者）监督检查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食用农产品批发经营者</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217</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5%</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continue"/>
            <w:tcBorders>
              <w:tl2br w:val="nil"/>
              <w:tr2bl w:val="nil"/>
            </w:tcBorders>
            <w:vAlign w:val="center"/>
          </w:tcPr>
          <w:p>
            <w:pPr>
              <w:widowControl/>
              <w:spacing w:line="240" w:lineRule="exact"/>
              <w:jc w:val="left"/>
              <w:rPr>
                <w:color w:val="000000"/>
                <w:kern w:val="0"/>
                <w:sz w:val="21"/>
                <w:szCs w:val="21"/>
              </w:rPr>
            </w:pP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食用农产品零售经营者</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400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15</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检验检测机构检查</w:t>
            </w:r>
          </w:p>
        </w:tc>
        <w:tc>
          <w:tcPr>
            <w:tcW w:w="2072"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检验检测机构检查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被列入严重违法失信名单的检验检测机构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暂无</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认监处、各区县市场监管部门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认监处</w:t>
            </w:r>
          </w:p>
        </w:tc>
        <w:tc>
          <w:tcPr>
            <w:tcW w:w="1620" w:type="dxa"/>
            <w:vMerge w:val="restart"/>
            <w:tcBorders>
              <w:tl2br w:val="nil"/>
              <w:tr2bl w:val="nil"/>
            </w:tcBorders>
            <w:vAlign w:val="center"/>
          </w:tcPr>
          <w:p>
            <w:pPr>
              <w:widowControl/>
              <w:spacing w:line="240" w:lineRule="exact"/>
              <w:jc w:val="center"/>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continue"/>
            <w:tcBorders>
              <w:tl2br w:val="nil"/>
              <w:tr2bl w:val="nil"/>
            </w:tcBorders>
            <w:vAlign w:val="center"/>
          </w:tcPr>
          <w:p>
            <w:pPr>
              <w:widowControl/>
              <w:spacing w:line="240" w:lineRule="exact"/>
              <w:jc w:val="left"/>
              <w:rPr>
                <w:color w:val="000000"/>
                <w:kern w:val="0"/>
                <w:sz w:val="21"/>
                <w:szCs w:val="21"/>
              </w:rPr>
            </w:pP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其他检验检测机构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68</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3-11月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认监处、各区县市场监管部门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16</w:t>
            </w:r>
          </w:p>
        </w:tc>
        <w:tc>
          <w:tcPr>
            <w:tcW w:w="1110" w:type="dxa"/>
            <w:vMerge w:val="restart"/>
            <w:tcBorders>
              <w:tl2br w:val="nil"/>
              <w:tr2bl w:val="nil"/>
            </w:tcBorders>
            <w:vAlign w:val="center"/>
          </w:tcPr>
          <w:p>
            <w:pPr>
              <w:widowControl/>
              <w:spacing w:line="240" w:lineRule="exact"/>
              <w:jc w:val="center"/>
              <w:rPr>
                <w:color w:val="231F20"/>
                <w:kern w:val="0"/>
                <w:sz w:val="21"/>
                <w:szCs w:val="21"/>
              </w:rPr>
            </w:pPr>
            <w:r>
              <w:rPr>
                <w:color w:val="231F20"/>
                <w:kern w:val="0"/>
                <w:sz w:val="21"/>
                <w:szCs w:val="21"/>
              </w:rPr>
              <w:t>获证产品有效性</w:t>
            </w:r>
          </w:p>
          <w:p>
            <w:pPr>
              <w:widowControl/>
              <w:spacing w:line="240" w:lineRule="exact"/>
              <w:jc w:val="center"/>
              <w:rPr>
                <w:color w:val="231F20"/>
                <w:kern w:val="0"/>
                <w:sz w:val="21"/>
                <w:szCs w:val="21"/>
              </w:rPr>
            </w:pPr>
            <w:r>
              <w:rPr>
                <w:color w:val="231F20"/>
                <w:kern w:val="0"/>
                <w:sz w:val="21"/>
                <w:szCs w:val="21"/>
              </w:rPr>
              <w:t>抽查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CCC认证获证组织认证有效性抽查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CCC认证目录内的获证组织（含自我声明）</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认监处、各区县市场监管部门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认监处10家，各区县局100家。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231F2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CCC认证产品监督抽查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通过一般方式获得CCC认证证书的产品</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50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认监处、各区县市场监管部门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认监处10家，各区县局40家。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231F2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CCC自我声明产品监督抽查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通过自我声明方式获得CCC认证证书的产品</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175</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认监处、各区县市场监管部门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认监处10家，各区县局165家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231F2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免予办理CCC认证企业抽查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获得免予办理CCC认证企业</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40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spacing w:val="-8"/>
                <w:kern w:val="0"/>
                <w:sz w:val="21"/>
                <w:szCs w:val="21"/>
              </w:rPr>
              <w:t>认监处、有关区县市场监管部门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认监处5家，各区县局35家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5"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17</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电子商务经营行为监督</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电子商务平台经营者履行主体责任的检查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本市网络交易平台</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33</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有关区县市场监管部门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网监处</w:t>
            </w:r>
          </w:p>
        </w:tc>
        <w:tc>
          <w:tcPr>
            <w:tcW w:w="1620" w:type="dxa"/>
            <w:vMerge w:val="restart"/>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纳入综合抽查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0"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18</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拍卖领域市场规范管理</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拍卖活动经营资格的检查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企业经营范围中包含</w:t>
            </w:r>
            <w:r>
              <w:rPr>
                <w:rFonts w:hint="eastAsia"/>
                <w:color w:val="000000"/>
                <w:kern w:val="0"/>
                <w:sz w:val="21"/>
                <w:szCs w:val="21"/>
              </w:rPr>
              <w:t>“</w:t>
            </w:r>
            <w:r>
              <w:rPr>
                <w:color w:val="000000"/>
                <w:kern w:val="0"/>
                <w:sz w:val="21"/>
                <w:szCs w:val="21"/>
              </w:rPr>
              <w:t>拍卖</w:t>
            </w:r>
            <w:r>
              <w:rPr>
                <w:rFonts w:hint="eastAsia"/>
                <w:color w:val="000000"/>
                <w:kern w:val="0"/>
                <w:sz w:val="21"/>
                <w:szCs w:val="21"/>
              </w:rPr>
              <w:t>”</w:t>
            </w:r>
            <w:r>
              <w:rPr>
                <w:color w:val="000000"/>
                <w:kern w:val="0"/>
                <w:sz w:val="21"/>
                <w:szCs w:val="21"/>
              </w:rPr>
              <w:t>且尚未取得商委许可的企业</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270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9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19</w:t>
            </w:r>
          </w:p>
        </w:tc>
        <w:tc>
          <w:tcPr>
            <w:tcW w:w="111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广告行为检查</w:t>
            </w:r>
          </w:p>
        </w:tc>
        <w:tc>
          <w:tcPr>
            <w:tcW w:w="2072" w:type="dxa"/>
            <w:tcBorders>
              <w:tl2br w:val="nil"/>
              <w:tr2bl w:val="nil"/>
            </w:tcBorders>
            <w:vAlign w:val="center"/>
          </w:tcPr>
          <w:p>
            <w:pPr>
              <w:widowControl/>
              <w:spacing w:line="240" w:lineRule="exact"/>
              <w:jc w:val="center"/>
              <w:rPr>
                <w:kern w:val="0"/>
                <w:sz w:val="21"/>
                <w:szCs w:val="21"/>
              </w:rPr>
            </w:pPr>
            <w:r>
              <w:rPr>
                <w:spacing w:val="0"/>
                <w:kern w:val="0"/>
                <w:sz w:val="21"/>
                <w:szCs w:val="21"/>
              </w:rPr>
              <w:t>广告经营者、广告发布者建立、健全广告业务的承接登记、审核、档案管理制度情况的检查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企业、个体工商户及其它经营单位</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2122</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D：100%；</w:t>
            </w:r>
            <w:r>
              <w:rPr>
                <w:kern w:val="0"/>
                <w:sz w:val="21"/>
                <w:szCs w:val="21"/>
              </w:rPr>
              <w:br w:type="textWrapping"/>
            </w:r>
            <w:r>
              <w:rPr>
                <w:kern w:val="0"/>
                <w:sz w:val="21"/>
                <w:szCs w:val="21"/>
              </w:rPr>
              <w:t>E：100%；</w:t>
            </w:r>
          </w:p>
          <w:p>
            <w:pPr>
              <w:widowControl/>
              <w:spacing w:line="240" w:lineRule="exact"/>
              <w:jc w:val="center"/>
              <w:rPr>
                <w:kern w:val="0"/>
                <w:sz w:val="21"/>
                <w:szCs w:val="21"/>
              </w:rPr>
            </w:pPr>
            <w:r>
              <w:rPr>
                <w:kern w:val="0"/>
                <w:sz w:val="21"/>
                <w:szCs w:val="21"/>
              </w:rPr>
              <w:t>其他企业：5%;</w:t>
            </w:r>
          </w:p>
          <w:p>
            <w:pPr>
              <w:widowControl/>
              <w:spacing w:line="240" w:lineRule="exact"/>
              <w:jc w:val="center"/>
              <w:rPr>
                <w:kern w:val="0"/>
                <w:sz w:val="21"/>
                <w:szCs w:val="21"/>
              </w:rPr>
            </w:pPr>
            <w:r>
              <w:rPr>
                <w:kern w:val="0"/>
                <w:sz w:val="21"/>
                <w:szCs w:val="21"/>
              </w:rPr>
              <w:t>广播、电视、报刊出版单位抽查比例为100%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广告处</w:t>
            </w:r>
          </w:p>
        </w:tc>
        <w:tc>
          <w:tcPr>
            <w:tcW w:w="1620" w:type="dxa"/>
            <w:vMerge w:val="restart"/>
            <w:tcBorders>
              <w:tl2br w:val="nil"/>
              <w:tr2bl w:val="nil"/>
            </w:tcBorders>
            <w:vAlign w:val="center"/>
          </w:tcPr>
          <w:p>
            <w:pPr>
              <w:widowControl/>
              <w:spacing w:line="240" w:lineRule="exact"/>
              <w:jc w:val="left"/>
              <w:rPr>
                <w:kern w:val="0"/>
                <w:sz w:val="21"/>
                <w:szCs w:val="21"/>
              </w:rPr>
            </w:pPr>
            <w:r>
              <w:rPr>
                <w:kern w:val="0"/>
                <w:sz w:val="21"/>
                <w:szCs w:val="21"/>
              </w:rPr>
              <w:t>纳入综合抽查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药品、医疗器械、保健食品、特殊医学用途配方食品广告主发布相关广告的审查批准情况的检查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企业、个体工商户及其它经营单位</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42</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50%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vMerge w:val="continue"/>
            <w:tcBorders>
              <w:tl2br w:val="nil"/>
              <w:tr2bl w:val="nil"/>
            </w:tcBorders>
            <w:vAlign w:val="center"/>
          </w:tcPr>
          <w:p>
            <w:pPr>
              <w:widowControl/>
              <w:spacing w:line="240" w:lineRule="exact"/>
              <w:jc w:val="left"/>
              <w:rPr>
                <w:kern w:val="0"/>
                <w:sz w:val="21"/>
                <w:szCs w:val="21"/>
              </w:rPr>
            </w:pPr>
          </w:p>
        </w:tc>
        <w:tc>
          <w:tcPr>
            <w:tcW w:w="1620" w:type="dxa"/>
            <w:vMerge w:val="continue"/>
            <w:tcBorders>
              <w:tl2br w:val="nil"/>
              <w:tr2bl w:val="nil"/>
            </w:tcBorders>
            <w:vAlign w:val="center"/>
          </w:tcPr>
          <w:p>
            <w:pPr>
              <w:widowControl/>
              <w:spacing w:line="240" w:lineRule="exact"/>
              <w:jc w:val="left"/>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40" w:hRule="atLeast"/>
          <w:jc w:val="center"/>
        </w:trPr>
        <w:tc>
          <w:tcPr>
            <w:tcW w:w="45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20</w:t>
            </w:r>
          </w:p>
        </w:tc>
        <w:tc>
          <w:tcPr>
            <w:tcW w:w="111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大型企业逾期尚未支付中小企业款项年报公示专项检查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spacing w:val="-9"/>
                <w:kern w:val="0"/>
                <w:sz w:val="21"/>
                <w:szCs w:val="21"/>
              </w:rPr>
              <w:t>大型企业未按照规定在企业年度报告中公示逾期尚未支付中小企业款项信息或隐瞒真实情况、弄虚作假</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572户大型企业（详见总局下发名单）</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115</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7-8月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企业处</w:t>
            </w: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抽取企业数量为总局下发大型企业名单572户企业的20%，抽取企业范围为名单中已报送2021年度年报的企业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21</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登记事项检查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营业执照（登记证）规范使用情况的检查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企业、个体工商户、农民专业合作社、外国企业常驻代表机构</w:t>
            </w:r>
          </w:p>
        </w:tc>
        <w:tc>
          <w:tcPr>
            <w:tcW w:w="931" w:type="dxa"/>
            <w:vMerge w:val="restart"/>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26959</w:t>
            </w:r>
          </w:p>
        </w:tc>
        <w:tc>
          <w:tcPr>
            <w:tcW w:w="1541"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抽取企业按照信用风险分类比例为B:1%          C:3%          D:5%         E:6%          个体工商户抽取比例0.1%，农民专业合作社抽取比例0.1%，外国企业常驻机构代表抽取比例1%，全市通过告知承诺系统填报住所（经营场所）证明事项自主承诺的勾选有房产证通过数据核验和勾选无房产证市场主体3%</w:t>
            </w:r>
          </w:p>
        </w:tc>
        <w:tc>
          <w:tcPr>
            <w:tcW w:w="872"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企业处</w:t>
            </w:r>
          </w:p>
        </w:tc>
        <w:tc>
          <w:tcPr>
            <w:tcW w:w="1620" w:type="dxa"/>
            <w:vMerge w:val="restart"/>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已报送2021年度年报的企业、个体工商户、农民专业合作社、外国企业常驻机构代表（2021年已被抽查的市场主体除外），其中对住所（经营范围）或驻在场所的检查还包括全市通过告知承诺系统填报住所（经营场所）证明事项自主承诺的勾选有房产证通过数据核验和勾选无房产证的市场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名称规范使用情况的检查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企业、个体工商户、农民专业合作社、外国企业常驻代表机构</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经营（驻在）期限的检查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企业、个体工商户、农民专业合作社、外国企业常驻代表机构</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经营（业务）范围中无需审批的经营（业务）项目的检查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企业、个体工商户、农民专业合作社、外国企业常驻代表机构</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spacing w:val="-9"/>
                <w:kern w:val="0"/>
                <w:sz w:val="21"/>
                <w:szCs w:val="21"/>
              </w:rPr>
              <w:t>住所（经营场所）或驻在场所的检查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企业、个体工商户、农民专业合作社、外国企业常驻代表机构</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注册资本实缴情况的检查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《国务院关于印发注册资本登记制度改革方案的通知》明确的暂不实行注册资本认缴登记制的行业企业</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法定代表人（负责人）任职情况的检查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法定代表人、自然人股东身份真实性的</w:t>
            </w:r>
          </w:p>
          <w:p>
            <w:pPr>
              <w:widowControl/>
              <w:spacing w:line="240" w:lineRule="exact"/>
              <w:jc w:val="center"/>
              <w:rPr>
                <w:color w:val="000000"/>
                <w:kern w:val="0"/>
                <w:sz w:val="21"/>
                <w:szCs w:val="21"/>
              </w:rPr>
            </w:pPr>
            <w:r>
              <w:rPr>
                <w:color w:val="000000"/>
                <w:kern w:val="0"/>
                <w:sz w:val="21"/>
                <w:szCs w:val="21"/>
              </w:rPr>
              <w:t>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22</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公示信息检查</w:t>
            </w: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年度报告公示信息的</w:t>
            </w:r>
          </w:p>
          <w:p>
            <w:pPr>
              <w:widowControl/>
              <w:spacing w:line="240" w:lineRule="exact"/>
              <w:jc w:val="center"/>
              <w:rPr>
                <w:color w:val="000000"/>
                <w:kern w:val="0"/>
                <w:sz w:val="21"/>
                <w:szCs w:val="21"/>
              </w:rPr>
            </w:pPr>
            <w:r>
              <w:rPr>
                <w:color w:val="000000"/>
                <w:kern w:val="0"/>
                <w:sz w:val="21"/>
                <w:szCs w:val="21"/>
              </w:rPr>
              <w:t>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企业、个体工商户、农民专业合作社</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即时公示信息的检查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w:t>
            </w:r>
          </w:p>
        </w:tc>
        <w:tc>
          <w:tcPr>
            <w:tcW w:w="931" w:type="dxa"/>
            <w:vMerge w:val="continue"/>
            <w:tcBorders>
              <w:tl2br w:val="nil"/>
              <w:tr2bl w:val="nil"/>
            </w:tcBorders>
            <w:vAlign w:val="center"/>
          </w:tcPr>
          <w:p>
            <w:pPr>
              <w:widowControl/>
              <w:spacing w:line="240" w:lineRule="exact"/>
              <w:jc w:val="left"/>
              <w:rPr>
                <w:kern w:val="0"/>
                <w:sz w:val="21"/>
                <w:szCs w:val="21"/>
              </w:rPr>
            </w:pP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vMerge w:val="continue"/>
            <w:tcBorders>
              <w:tl2br w:val="nil"/>
              <w:tr2bl w:val="nil"/>
            </w:tcBorders>
            <w:vAlign w:val="center"/>
          </w:tcPr>
          <w:p>
            <w:pPr>
              <w:widowControl/>
              <w:spacing w:line="240" w:lineRule="exact"/>
              <w:jc w:val="left"/>
              <w:rPr>
                <w:color w:val="000000"/>
                <w:kern w:val="0"/>
                <w:sz w:val="21"/>
                <w:szCs w:val="21"/>
              </w:rPr>
            </w:pP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23</w:t>
            </w:r>
          </w:p>
        </w:tc>
        <w:tc>
          <w:tcPr>
            <w:tcW w:w="111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拍卖等重要领域市场规范管理检查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文物经营活动经营</w:t>
            </w:r>
          </w:p>
          <w:p>
            <w:pPr>
              <w:widowControl/>
              <w:spacing w:line="240" w:lineRule="exact"/>
              <w:jc w:val="center"/>
              <w:rPr>
                <w:kern w:val="0"/>
                <w:sz w:val="21"/>
                <w:szCs w:val="21"/>
              </w:rPr>
            </w:pPr>
            <w:r>
              <w:rPr>
                <w:kern w:val="0"/>
                <w:sz w:val="21"/>
                <w:szCs w:val="21"/>
              </w:rPr>
              <w:t>资格</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vMerge w:val="restart"/>
            <w:tcBorders>
              <w:tl2br w:val="nil"/>
              <w:tr2bl w:val="nil"/>
            </w:tcBorders>
            <w:vAlign w:val="center"/>
          </w:tcPr>
          <w:p>
            <w:pPr>
              <w:widowControl/>
              <w:spacing w:line="240" w:lineRule="exact"/>
              <w:jc w:val="center"/>
              <w:rPr>
                <w:kern w:val="0"/>
                <w:sz w:val="21"/>
                <w:szCs w:val="21"/>
              </w:rPr>
            </w:pPr>
            <w:r>
              <w:rPr>
                <w:color w:val="000000"/>
                <w:kern w:val="0"/>
                <w:sz w:val="21"/>
                <w:szCs w:val="21"/>
              </w:rPr>
              <w:t>26959</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D：100%；</w:t>
            </w:r>
            <w:r>
              <w:rPr>
                <w:kern w:val="0"/>
                <w:sz w:val="21"/>
                <w:szCs w:val="21"/>
              </w:rPr>
              <w:br w:type="textWrapping"/>
            </w:r>
            <w:r>
              <w:rPr>
                <w:kern w:val="0"/>
                <w:sz w:val="21"/>
                <w:szCs w:val="21"/>
              </w:rPr>
              <w:t>E：100%；</w:t>
            </w:r>
            <w:r>
              <w:rPr>
                <w:kern w:val="0"/>
                <w:sz w:val="21"/>
                <w:szCs w:val="21"/>
              </w:rPr>
              <w:br w:type="textWrapping"/>
            </w:r>
            <w:r>
              <w:rPr>
                <w:kern w:val="0"/>
                <w:sz w:val="21"/>
                <w:szCs w:val="21"/>
              </w:rPr>
              <w:t>其他：1%。</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vMerge w:val="restart"/>
            <w:tcBorders>
              <w:tl2br w:val="nil"/>
              <w:tr2bl w:val="nil"/>
            </w:tcBorders>
            <w:vAlign w:val="center"/>
          </w:tcPr>
          <w:p>
            <w:pPr>
              <w:widowControl/>
              <w:spacing w:line="240" w:lineRule="exact"/>
              <w:jc w:val="center"/>
              <w:rPr>
                <w:kern w:val="0"/>
                <w:sz w:val="21"/>
                <w:szCs w:val="21"/>
              </w:rPr>
            </w:pPr>
            <w:r>
              <w:rPr>
                <w:kern w:val="0"/>
                <w:sz w:val="21"/>
                <w:szCs w:val="21"/>
              </w:rPr>
              <w:t>消保处</w:t>
            </w:r>
          </w:p>
        </w:tc>
        <w:tc>
          <w:tcPr>
            <w:tcW w:w="1620" w:type="dxa"/>
            <w:vMerge w:val="restart"/>
            <w:tcBorders>
              <w:tl2br w:val="nil"/>
              <w:tr2bl w:val="nil"/>
            </w:tcBorders>
            <w:vAlign w:val="center"/>
          </w:tcPr>
          <w:p>
            <w:pPr>
              <w:widowControl/>
              <w:spacing w:line="240" w:lineRule="exact"/>
              <w:jc w:val="left"/>
              <w:rPr>
                <w:kern w:val="0"/>
                <w:sz w:val="21"/>
                <w:szCs w:val="21"/>
              </w:rPr>
            </w:pPr>
            <w:r>
              <w:rPr>
                <w:kern w:val="0"/>
                <w:sz w:val="21"/>
                <w:szCs w:val="21"/>
              </w:rPr>
              <w:t>纳入综合抽查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为非法经营野生动物提供服务</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企业、个体工商户</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vMerge w:val="continue"/>
            <w:tcBorders>
              <w:tl2br w:val="nil"/>
              <w:tr2bl w:val="nil"/>
            </w:tcBorders>
            <w:vAlign w:val="center"/>
          </w:tcPr>
          <w:p>
            <w:pPr>
              <w:widowControl/>
              <w:spacing w:line="240" w:lineRule="exact"/>
              <w:jc w:val="left"/>
              <w:rPr>
                <w:kern w:val="0"/>
                <w:sz w:val="21"/>
                <w:szCs w:val="21"/>
              </w:rPr>
            </w:pP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D：100%；</w:t>
            </w:r>
            <w:r>
              <w:rPr>
                <w:kern w:val="0"/>
                <w:sz w:val="21"/>
                <w:szCs w:val="21"/>
              </w:rPr>
              <w:br w:type="textWrapping"/>
            </w:r>
            <w:r>
              <w:rPr>
                <w:kern w:val="0"/>
                <w:sz w:val="21"/>
                <w:szCs w:val="21"/>
              </w:rPr>
              <w:t>E：100%；</w:t>
            </w:r>
            <w:r>
              <w:rPr>
                <w:kern w:val="0"/>
                <w:sz w:val="21"/>
                <w:szCs w:val="21"/>
              </w:rPr>
              <w:br w:type="textWrapping"/>
            </w:r>
            <w:r>
              <w:rPr>
                <w:kern w:val="0"/>
                <w:sz w:val="21"/>
                <w:szCs w:val="21"/>
              </w:rPr>
              <w:t>其他：1%。</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vMerge w:val="continue"/>
            <w:tcBorders>
              <w:tl2br w:val="nil"/>
              <w:tr2bl w:val="nil"/>
            </w:tcBorders>
            <w:vAlign w:val="center"/>
          </w:tcPr>
          <w:p>
            <w:pPr>
              <w:widowControl/>
              <w:spacing w:line="240" w:lineRule="exact"/>
              <w:jc w:val="left"/>
              <w:rPr>
                <w:kern w:val="0"/>
                <w:sz w:val="21"/>
                <w:szCs w:val="21"/>
              </w:rPr>
            </w:pPr>
          </w:p>
        </w:tc>
        <w:tc>
          <w:tcPr>
            <w:tcW w:w="1620" w:type="dxa"/>
            <w:vMerge w:val="continue"/>
            <w:tcBorders>
              <w:tl2br w:val="nil"/>
              <w:tr2bl w:val="nil"/>
            </w:tcBorders>
            <w:vAlign w:val="center"/>
          </w:tcPr>
          <w:p>
            <w:pPr>
              <w:widowControl/>
              <w:spacing w:line="240" w:lineRule="exact"/>
              <w:jc w:val="left"/>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0"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24</w:t>
            </w:r>
          </w:p>
        </w:tc>
        <w:tc>
          <w:tcPr>
            <w:tcW w:w="1110" w:type="dxa"/>
            <w:tcBorders>
              <w:tl2br w:val="nil"/>
              <w:tr2bl w:val="nil"/>
            </w:tcBorders>
            <w:vAlign w:val="center"/>
          </w:tcPr>
          <w:p>
            <w:pPr>
              <w:widowControl/>
              <w:spacing w:line="240" w:lineRule="exact"/>
              <w:jc w:val="center"/>
              <w:rPr>
                <w:kern w:val="0"/>
                <w:sz w:val="21"/>
                <w:szCs w:val="21"/>
              </w:rPr>
            </w:pPr>
            <w:r>
              <w:rPr>
                <w:kern w:val="0"/>
                <w:sz w:val="21"/>
                <w:szCs w:val="21"/>
              </w:rPr>
              <w:t>价格行为检查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执行政府定价、政府指导价情况，明码标价情况及其他价格行为的检查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《价格法》规定的经营者</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20</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5%</w:t>
            </w:r>
          </w:p>
        </w:tc>
        <w:tc>
          <w:tcPr>
            <w:tcW w:w="872" w:type="dxa"/>
            <w:tcBorders>
              <w:tl2br w:val="nil"/>
              <w:tr2bl w:val="nil"/>
            </w:tcBorders>
            <w:vAlign w:val="center"/>
          </w:tcPr>
          <w:p>
            <w:pPr>
              <w:widowControl/>
              <w:spacing w:line="240" w:lineRule="exact"/>
              <w:jc w:val="center"/>
              <w:rPr>
                <w:kern w:val="0"/>
                <w:sz w:val="21"/>
                <w:szCs w:val="21"/>
              </w:rPr>
            </w:pPr>
            <w:r>
              <w:rPr>
                <w:kern w:val="0"/>
                <w:sz w:val="21"/>
                <w:szCs w:val="21"/>
              </w:rPr>
              <w:t>1-10月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双反处、有关区县市场监管</w:t>
            </w:r>
          </w:p>
          <w:p>
            <w:pPr>
              <w:widowControl/>
              <w:spacing w:line="240" w:lineRule="exact"/>
              <w:jc w:val="center"/>
              <w:rPr>
                <w:kern w:val="0"/>
                <w:sz w:val="21"/>
                <w:szCs w:val="21"/>
              </w:rPr>
            </w:pPr>
            <w:r>
              <w:rPr>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双反处</w:t>
            </w:r>
          </w:p>
        </w:tc>
        <w:tc>
          <w:tcPr>
            <w:tcW w:w="1620" w:type="dxa"/>
            <w:tcBorders>
              <w:tl2br w:val="nil"/>
              <w:tr2bl w:val="nil"/>
            </w:tcBorders>
            <w:vAlign w:val="center"/>
          </w:tcPr>
          <w:p>
            <w:pPr>
              <w:widowControl/>
              <w:spacing w:line="240" w:lineRule="exact"/>
              <w:jc w:val="center"/>
              <w:rPr>
                <w:kern w:val="0"/>
                <w:sz w:val="21"/>
                <w:szCs w:val="21"/>
              </w:rPr>
            </w:pPr>
            <w:r>
              <w:rPr>
                <w:kern w:val="0"/>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tcBorders>
              <w:tl2br w:val="nil"/>
              <w:tr2bl w:val="nil"/>
            </w:tcBorders>
            <w:vAlign w:val="center"/>
          </w:tcPr>
          <w:p>
            <w:pPr>
              <w:widowControl/>
              <w:spacing w:line="240" w:lineRule="exact"/>
              <w:jc w:val="center"/>
              <w:rPr>
                <w:kern w:val="0"/>
                <w:sz w:val="21"/>
                <w:szCs w:val="21"/>
              </w:rPr>
            </w:pPr>
            <w:r>
              <w:rPr>
                <w:kern w:val="0"/>
                <w:sz w:val="21"/>
                <w:szCs w:val="21"/>
              </w:rPr>
              <w:t>直销行为检查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重大变更、直销员报酬支付、信息报备和披露的情况的检查</w:t>
            </w:r>
          </w:p>
        </w:tc>
        <w:tc>
          <w:tcPr>
            <w:tcW w:w="3188" w:type="dxa"/>
            <w:tcBorders>
              <w:tl2br w:val="nil"/>
              <w:tr2bl w:val="nil"/>
            </w:tcBorders>
            <w:vAlign w:val="center"/>
          </w:tcPr>
          <w:p>
            <w:pPr>
              <w:widowControl/>
              <w:spacing w:line="240" w:lineRule="exact"/>
              <w:jc w:val="left"/>
              <w:rPr>
                <w:kern w:val="0"/>
                <w:sz w:val="21"/>
                <w:szCs w:val="21"/>
              </w:rPr>
            </w:pPr>
            <w:r>
              <w:rPr>
                <w:kern w:val="0"/>
                <w:sz w:val="21"/>
                <w:szCs w:val="21"/>
              </w:rPr>
              <w:t>直销企业总公司</w:t>
            </w:r>
          </w:p>
        </w:tc>
        <w:tc>
          <w:tcPr>
            <w:tcW w:w="931" w:type="dxa"/>
            <w:tcBorders>
              <w:tl2br w:val="nil"/>
              <w:tr2bl w:val="nil"/>
            </w:tcBorders>
            <w:vAlign w:val="center"/>
          </w:tcPr>
          <w:p>
            <w:pPr>
              <w:widowControl/>
              <w:spacing w:line="240" w:lineRule="exact"/>
              <w:jc w:val="center"/>
              <w:rPr>
                <w:kern w:val="0"/>
                <w:sz w:val="21"/>
                <w:szCs w:val="21"/>
              </w:rPr>
            </w:pPr>
            <w:r>
              <w:rPr>
                <w:kern w:val="0"/>
                <w:sz w:val="21"/>
                <w:szCs w:val="21"/>
              </w:rPr>
              <w:t>一般检查事项</w:t>
            </w:r>
          </w:p>
        </w:tc>
        <w:tc>
          <w:tcPr>
            <w:tcW w:w="993" w:type="dxa"/>
            <w:tcBorders>
              <w:tl2br w:val="nil"/>
              <w:tr2bl w:val="nil"/>
            </w:tcBorders>
            <w:vAlign w:val="center"/>
          </w:tcPr>
          <w:p>
            <w:pPr>
              <w:widowControl/>
              <w:spacing w:line="240" w:lineRule="exact"/>
              <w:jc w:val="center"/>
              <w:rPr>
                <w:kern w:val="0"/>
                <w:sz w:val="21"/>
                <w:szCs w:val="21"/>
              </w:rPr>
            </w:pPr>
            <w:r>
              <w:rPr>
                <w:kern w:val="0"/>
                <w:sz w:val="21"/>
                <w:szCs w:val="21"/>
              </w:rPr>
              <w:t>2</w:t>
            </w:r>
          </w:p>
        </w:tc>
        <w:tc>
          <w:tcPr>
            <w:tcW w:w="1541" w:type="dxa"/>
            <w:tcBorders>
              <w:tl2br w:val="nil"/>
              <w:tr2bl w:val="nil"/>
            </w:tcBorders>
            <w:vAlign w:val="center"/>
          </w:tcPr>
          <w:p>
            <w:pPr>
              <w:widowControl/>
              <w:spacing w:line="240" w:lineRule="exact"/>
              <w:jc w:val="center"/>
              <w:rPr>
                <w:kern w:val="0"/>
                <w:sz w:val="21"/>
                <w:szCs w:val="21"/>
              </w:rPr>
            </w:pPr>
            <w:r>
              <w:rPr>
                <w:kern w:val="0"/>
                <w:sz w:val="21"/>
                <w:szCs w:val="21"/>
              </w:rPr>
              <w:t>100%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kern w:val="0"/>
                <w:sz w:val="21"/>
                <w:szCs w:val="21"/>
              </w:rPr>
            </w:pPr>
            <w:r>
              <w:rPr>
                <w:kern w:val="0"/>
                <w:sz w:val="21"/>
                <w:szCs w:val="21"/>
              </w:rPr>
              <w:t>各区县市场监管</w:t>
            </w:r>
          </w:p>
          <w:p>
            <w:pPr>
              <w:widowControl/>
              <w:spacing w:line="240" w:lineRule="exact"/>
              <w:jc w:val="center"/>
              <w:rPr>
                <w:kern w:val="0"/>
                <w:sz w:val="21"/>
                <w:szCs w:val="21"/>
              </w:rPr>
            </w:pPr>
            <w:r>
              <w:rPr>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纳入综合抽查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25</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br w:type="textWrapping"/>
            </w:r>
            <w:r>
              <w:rPr>
                <w:color w:val="000000"/>
                <w:kern w:val="0"/>
                <w:sz w:val="21"/>
                <w:szCs w:val="21"/>
              </w:rPr>
              <w:t>专利真实性监督</w:t>
            </w:r>
          </w:p>
          <w:p>
            <w:pPr>
              <w:widowControl/>
              <w:spacing w:line="240" w:lineRule="exact"/>
              <w:jc w:val="center"/>
              <w:rPr>
                <w:color w:val="000000"/>
                <w:kern w:val="0"/>
                <w:sz w:val="21"/>
                <w:szCs w:val="21"/>
              </w:rPr>
            </w:pPr>
            <w:r>
              <w:rPr>
                <w:color w:val="000000"/>
                <w:kern w:val="0"/>
                <w:sz w:val="21"/>
                <w:szCs w:val="21"/>
              </w:rPr>
              <w:t>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专利证书、专利文件或专利申请文件真实性的检查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各类市场主体</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vMerge w:val="restart"/>
            <w:tcBorders>
              <w:tl2br w:val="nil"/>
              <w:tr2bl w:val="nil"/>
            </w:tcBorders>
            <w:vAlign w:val="center"/>
          </w:tcPr>
          <w:p>
            <w:pPr>
              <w:widowControl/>
              <w:spacing w:line="240" w:lineRule="exact"/>
              <w:jc w:val="center"/>
              <w:rPr>
                <w:i/>
                <w:iCs/>
                <w:color w:val="5B9BD5"/>
                <w:sz w:val="21"/>
                <w:szCs w:val="21"/>
              </w:rPr>
            </w:pPr>
            <w:r>
              <w:rPr>
                <w:color w:val="000000"/>
                <w:kern w:val="0"/>
                <w:sz w:val="21"/>
                <w:szCs w:val="21"/>
              </w:rPr>
              <w:t>26959</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市知识产权局</w:t>
            </w:r>
          </w:p>
        </w:tc>
        <w:tc>
          <w:tcPr>
            <w:tcW w:w="1620" w:type="dxa"/>
            <w:vMerge w:val="restart"/>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纳入综合抽查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产品专利宣传真实性的检查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各类市场主体</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5"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26</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商标使用行为的</w:t>
            </w:r>
          </w:p>
          <w:p>
            <w:pPr>
              <w:widowControl/>
              <w:spacing w:line="240" w:lineRule="exact"/>
              <w:jc w:val="center"/>
              <w:rPr>
                <w:color w:val="000000"/>
                <w:kern w:val="0"/>
                <w:sz w:val="21"/>
                <w:szCs w:val="21"/>
              </w:rPr>
            </w:pPr>
            <w:r>
              <w:rPr>
                <w:color w:val="000000"/>
                <w:kern w:val="0"/>
                <w:sz w:val="21"/>
                <w:szCs w:val="21"/>
              </w:rPr>
              <w:t>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商标使用行为的检查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企业、个体工商户、农民专业合作社</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集体商标、证明商标（含地理标志）使用行为的检查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企业、个体工商户、农民专业合作社</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商标印刷行为的检查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企业、个体工商户、农民专业合作社</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vMerge w:val="continue"/>
            <w:tcBorders>
              <w:tl2br w:val="nil"/>
              <w:tr2bl w:val="nil"/>
            </w:tcBorders>
            <w:vAlign w:val="center"/>
          </w:tcPr>
          <w:p>
            <w:pPr>
              <w:widowControl/>
              <w:spacing w:line="240" w:lineRule="exact"/>
              <w:jc w:val="left"/>
              <w:rPr>
                <w:color w:val="000000"/>
                <w:kern w:val="0"/>
                <w:sz w:val="21"/>
                <w:szCs w:val="21"/>
              </w:rPr>
            </w:pP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7-11月</w:t>
            </w:r>
          </w:p>
        </w:tc>
        <w:tc>
          <w:tcPr>
            <w:tcW w:w="1170"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各区县市场监管</w:t>
            </w:r>
          </w:p>
          <w:p>
            <w:pPr>
              <w:widowControl/>
              <w:spacing w:line="240" w:lineRule="exact"/>
              <w:jc w:val="center"/>
              <w:rPr>
                <w:color w:val="000000"/>
                <w:kern w:val="0"/>
                <w:sz w:val="21"/>
                <w:szCs w:val="21"/>
              </w:rPr>
            </w:pPr>
            <w:r>
              <w:rPr>
                <w:color w:val="000000"/>
                <w:kern w:val="0"/>
                <w:sz w:val="21"/>
                <w:szCs w:val="21"/>
              </w:rPr>
              <w:t>部门</w:t>
            </w: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vMerge w:val="continue"/>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0" w:hRule="atLeast"/>
          <w:jc w:val="center"/>
        </w:trPr>
        <w:tc>
          <w:tcPr>
            <w:tcW w:w="45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27</w:t>
            </w:r>
          </w:p>
        </w:tc>
        <w:tc>
          <w:tcPr>
            <w:tcW w:w="111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专利代理监督检查</w:t>
            </w: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专利代理机构主体资格和执业资质检查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专利代理机构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5</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5%</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9-11月</w:t>
            </w:r>
          </w:p>
        </w:tc>
        <w:tc>
          <w:tcPr>
            <w:tcW w:w="117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市知识产权局</w:t>
            </w:r>
          </w:p>
        </w:tc>
        <w:tc>
          <w:tcPr>
            <w:tcW w:w="900"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市知识产权局</w:t>
            </w:r>
          </w:p>
        </w:tc>
        <w:tc>
          <w:tcPr>
            <w:tcW w:w="1620" w:type="dxa"/>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kern w:val="0"/>
                <w:sz w:val="21"/>
                <w:szCs w:val="21"/>
              </w:rPr>
              <w:t>专利代理机构设立、变更、注销办事机构情况的检查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专利代理机构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一般检查事项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5</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5%</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9-11月</w:t>
            </w: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restart"/>
            <w:tcBorders>
              <w:tl2br w:val="nil"/>
              <w:tr2bl w:val="nil"/>
            </w:tcBorders>
            <w:vAlign w:val="center"/>
          </w:tcPr>
          <w:p>
            <w:pPr>
              <w:widowControl/>
              <w:spacing w:line="240" w:lineRule="exact"/>
              <w:jc w:val="center"/>
              <w:rPr>
                <w:kern w:val="0"/>
                <w:sz w:val="21"/>
                <w:szCs w:val="21"/>
              </w:rPr>
            </w:pPr>
            <w:r>
              <w:rPr>
                <w:spacing w:val="-15"/>
                <w:kern w:val="0"/>
                <w:sz w:val="21"/>
                <w:szCs w:val="21"/>
              </w:rPr>
              <w:t>专利代理机构</w:t>
            </w:r>
            <w:r>
              <w:rPr>
                <w:kern w:val="0"/>
                <w:sz w:val="21"/>
                <w:szCs w:val="21"/>
              </w:rPr>
              <w:br w:type="textWrapping"/>
            </w:r>
            <w:r>
              <w:rPr>
                <w:kern w:val="0"/>
                <w:sz w:val="21"/>
                <w:szCs w:val="21"/>
              </w:rPr>
              <w:t>专利代理人执业行为</w:t>
            </w:r>
          </w:p>
          <w:p>
            <w:pPr>
              <w:widowControl/>
              <w:spacing w:line="240" w:lineRule="exact"/>
              <w:jc w:val="center"/>
              <w:rPr>
                <w:kern w:val="0"/>
                <w:sz w:val="21"/>
                <w:szCs w:val="21"/>
              </w:rPr>
            </w:pPr>
            <w:r>
              <w:rPr>
                <w:kern w:val="0"/>
                <w:sz w:val="21"/>
                <w:szCs w:val="21"/>
              </w:rPr>
              <w:t>检查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专利代理机构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872" w:type="dxa"/>
            <w:vMerge w:val="restart"/>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9-11月</w:t>
            </w: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vMerge w:val="continue"/>
            <w:tcBorders>
              <w:tl2br w:val="nil"/>
              <w:tr2bl w:val="nil"/>
            </w:tcBorders>
            <w:vAlign w:val="center"/>
          </w:tcPr>
          <w:p>
            <w:pPr>
              <w:widowControl/>
              <w:spacing w:line="240" w:lineRule="exact"/>
              <w:jc w:val="left"/>
              <w:rPr>
                <w:kern w:val="0"/>
                <w:sz w:val="21"/>
                <w:szCs w:val="21"/>
              </w:rPr>
            </w:pP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专利代理人</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10%</w:t>
            </w:r>
          </w:p>
        </w:tc>
        <w:tc>
          <w:tcPr>
            <w:tcW w:w="872" w:type="dxa"/>
            <w:vMerge w:val="continue"/>
            <w:tcBorders>
              <w:tl2br w:val="nil"/>
              <w:tr2bl w:val="nil"/>
            </w:tcBorders>
            <w:vAlign w:val="center"/>
          </w:tcPr>
          <w:p>
            <w:pPr>
              <w:widowControl/>
              <w:spacing w:line="240" w:lineRule="exact"/>
              <w:jc w:val="left"/>
              <w:rPr>
                <w:color w:val="000000"/>
                <w:kern w:val="0"/>
                <w:sz w:val="21"/>
                <w:szCs w:val="21"/>
              </w:rPr>
            </w:pP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450" w:type="dxa"/>
            <w:vMerge w:val="continue"/>
            <w:tcBorders>
              <w:tl2br w:val="nil"/>
              <w:tr2bl w:val="nil"/>
            </w:tcBorders>
            <w:vAlign w:val="center"/>
          </w:tcPr>
          <w:p>
            <w:pPr>
              <w:widowControl/>
              <w:spacing w:line="240" w:lineRule="exact"/>
              <w:jc w:val="left"/>
              <w:rPr>
                <w:color w:val="000000"/>
                <w:kern w:val="0"/>
                <w:sz w:val="21"/>
                <w:szCs w:val="21"/>
              </w:rPr>
            </w:pPr>
          </w:p>
        </w:tc>
        <w:tc>
          <w:tcPr>
            <w:tcW w:w="1110" w:type="dxa"/>
            <w:vMerge w:val="continue"/>
            <w:tcBorders>
              <w:tl2br w:val="nil"/>
              <w:tr2bl w:val="nil"/>
            </w:tcBorders>
            <w:vAlign w:val="center"/>
          </w:tcPr>
          <w:p>
            <w:pPr>
              <w:widowControl/>
              <w:spacing w:line="240" w:lineRule="exact"/>
              <w:jc w:val="left"/>
              <w:rPr>
                <w:color w:val="000000"/>
                <w:kern w:val="0"/>
                <w:sz w:val="21"/>
                <w:szCs w:val="21"/>
              </w:rPr>
            </w:pPr>
          </w:p>
        </w:tc>
        <w:tc>
          <w:tcPr>
            <w:tcW w:w="2072" w:type="dxa"/>
            <w:tcBorders>
              <w:tl2br w:val="nil"/>
              <w:tr2bl w:val="nil"/>
            </w:tcBorders>
            <w:vAlign w:val="center"/>
          </w:tcPr>
          <w:p>
            <w:pPr>
              <w:widowControl/>
              <w:spacing w:line="240" w:lineRule="exact"/>
              <w:jc w:val="center"/>
              <w:rPr>
                <w:kern w:val="0"/>
                <w:sz w:val="21"/>
                <w:szCs w:val="21"/>
              </w:rPr>
            </w:pPr>
            <w:r>
              <w:rPr>
                <w:spacing w:val="-11"/>
                <w:kern w:val="0"/>
                <w:sz w:val="21"/>
                <w:szCs w:val="21"/>
              </w:rPr>
              <w:t>专利代理机构年度报告和信息公示情况核查</w:t>
            </w:r>
          </w:p>
        </w:tc>
        <w:tc>
          <w:tcPr>
            <w:tcW w:w="3188" w:type="dxa"/>
            <w:tcBorders>
              <w:tl2br w:val="nil"/>
              <w:tr2bl w:val="nil"/>
            </w:tcBorders>
            <w:vAlign w:val="center"/>
          </w:tcPr>
          <w:p>
            <w:pPr>
              <w:widowControl/>
              <w:spacing w:line="240" w:lineRule="exact"/>
              <w:jc w:val="left"/>
              <w:rPr>
                <w:color w:val="000000"/>
                <w:kern w:val="0"/>
                <w:sz w:val="21"/>
                <w:szCs w:val="21"/>
              </w:rPr>
            </w:pPr>
            <w:r>
              <w:rPr>
                <w:color w:val="000000"/>
                <w:kern w:val="0"/>
                <w:sz w:val="21"/>
                <w:szCs w:val="21"/>
              </w:rPr>
              <w:t>专利代理机构</w:t>
            </w:r>
          </w:p>
        </w:tc>
        <w:tc>
          <w:tcPr>
            <w:tcW w:w="93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重点检查事项</w:t>
            </w:r>
          </w:p>
        </w:tc>
        <w:tc>
          <w:tcPr>
            <w:tcW w:w="993"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1541"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30%</w:t>
            </w:r>
          </w:p>
        </w:tc>
        <w:tc>
          <w:tcPr>
            <w:tcW w:w="872" w:type="dxa"/>
            <w:tcBorders>
              <w:tl2br w:val="nil"/>
              <w:tr2bl w:val="nil"/>
            </w:tcBorders>
            <w:vAlign w:val="center"/>
          </w:tcPr>
          <w:p>
            <w:pPr>
              <w:widowControl/>
              <w:spacing w:line="240" w:lineRule="exact"/>
              <w:jc w:val="center"/>
              <w:rPr>
                <w:color w:val="000000"/>
                <w:kern w:val="0"/>
                <w:sz w:val="21"/>
                <w:szCs w:val="21"/>
              </w:rPr>
            </w:pPr>
            <w:r>
              <w:rPr>
                <w:color w:val="000000"/>
                <w:kern w:val="0"/>
                <w:sz w:val="21"/>
                <w:szCs w:val="21"/>
              </w:rPr>
              <w:t>9-11月</w:t>
            </w:r>
          </w:p>
        </w:tc>
        <w:tc>
          <w:tcPr>
            <w:tcW w:w="1170" w:type="dxa"/>
            <w:vMerge w:val="continue"/>
            <w:tcBorders>
              <w:tl2br w:val="nil"/>
              <w:tr2bl w:val="nil"/>
            </w:tcBorders>
            <w:vAlign w:val="center"/>
          </w:tcPr>
          <w:p>
            <w:pPr>
              <w:widowControl/>
              <w:spacing w:line="240" w:lineRule="exact"/>
              <w:jc w:val="left"/>
              <w:rPr>
                <w:color w:val="000000"/>
                <w:kern w:val="0"/>
                <w:sz w:val="21"/>
                <w:szCs w:val="21"/>
              </w:rPr>
            </w:pPr>
          </w:p>
        </w:tc>
        <w:tc>
          <w:tcPr>
            <w:tcW w:w="900" w:type="dxa"/>
            <w:vMerge w:val="continue"/>
            <w:tcBorders>
              <w:tl2br w:val="nil"/>
              <w:tr2bl w:val="nil"/>
            </w:tcBorders>
            <w:vAlign w:val="center"/>
          </w:tcPr>
          <w:p>
            <w:pPr>
              <w:widowControl/>
              <w:spacing w:line="240" w:lineRule="exact"/>
              <w:jc w:val="left"/>
              <w:rPr>
                <w:color w:val="000000"/>
                <w:kern w:val="0"/>
                <w:sz w:val="21"/>
                <w:szCs w:val="21"/>
              </w:rPr>
            </w:pPr>
          </w:p>
        </w:tc>
        <w:tc>
          <w:tcPr>
            <w:tcW w:w="1620" w:type="dxa"/>
            <w:tcBorders>
              <w:tl2br w:val="nil"/>
              <w:tr2bl w:val="nil"/>
            </w:tcBorders>
            <w:vAlign w:val="center"/>
          </w:tcPr>
          <w:p>
            <w:pPr>
              <w:widowControl/>
              <w:spacing w:line="240" w:lineRule="exact"/>
              <w:jc w:val="left"/>
              <w:rPr>
                <w:color w:val="000000"/>
                <w:kern w:val="0"/>
                <w:sz w:val="21"/>
                <w:szCs w:val="21"/>
              </w:rPr>
            </w:pPr>
          </w:p>
        </w:tc>
      </w:tr>
    </w:tbl>
    <w:p>
      <w:pPr>
        <w:spacing w:line="560" w:lineRule="exact"/>
        <w:ind w:firstLine="632" w:firstLineChars="200"/>
        <w:rPr>
          <w:color w:val="000000"/>
          <w:szCs w:val="32"/>
        </w:rPr>
      </w:pPr>
    </w:p>
    <w:p>
      <w:pPr>
        <w:rPr>
          <w:rFonts w:hint="eastAsia" w:ascii="方正仿宋_GBK"/>
        </w:rPr>
        <w:sectPr>
          <w:footerReference r:id="rId4" w:type="default"/>
          <w:pgSz w:w="16838" w:h="11906" w:orient="landscape"/>
          <w:pgMar w:top="1531" w:right="2098" w:bottom="1531" w:left="1984" w:header="851" w:footer="1417" w:gutter="0"/>
          <w:pgBorders>
            <w:top w:val="none" w:color="auto" w:sz="0" w:space="0"/>
            <w:left w:val="none" w:color="auto" w:sz="0" w:space="0"/>
            <w:bottom w:val="none" w:color="auto" w:sz="0" w:space="0"/>
            <w:right w:val="none" w:color="auto" w:sz="0" w:space="0"/>
          </w:pgBorders>
          <w:pgNumType w:fmt="decimal"/>
          <w:cols w:space="720" w:num="1"/>
          <w:rtlGutter w:val="0"/>
          <w:docGrid w:type="linesAndChars" w:linePitch="589" w:charSpace="-849"/>
        </w:sectPr>
      </w:pPr>
    </w:p>
    <w:p>
      <w:pPr>
        <w:rPr>
          <w:rFonts w:hint="eastAsia" w:ascii="方正仿宋_GBK"/>
        </w:rPr>
      </w:pPr>
    </w:p>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632" w:firstLineChars="200"/>
        <w:rPr>
          <w:rFonts w:hint="eastAsia"/>
        </w:rPr>
      </w:pPr>
    </w:p>
    <w:p/>
    <w:p/>
    <w:p/>
    <w:p/>
    <w:p/>
    <w:p/>
    <w:p/>
    <w:p/>
    <w:p>
      <w:pPr>
        <w:spacing w:line="570" w:lineRule="exact"/>
        <w:ind w:firstLine="276" w:firstLineChars="100"/>
        <w:rPr>
          <w:sz w:val="28"/>
          <w:szCs w:val="28"/>
        </w:rPr>
      </w:pPr>
    </w:p>
    <w:p>
      <w:pPr>
        <w:spacing w:line="570" w:lineRule="exact"/>
        <w:ind w:right="24" w:firstLine="276" w:firstLineChars="100"/>
        <w:rPr>
          <w:sz w:val="28"/>
          <w:szCs w:val="28"/>
        </w:rPr>
      </w:pPr>
    </w:p>
    <w:p>
      <w:pPr>
        <w:spacing w:line="570" w:lineRule="exact"/>
        <w:ind w:right="24" w:firstLine="276" w:firstLineChars="100"/>
        <w:rPr>
          <w:sz w:val="28"/>
          <w:szCs w:val="28"/>
        </w:rPr>
      </w:pPr>
      <w:r>
        <w:rPr>
          <w:sz w:val="28"/>
          <w:szCs w:val="28"/>
        </w:rPr>
        <w:pict>
          <v:line id="直线 18" o:spid="_x0000_s2053" o:spt="20" style="position:absolute;left:0pt;margin-left:0pt;margin-top:706.85pt;height:0pt;width:441pt;mso-position-horizontal-relative:margin;mso-position-vertical-relative:page;mso-wrap-distance-bottom:0pt;mso-wrap-distance-top:0pt;z-index:251661312;mso-width-relative:page;mso-height-relative:page;" filled="f" stroked="t" coordsize="21600,21600" o:gfxdata="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Y5Dx9YAAAAKAQAADwAAAAAAAAAB&#10;ACAAAAA4AAAAZHJzL2Rvd25yZXYueG1sUEsBAhQAFAAAAAgAh07iQMSOnl3DAQAAgwMAAA4AAAAA&#10;AAAAAQAgAAAAOwEAAGRycy9lMm9Eb2MueG1sUEsFBgAAAAAGAAYAWQEAAHAFAAAAAA==&#10;">
            <v:path arrowok="t"/>
            <v:fill on="f" focussize="0,0"/>
            <v:stroke weight="1pt" joinstyle="round"/>
            <v:imagedata o:title=""/>
            <o:lock v:ext="edit" aspectratio="f"/>
            <w10:wrap type="topAndBottom"/>
          </v:line>
        </w:pict>
      </w:r>
      <w:r>
        <w:rPr>
          <w:sz w:val="28"/>
          <w:szCs w:val="28"/>
        </w:rPr>
        <w:pict>
          <v:line id="直线 19" o:spid="_x0000_s2052" o:spt="20" style="position:absolute;left:0pt;margin-left:0.1pt;margin-top:741pt;height:0pt;width:442.2pt;mso-position-horizontal-relative:margin;mso-position-vertical-relative:page;mso-wrap-distance-bottom:0pt;mso-wrap-distance-top:0pt;z-index:251660288;mso-width-relative:page;mso-height-relative:page;" filled="f" stroked="t" coordsize="21600,21600" o:gfxdata="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WAAAAZHJzL1BLAQIUABQAAAAIAIdO4kA0EpS81gAAAAoBAAAPAAAAAAAA&#10;AAEAIAAAADgAAABkcnMvZG93bnJldi54bWxQSwECFAAUAAAACACHTuJAssCAN8UBAACDAwAADgAA&#10;AAAAAAABACAAAAA7AQAAZHJzL2Uyb0RvYy54bWxQSwUGAAAAAAYABgBZAQAAcgUAAAAA&#10;">
            <v:path arrowok="t"/>
            <v:fill on="f" focussize="0,0"/>
            <v:stroke weight="1pt" joinstyle="round"/>
            <v:imagedata o:title=""/>
            <o:lock v:ext="edit" aspectratio="f"/>
            <w10:wrap type="topAndBottom"/>
          </v:line>
        </w:pict>
      </w:r>
      <w:r>
        <w:rPr>
          <w:sz w:val="28"/>
          <w:szCs w:val="28"/>
        </w:rPr>
        <w:t>重庆市</w:t>
      </w:r>
      <w:r>
        <w:rPr>
          <w:rFonts w:hint="eastAsia"/>
          <w:sz w:val="28"/>
          <w:szCs w:val="28"/>
        </w:rPr>
        <w:t>市场监督管理</w:t>
      </w:r>
      <w:r>
        <w:rPr>
          <w:sz w:val="28"/>
          <w:szCs w:val="28"/>
        </w:rPr>
        <w:t xml:space="preserve">局办公室       </w:t>
      </w:r>
      <w:r>
        <w:rPr>
          <w:rFonts w:hint="eastAsia"/>
          <w:sz w:val="28"/>
          <w:szCs w:val="28"/>
        </w:rPr>
        <w:t xml:space="preserve">  </w:t>
      </w:r>
      <w:r>
        <w:rPr>
          <w:sz w:val="28"/>
          <w:szCs w:val="28"/>
        </w:rPr>
        <w:t xml:space="preserve">     </w:t>
      </w:r>
      <w:r>
        <w:rPr>
          <w:rFonts w:hint="eastAsia"/>
          <w:sz w:val="28"/>
          <w:szCs w:val="28"/>
          <w:lang w:eastAsia="zh-CN"/>
        </w:rPr>
        <w:t>2022年</w:t>
      </w:r>
      <w:r>
        <w:rPr>
          <w:rFonts w:hint="eastAsia"/>
          <w:sz w:val="28"/>
          <w:szCs w:val="28"/>
          <w:lang w:val="en-US" w:eastAsia="zh-CN"/>
        </w:rPr>
        <w:t>1</w:t>
      </w:r>
      <w:r>
        <w:rPr>
          <w:rFonts w:hint="eastAsia"/>
          <w:sz w:val="28"/>
          <w:szCs w:val="28"/>
          <w:lang w:eastAsia="zh-CN"/>
        </w:rPr>
        <w:t>月</w:t>
      </w:r>
      <w:r>
        <w:rPr>
          <w:rFonts w:hint="eastAsia"/>
          <w:sz w:val="28"/>
          <w:szCs w:val="28"/>
          <w:lang w:val="en-US" w:eastAsia="zh-CN"/>
        </w:rPr>
        <w:t>28</w:t>
      </w:r>
      <w:r>
        <w:rPr>
          <w:rFonts w:hint="eastAsia"/>
          <w:sz w:val="28"/>
          <w:szCs w:val="28"/>
          <w:lang w:eastAsia="zh-CN"/>
        </w:rPr>
        <w:t>日</w:t>
      </w:r>
      <w:r>
        <w:rPr>
          <w:sz w:val="28"/>
          <w:szCs w:val="28"/>
        </w:rPr>
        <w:t>印发</w:t>
      </w:r>
    </w:p>
    <w:sectPr>
      <w:pgSz w:w="11906" w:h="16838"/>
      <w:pgMar w:top="2098" w:right="1531" w:bottom="1984" w:left="1531" w:header="851" w:footer="1417" w:gutter="0"/>
      <w:pgBorders>
        <w:top w:val="none" w:color="auto" w:sz="0" w:space="0"/>
        <w:left w:val="none" w:color="auto" w:sz="0" w:space="0"/>
        <w:bottom w:val="none" w:color="auto" w:sz="0" w:space="0"/>
        <w:right w:val="none" w:color="auto" w:sz="0" w:space="0"/>
      </w:pgBorders>
      <w:pgNumType w:fmt="decimal"/>
      <w:cols w:space="720" w:num="1"/>
      <w:rtlGutter w:val="0"/>
      <w:docGrid w:type="linesAndChars" w:linePitch="58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3074" o:spid="_x0000_s3074" o:spt="202" type="#_x0000_t202" style="position:absolute;left:0pt;margin-top:0pt;height:18.15pt;width:49.05pt;mso-position-horizontal:outside;mso-position-horizontal-relative:margin;mso-wrap-style:none;z-index:251659264;mso-width-relative:page;mso-height-relative:page;" filled="f" stroked="f" coordsize="21600,21600" o:gfxdata="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uCiwp0gAAAAMBAAAPAAAAAAAAAAEAIAAAADgAAABkcnMvZG93bnJldi54bWxQ&#10;SwECFAAUAAAACACHTuJAegA7kSACAAA3BAAADgAAAAAAAAABACAAAAA3AQAAZHJzL2Uyb0RvYy54&#10;bWxQSwUGAAAAAAYABgBZAQAAyQUAAAAA&#10;">
          <v:path/>
          <v:fill on="f" focussize="0,0"/>
          <v:stroke on="f" weight="0.5pt"/>
          <v:imagedata o:title=""/>
          <o:lock v:ext="edit" aspectratio="f"/>
          <v:textbox inset="0mm,0mm,0mm,0mm" style="mso-fit-shape-to-text:t;">
            <w:txbxContent>
              <w:p>
                <w:pPr>
                  <w:snapToGrid w:val="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w:pict>
        <v:shape id="文本框 12" o:spid="_x0000_s3073"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s0lY&#10;7tAAAAAFAQAADwAAAAAAAAABACAAAAA4AAAAZHJzL2Rvd25yZXYueG1sUEsBAhQAFAAAAAgAh07i&#10;QA0Tqs0UAgAAGwQAAA4AAAAAAAAAAQAgAAAANQEAAGRycy9lMm9Eb2MueG1sUEsFBgAAAAAGAAYA&#10;WQEAALsFAAAAAA==&#10;">
          <v:path/>
          <v:fill on="f" focussize="0,0"/>
          <v:stroke on="f" weight="0.5pt"/>
          <v:imagedata o:title=""/>
          <o:lock v:ext="edit" aspectratio="f"/>
          <v:textbox inset="0mm,0mm,0mm,0mm" style="mso-fit-shape-to-text:t;">
            <w:txbxContent>
              <w:p>
                <w:pPr>
                  <w:snapToGrid w:val="0"/>
                  <w:rPr>
                    <w:rFonts w:ascii="宋体" w:hAnsi="宋体" w:eastAsia="宋体" w:cs="宋体"/>
                    <w:sz w:val="28"/>
                    <w:szCs w:val="28"/>
                  </w:rPr>
                </w:pPr>
                <w:r>
                  <w:rPr>
                    <w:rFonts w:hint="eastAsia" w:ascii="宋体" w:hAnsi="宋体" w:eastAsia="宋体" w:cs="宋体"/>
                    <w:sz w:val="28"/>
                    <w:szCs w:val="28"/>
                  </w:rPr>
                  <w:t xml:space="preserve">－ </w:t>
                </w:r>
                <w:r>
                  <w:rPr>
                    <w:rFonts w:eastAsia="宋体"/>
                    <w:sz w:val="28"/>
                    <w:szCs w:val="28"/>
                  </w:rPr>
                  <w:fldChar w:fldCharType="begin"/>
                </w:r>
                <w:r>
                  <w:rPr>
                    <w:rFonts w:eastAsia="宋体"/>
                    <w:sz w:val="28"/>
                    <w:szCs w:val="28"/>
                  </w:rPr>
                  <w:instrText xml:space="preserve"> PAGE  \* MERGEFORMAT </w:instrText>
                </w:r>
                <w:r>
                  <w:rPr>
                    <w:rFonts w:eastAsia="宋体"/>
                    <w:sz w:val="28"/>
                    <w:szCs w:val="28"/>
                  </w:rPr>
                  <w:fldChar w:fldCharType="separate"/>
                </w:r>
                <w:r>
                  <w:rPr>
                    <w:rFonts w:eastAsia="宋体"/>
                    <w:sz w:val="28"/>
                    <w:szCs w:val="28"/>
                  </w:rPr>
                  <w:t>1</w:t>
                </w:r>
                <w:r>
                  <w:rPr>
                    <w:rFonts w:eastAsia="宋体"/>
                    <w:sz w:val="28"/>
                    <w:szCs w:val="28"/>
                  </w:rPr>
                  <w:fldChar w:fldCharType="end"/>
                </w:r>
                <w:r>
                  <w:rPr>
                    <w:rFonts w:hint="eastAsia" w:ascii="宋体" w:hAnsi="宋体" w:eastAsia="宋体" w:cs="宋体"/>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revisionView w:markup="0"/>
  <w:trackRevisions w:val="1"/>
  <w:documentProtection w:enforcement="0"/>
  <w:defaultTabStop w:val="425"/>
  <w:hyphenationZone w:val="360"/>
  <w:doNotHyphenateCaps/>
  <w:drawingGridHorizontalSpacing w:val="158"/>
  <w:drawingGridVerticalSpacing w:val="295"/>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3"/>
    </o:shapelayout>
  </w:hdrShapeDefaults>
  <w:compat>
    <w:spaceForUL/>
    <w:balanceSingleByteDoubleByteWidth/>
    <w:doNotLeaveBackslashAlone/>
    <w:ulTrailSpace/>
    <w:doNotExpandShiftReturn/>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3AB1"/>
    <w:rsid w:val="00000382"/>
    <w:rsid w:val="00003093"/>
    <w:rsid w:val="0000329F"/>
    <w:rsid w:val="00007FC6"/>
    <w:rsid w:val="000116DA"/>
    <w:rsid w:val="00013335"/>
    <w:rsid w:val="00014B91"/>
    <w:rsid w:val="00015E64"/>
    <w:rsid w:val="00017121"/>
    <w:rsid w:val="0002225C"/>
    <w:rsid w:val="0002331B"/>
    <w:rsid w:val="0002417D"/>
    <w:rsid w:val="00024B01"/>
    <w:rsid w:val="00026F0E"/>
    <w:rsid w:val="000274E9"/>
    <w:rsid w:val="00030168"/>
    <w:rsid w:val="00031173"/>
    <w:rsid w:val="00031C22"/>
    <w:rsid w:val="00032977"/>
    <w:rsid w:val="00032B25"/>
    <w:rsid w:val="00033BC7"/>
    <w:rsid w:val="00035E05"/>
    <w:rsid w:val="00037023"/>
    <w:rsid w:val="0004032B"/>
    <w:rsid w:val="000415C6"/>
    <w:rsid w:val="00041B53"/>
    <w:rsid w:val="00041E75"/>
    <w:rsid w:val="0004373C"/>
    <w:rsid w:val="00043866"/>
    <w:rsid w:val="00043AB3"/>
    <w:rsid w:val="000460AE"/>
    <w:rsid w:val="000476FF"/>
    <w:rsid w:val="00051EA7"/>
    <w:rsid w:val="00055746"/>
    <w:rsid w:val="00056F10"/>
    <w:rsid w:val="00057F7E"/>
    <w:rsid w:val="000604B2"/>
    <w:rsid w:val="0006085E"/>
    <w:rsid w:val="00060E1C"/>
    <w:rsid w:val="00063AD5"/>
    <w:rsid w:val="00065EDA"/>
    <w:rsid w:val="000660AB"/>
    <w:rsid w:val="00066D40"/>
    <w:rsid w:val="00067F0D"/>
    <w:rsid w:val="00070408"/>
    <w:rsid w:val="000713E8"/>
    <w:rsid w:val="000714DF"/>
    <w:rsid w:val="00071E64"/>
    <w:rsid w:val="000729F4"/>
    <w:rsid w:val="000749FB"/>
    <w:rsid w:val="000761F2"/>
    <w:rsid w:val="000767F3"/>
    <w:rsid w:val="00084781"/>
    <w:rsid w:val="000858A8"/>
    <w:rsid w:val="000901C2"/>
    <w:rsid w:val="00091529"/>
    <w:rsid w:val="0009670D"/>
    <w:rsid w:val="00096AB3"/>
    <w:rsid w:val="000A4164"/>
    <w:rsid w:val="000A7420"/>
    <w:rsid w:val="000A79DD"/>
    <w:rsid w:val="000B1CE9"/>
    <w:rsid w:val="000B1D5E"/>
    <w:rsid w:val="000B43B8"/>
    <w:rsid w:val="000B4781"/>
    <w:rsid w:val="000B5FDB"/>
    <w:rsid w:val="000B6C65"/>
    <w:rsid w:val="000B7B3D"/>
    <w:rsid w:val="000C2038"/>
    <w:rsid w:val="000C2609"/>
    <w:rsid w:val="000C3C38"/>
    <w:rsid w:val="000C622A"/>
    <w:rsid w:val="000C6AF8"/>
    <w:rsid w:val="000C6B0C"/>
    <w:rsid w:val="000C6B21"/>
    <w:rsid w:val="000C702E"/>
    <w:rsid w:val="000C7DF8"/>
    <w:rsid w:val="000D2B51"/>
    <w:rsid w:val="000D2C2B"/>
    <w:rsid w:val="000D3F02"/>
    <w:rsid w:val="000D5654"/>
    <w:rsid w:val="000D6290"/>
    <w:rsid w:val="000D6346"/>
    <w:rsid w:val="000D63AE"/>
    <w:rsid w:val="000D70C0"/>
    <w:rsid w:val="000E0E10"/>
    <w:rsid w:val="000E0E39"/>
    <w:rsid w:val="000E2E8F"/>
    <w:rsid w:val="000E35F1"/>
    <w:rsid w:val="000E3696"/>
    <w:rsid w:val="000E3BE2"/>
    <w:rsid w:val="000E3C75"/>
    <w:rsid w:val="000E4131"/>
    <w:rsid w:val="000E5323"/>
    <w:rsid w:val="000E534A"/>
    <w:rsid w:val="000F045B"/>
    <w:rsid w:val="000F2923"/>
    <w:rsid w:val="000F51C7"/>
    <w:rsid w:val="000F54A2"/>
    <w:rsid w:val="00106917"/>
    <w:rsid w:val="00113397"/>
    <w:rsid w:val="0011527B"/>
    <w:rsid w:val="0011669C"/>
    <w:rsid w:val="00122F31"/>
    <w:rsid w:val="001230FC"/>
    <w:rsid w:val="00125E3B"/>
    <w:rsid w:val="0012609C"/>
    <w:rsid w:val="00126520"/>
    <w:rsid w:val="00130780"/>
    <w:rsid w:val="0013201D"/>
    <w:rsid w:val="00132A20"/>
    <w:rsid w:val="0014002A"/>
    <w:rsid w:val="00140220"/>
    <w:rsid w:val="001411E4"/>
    <w:rsid w:val="00142AA9"/>
    <w:rsid w:val="001456B5"/>
    <w:rsid w:val="00145DF4"/>
    <w:rsid w:val="00145E1D"/>
    <w:rsid w:val="00145F70"/>
    <w:rsid w:val="001508A5"/>
    <w:rsid w:val="001509A5"/>
    <w:rsid w:val="0015389A"/>
    <w:rsid w:val="00153A3D"/>
    <w:rsid w:val="0015694C"/>
    <w:rsid w:val="00160E8A"/>
    <w:rsid w:val="00160F7A"/>
    <w:rsid w:val="00162C80"/>
    <w:rsid w:val="001644EB"/>
    <w:rsid w:val="00166911"/>
    <w:rsid w:val="00166EAB"/>
    <w:rsid w:val="00170182"/>
    <w:rsid w:val="00171FC6"/>
    <w:rsid w:val="00175C23"/>
    <w:rsid w:val="0017677B"/>
    <w:rsid w:val="00180B55"/>
    <w:rsid w:val="00181320"/>
    <w:rsid w:val="00182365"/>
    <w:rsid w:val="00190910"/>
    <w:rsid w:val="00190B5C"/>
    <w:rsid w:val="00192BD7"/>
    <w:rsid w:val="0019633C"/>
    <w:rsid w:val="00197446"/>
    <w:rsid w:val="001A0CE8"/>
    <w:rsid w:val="001A280B"/>
    <w:rsid w:val="001A35F7"/>
    <w:rsid w:val="001A368C"/>
    <w:rsid w:val="001A3C53"/>
    <w:rsid w:val="001A3EB5"/>
    <w:rsid w:val="001A3EDE"/>
    <w:rsid w:val="001A7BC4"/>
    <w:rsid w:val="001B1681"/>
    <w:rsid w:val="001B232E"/>
    <w:rsid w:val="001B236F"/>
    <w:rsid w:val="001B5281"/>
    <w:rsid w:val="001B5FA3"/>
    <w:rsid w:val="001B6981"/>
    <w:rsid w:val="001B796D"/>
    <w:rsid w:val="001C0AE4"/>
    <w:rsid w:val="001C436D"/>
    <w:rsid w:val="001C43B5"/>
    <w:rsid w:val="001C586A"/>
    <w:rsid w:val="001C69ED"/>
    <w:rsid w:val="001C6D8F"/>
    <w:rsid w:val="001C7F40"/>
    <w:rsid w:val="001D01DF"/>
    <w:rsid w:val="001D1323"/>
    <w:rsid w:val="001D1889"/>
    <w:rsid w:val="001D328C"/>
    <w:rsid w:val="001D6275"/>
    <w:rsid w:val="001D735E"/>
    <w:rsid w:val="001D75CD"/>
    <w:rsid w:val="001D7777"/>
    <w:rsid w:val="001E14DC"/>
    <w:rsid w:val="001E1567"/>
    <w:rsid w:val="001E3E01"/>
    <w:rsid w:val="001E5DD4"/>
    <w:rsid w:val="001E6849"/>
    <w:rsid w:val="001E7EA3"/>
    <w:rsid w:val="001F345D"/>
    <w:rsid w:val="001F5290"/>
    <w:rsid w:val="001F5A35"/>
    <w:rsid w:val="001F6064"/>
    <w:rsid w:val="001F6855"/>
    <w:rsid w:val="001F6DA4"/>
    <w:rsid w:val="001F76DB"/>
    <w:rsid w:val="001F7B2F"/>
    <w:rsid w:val="00200EFD"/>
    <w:rsid w:val="002010BC"/>
    <w:rsid w:val="0020136C"/>
    <w:rsid w:val="002045EA"/>
    <w:rsid w:val="00204C4A"/>
    <w:rsid w:val="002052BE"/>
    <w:rsid w:val="0020592C"/>
    <w:rsid w:val="00206690"/>
    <w:rsid w:val="0021037F"/>
    <w:rsid w:val="002103C1"/>
    <w:rsid w:val="002137BE"/>
    <w:rsid w:val="0021392F"/>
    <w:rsid w:val="002140CF"/>
    <w:rsid w:val="002140D8"/>
    <w:rsid w:val="00214A94"/>
    <w:rsid w:val="00215824"/>
    <w:rsid w:val="002166FA"/>
    <w:rsid w:val="00216C56"/>
    <w:rsid w:val="0021707D"/>
    <w:rsid w:val="00220483"/>
    <w:rsid w:val="0022084D"/>
    <w:rsid w:val="00220DF3"/>
    <w:rsid w:val="002220F6"/>
    <w:rsid w:val="00222EB0"/>
    <w:rsid w:val="0022355D"/>
    <w:rsid w:val="00223BF9"/>
    <w:rsid w:val="00224040"/>
    <w:rsid w:val="00224147"/>
    <w:rsid w:val="0022439F"/>
    <w:rsid w:val="00226F12"/>
    <w:rsid w:val="0023028B"/>
    <w:rsid w:val="002316B7"/>
    <w:rsid w:val="00235010"/>
    <w:rsid w:val="00236D56"/>
    <w:rsid w:val="00237E75"/>
    <w:rsid w:val="002428FF"/>
    <w:rsid w:val="00242AFD"/>
    <w:rsid w:val="00245352"/>
    <w:rsid w:val="00245F32"/>
    <w:rsid w:val="00247742"/>
    <w:rsid w:val="00251358"/>
    <w:rsid w:val="0025354C"/>
    <w:rsid w:val="00256678"/>
    <w:rsid w:val="00257070"/>
    <w:rsid w:val="00260946"/>
    <w:rsid w:val="0026223F"/>
    <w:rsid w:val="0026233C"/>
    <w:rsid w:val="0026342D"/>
    <w:rsid w:val="00264224"/>
    <w:rsid w:val="00265878"/>
    <w:rsid w:val="002669DB"/>
    <w:rsid w:val="002678DD"/>
    <w:rsid w:val="00267B54"/>
    <w:rsid w:val="00270AF8"/>
    <w:rsid w:val="00271879"/>
    <w:rsid w:val="00275090"/>
    <w:rsid w:val="00277EC7"/>
    <w:rsid w:val="002802D2"/>
    <w:rsid w:val="00281BDD"/>
    <w:rsid w:val="00282903"/>
    <w:rsid w:val="0028300F"/>
    <w:rsid w:val="0028529E"/>
    <w:rsid w:val="00290500"/>
    <w:rsid w:val="0029229C"/>
    <w:rsid w:val="00292AD6"/>
    <w:rsid w:val="00294488"/>
    <w:rsid w:val="00294F1E"/>
    <w:rsid w:val="00295286"/>
    <w:rsid w:val="00295FDC"/>
    <w:rsid w:val="0029604E"/>
    <w:rsid w:val="002963BC"/>
    <w:rsid w:val="002A04DB"/>
    <w:rsid w:val="002A05F8"/>
    <w:rsid w:val="002A0EE7"/>
    <w:rsid w:val="002A1DED"/>
    <w:rsid w:val="002A1ED7"/>
    <w:rsid w:val="002A452E"/>
    <w:rsid w:val="002A69F6"/>
    <w:rsid w:val="002A7176"/>
    <w:rsid w:val="002B112B"/>
    <w:rsid w:val="002B190E"/>
    <w:rsid w:val="002B2343"/>
    <w:rsid w:val="002B2777"/>
    <w:rsid w:val="002B7A47"/>
    <w:rsid w:val="002C1113"/>
    <w:rsid w:val="002C293B"/>
    <w:rsid w:val="002C5979"/>
    <w:rsid w:val="002C667B"/>
    <w:rsid w:val="002C79F6"/>
    <w:rsid w:val="002D00D5"/>
    <w:rsid w:val="002D1241"/>
    <w:rsid w:val="002D3AF1"/>
    <w:rsid w:val="002E1618"/>
    <w:rsid w:val="002E3E9F"/>
    <w:rsid w:val="002E5373"/>
    <w:rsid w:val="002E5E4E"/>
    <w:rsid w:val="002E792F"/>
    <w:rsid w:val="002F07E9"/>
    <w:rsid w:val="002F0EDC"/>
    <w:rsid w:val="002F1C37"/>
    <w:rsid w:val="002F7604"/>
    <w:rsid w:val="002F7853"/>
    <w:rsid w:val="002F78BD"/>
    <w:rsid w:val="002F7CF4"/>
    <w:rsid w:val="003001CF"/>
    <w:rsid w:val="003018F7"/>
    <w:rsid w:val="00302648"/>
    <w:rsid w:val="00304155"/>
    <w:rsid w:val="00306347"/>
    <w:rsid w:val="003102BA"/>
    <w:rsid w:val="00311C8C"/>
    <w:rsid w:val="00312B2A"/>
    <w:rsid w:val="00313459"/>
    <w:rsid w:val="00314E9E"/>
    <w:rsid w:val="00315C61"/>
    <w:rsid w:val="00315E67"/>
    <w:rsid w:val="00316D18"/>
    <w:rsid w:val="00317A16"/>
    <w:rsid w:val="00323594"/>
    <w:rsid w:val="003247B9"/>
    <w:rsid w:val="00325703"/>
    <w:rsid w:val="00327FAD"/>
    <w:rsid w:val="00330574"/>
    <w:rsid w:val="003319E3"/>
    <w:rsid w:val="00331F3D"/>
    <w:rsid w:val="00332A67"/>
    <w:rsid w:val="00333F1D"/>
    <w:rsid w:val="00336B22"/>
    <w:rsid w:val="00336D04"/>
    <w:rsid w:val="00336FE1"/>
    <w:rsid w:val="00340685"/>
    <w:rsid w:val="003422A9"/>
    <w:rsid w:val="00342B1E"/>
    <w:rsid w:val="00344BEE"/>
    <w:rsid w:val="00346317"/>
    <w:rsid w:val="00350DEA"/>
    <w:rsid w:val="003530C5"/>
    <w:rsid w:val="00355240"/>
    <w:rsid w:val="003570D8"/>
    <w:rsid w:val="00357D61"/>
    <w:rsid w:val="0036009E"/>
    <w:rsid w:val="00360684"/>
    <w:rsid w:val="00360E8E"/>
    <w:rsid w:val="003611A8"/>
    <w:rsid w:val="0036123E"/>
    <w:rsid w:val="00363066"/>
    <w:rsid w:val="00371B13"/>
    <w:rsid w:val="00372810"/>
    <w:rsid w:val="003770C7"/>
    <w:rsid w:val="0037719B"/>
    <w:rsid w:val="00380BB0"/>
    <w:rsid w:val="00380D5A"/>
    <w:rsid w:val="00380EB5"/>
    <w:rsid w:val="00381757"/>
    <w:rsid w:val="0038208F"/>
    <w:rsid w:val="00384420"/>
    <w:rsid w:val="00384E2C"/>
    <w:rsid w:val="0038564B"/>
    <w:rsid w:val="003903E3"/>
    <w:rsid w:val="003913F0"/>
    <w:rsid w:val="00392691"/>
    <w:rsid w:val="00392F1C"/>
    <w:rsid w:val="003958FD"/>
    <w:rsid w:val="00395F25"/>
    <w:rsid w:val="003A09FD"/>
    <w:rsid w:val="003A29DE"/>
    <w:rsid w:val="003A3CA9"/>
    <w:rsid w:val="003A4168"/>
    <w:rsid w:val="003A5412"/>
    <w:rsid w:val="003A54DB"/>
    <w:rsid w:val="003A6062"/>
    <w:rsid w:val="003A7B14"/>
    <w:rsid w:val="003B3200"/>
    <w:rsid w:val="003B32E3"/>
    <w:rsid w:val="003B3D8A"/>
    <w:rsid w:val="003B42C6"/>
    <w:rsid w:val="003B4FE4"/>
    <w:rsid w:val="003C0386"/>
    <w:rsid w:val="003C0792"/>
    <w:rsid w:val="003C0A11"/>
    <w:rsid w:val="003C0DA0"/>
    <w:rsid w:val="003C3396"/>
    <w:rsid w:val="003C5813"/>
    <w:rsid w:val="003C5DAC"/>
    <w:rsid w:val="003C730F"/>
    <w:rsid w:val="003D010F"/>
    <w:rsid w:val="003D320B"/>
    <w:rsid w:val="003D3543"/>
    <w:rsid w:val="003D3ABF"/>
    <w:rsid w:val="003D43D4"/>
    <w:rsid w:val="003D5597"/>
    <w:rsid w:val="003D5CA0"/>
    <w:rsid w:val="003D61DD"/>
    <w:rsid w:val="003D7775"/>
    <w:rsid w:val="003E0FD8"/>
    <w:rsid w:val="003E4469"/>
    <w:rsid w:val="003F0225"/>
    <w:rsid w:val="003F4E5F"/>
    <w:rsid w:val="003F5E8A"/>
    <w:rsid w:val="003F6559"/>
    <w:rsid w:val="004002C1"/>
    <w:rsid w:val="00401638"/>
    <w:rsid w:val="00401FD1"/>
    <w:rsid w:val="00406782"/>
    <w:rsid w:val="00407B6E"/>
    <w:rsid w:val="00410789"/>
    <w:rsid w:val="00411D13"/>
    <w:rsid w:val="00412BB8"/>
    <w:rsid w:val="00413C1F"/>
    <w:rsid w:val="004148F8"/>
    <w:rsid w:val="0041595F"/>
    <w:rsid w:val="00415A2B"/>
    <w:rsid w:val="00415B16"/>
    <w:rsid w:val="00416796"/>
    <w:rsid w:val="00416C1B"/>
    <w:rsid w:val="00416E30"/>
    <w:rsid w:val="00417CB6"/>
    <w:rsid w:val="00422B22"/>
    <w:rsid w:val="00422ED4"/>
    <w:rsid w:val="0042331F"/>
    <w:rsid w:val="0042580B"/>
    <w:rsid w:val="00426909"/>
    <w:rsid w:val="004271EF"/>
    <w:rsid w:val="00430559"/>
    <w:rsid w:val="00432138"/>
    <w:rsid w:val="00432546"/>
    <w:rsid w:val="00432DDA"/>
    <w:rsid w:val="00433CAD"/>
    <w:rsid w:val="00436211"/>
    <w:rsid w:val="0044037B"/>
    <w:rsid w:val="004422E1"/>
    <w:rsid w:val="00442BEA"/>
    <w:rsid w:val="00443407"/>
    <w:rsid w:val="00445B06"/>
    <w:rsid w:val="00446F3A"/>
    <w:rsid w:val="00451491"/>
    <w:rsid w:val="00452A7D"/>
    <w:rsid w:val="00452C5B"/>
    <w:rsid w:val="004563B2"/>
    <w:rsid w:val="00456F24"/>
    <w:rsid w:val="00456FE6"/>
    <w:rsid w:val="004648E5"/>
    <w:rsid w:val="00466CDC"/>
    <w:rsid w:val="004670BA"/>
    <w:rsid w:val="0047035B"/>
    <w:rsid w:val="004707C9"/>
    <w:rsid w:val="00472AA6"/>
    <w:rsid w:val="004730AE"/>
    <w:rsid w:val="004735E9"/>
    <w:rsid w:val="00473DA3"/>
    <w:rsid w:val="004756FE"/>
    <w:rsid w:val="004757F9"/>
    <w:rsid w:val="00475856"/>
    <w:rsid w:val="00475D0A"/>
    <w:rsid w:val="0047618E"/>
    <w:rsid w:val="00476FEC"/>
    <w:rsid w:val="00480ADB"/>
    <w:rsid w:val="004813F7"/>
    <w:rsid w:val="00482441"/>
    <w:rsid w:val="00484A69"/>
    <w:rsid w:val="0048562D"/>
    <w:rsid w:val="00486B4A"/>
    <w:rsid w:val="00490890"/>
    <w:rsid w:val="004918FD"/>
    <w:rsid w:val="00493354"/>
    <w:rsid w:val="00497655"/>
    <w:rsid w:val="004A1974"/>
    <w:rsid w:val="004A1B93"/>
    <w:rsid w:val="004A22B3"/>
    <w:rsid w:val="004A276A"/>
    <w:rsid w:val="004A27F8"/>
    <w:rsid w:val="004A2C53"/>
    <w:rsid w:val="004A4E91"/>
    <w:rsid w:val="004A5289"/>
    <w:rsid w:val="004A55B2"/>
    <w:rsid w:val="004A55BD"/>
    <w:rsid w:val="004A5A3E"/>
    <w:rsid w:val="004B00B2"/>
    <w:rsid w:val="004B034D"/>
    <w:rsid w:val="004B05C2"/>
    <w:rsid w:val="004B1AA9"/>
    <w:rsid w:val="004B1AE8"/>
    <w:rsid w:val="004B22A6"/>
    <w:rsid w:val="004B2A16"/>
    <w:rsid w:val="004B353B"/>
    <w:rsid w:val="004B77ED"/>
    <w:rsid w:val="004C1BB7"/>
    <w:rsid w:val="004C2358"/>
    <w:rsid w:val="004C602E"/>
    <w:rsid w:val="004C6C3F"/>
    <w:rsid w:val="004D0001"/>
    <w:rsid w:val="004D05A4"/>
    <w:rsid w:val="004D2B5A"/>
    <w:rsid w:val="004D2FAE"/>
    <w:rsid w:val="004D37D9"/>
    <w:rsid w:val="004D53E2"/>
    <w:rsid w:val="004E045E"/>
    <w:rsid w:val="004E2003"/>
    <w:rsid w:val="004E34B5"/>
    <w:rsid w:val="004E4451"/>
    <w:rsid w:val="004E4AB6"/>
    <w:rsid w:val="004E5B19"/>
    <w:rsid w:val="004E6476"/>
    <w:rsid w:val="004F2EF7"/>
    <w:rsid w:val="004F4E03"/>
    <w:rsid w:val="004F4E3A"/>
    <w:rsid w:val="004F4E6A"/>
    <w:rsid w:val="004F632C"/>
    <w:rsid w:val="00501FED"/>
    <w:rsid w:val="0050495F"/>
    <w:rsid w:val="00504D06"/>
    <w:rsid w:val="00505CF1"/>
    <w:rsid w:val="00506344"/>
    <w:rsid w:val="005063E2"/>
    <w:rsid w:val="005075C4"/>
    <w:rsid w:val="00511CF8"/>
    <w:rsid w:val="00517738"/>
    <w:rsid w:val="00517C76"/>
    <w:rsid w:val="00521D36"/>
    <w:rsid w:val="00522C9C"/>
    <w:rsid w:val="00523D39"/>
    <w:rsid w:val="00525073"/>
    <w:rsid w:val="0052522F"/>
    <w:rsid w:val="00526832"/>
    <w:rsid w:val="00527BE2"/>
    <w:rsid w:val="00527C67"/>
    <w:rsid w:val="0053488A"/>
    <w:rsid w:val="00534AB0"/>
    <w:rsid w:val="00534BE8"/>
    <w:rsid w:val="005355AE"/>
    <w:rsid w:val="00541744"/>
    <w:rsid w:val="00544048"/>
    <w:rsid w:val="0054409A"/>
    <w:rsid w:val="00552ABE"/>
    <w:rsid w:val="00553517"/>
    <w:rsid w:val="00553787"/>
    <w:rsid w:val="005537DE"/>
    <w:rsid w:val="005550A0"/>
    <w:rsid w:val="0055528E"/>
    <w:rsid w:val="00555808"/>
    <w:rsid w:val="00555C9A"/>
    <w:rsid w:val="005633B2"/>
    <w:rsid w:val="0056370D"/>
    <w:rsid w:val="005645AA"/>
    <w:rsid w:val="00564F93"/>
    <w:rsid w:val="00566C60"/>
    <w:rsid w:val="00567AB2"/>
    <w:rsid w:val="00567E6D"/>
    <w:rsid w:val="00572219"/>
    <w:rsid w:val="0057299E"/>
    <w:rsid w:val="005735B2"/>
    <w:rsid w:val="00575FE2"/>
    <w:rsid w:val="005768BE"/>
    <w:rsid w:val="005768CC"/>
    <w:rsid w:val="00576B02"/>
    <w:rsid w:val="00576BF2"/>
    <w:rsid w:val="0058062E"/>
    <w:rsid w:val="005813FC"/>
    <w:rsid w:val="00582E9D"/>
    <w:rsid w:val="00584AFF"/>
    <w:rsid w:val="00586EDE"/>
    <w:rsid w:val="00586EE6"/>
    <w:rsid w:val="00587BF5"/>
    <w:rsid w:val="00590FF3"/>
    <w:rsid w:val="00591049"/>
    <w:rsid w:val="0059296C"/>
    <w:rsid w:val="005935FE"/>
    <w:rsid w:val="00593B26"/>
    <w:rsid w:val="00593C9A"/>
    <w:rsid w:val="00594305"/>
    <w:rsid w:val="00594FC3"/>
    <w:rsid w:val="00595909"/>
    <w:rsid w:val="00595EB6"/>
    <w:rsid w:val="005A1AB2"/>
    <w:rsid w:val="005A2689"/>
    <w:rsid w:val="005A36D7"/>
    <w:rsid w:val="005A64F6"/>
    <w:rsid w:val="005B030E"/>
    <w:rsid w:val="005B0E4B"/>
    <w:rsid w:val="005B2CD4"/>
    <w:rsid w:val="005B3681"/>
    <w:rsid w:val="005C176B"/>
    <w:rsid w:val="005C31F3"/>
    <w:rsid w:val="005C361D"/>
    <w:rsid w:val="005C3DA5"/>
    <w:rsid w:val="005C5515"/>
    <w:rsid w:val="005C68AB"/>
    <w:rsid w:val="005C771F"/>
    <w:rsid w:val="005D06DD"/>
    <w:rsid w:val="005D765C"/>
    <w:rsid w:val="005D78D1"/>
    <w:rsid w:val="005E2129"/>
    <w:rsid w:val="005E4D94"/>
    <w:rsid w:val="005F01D9"/>
    <w:rsid w:val="005F2796"/>
    <w:rsid w:val="005F4EF1"/>
    <w:rsid w:val="005F6171"/>
    <w:rsid w:val="005F7336"/>
    <w:rsid w:val="005F7C32"/>
    <w:rsid w:val="00601AEE"/>
    <w:rsid w:val="00602FB8"/>
    <w:rsid w:val="00606B42"/>
    <w:rsid w:val="00607B3F"/>
    <w:rsid w:val="00610419"/>
    <w:rsid w:val="00611EEE"/>
    <w:rsid w:val="00612373"/>
    <w:rsid w:val="00615CA2"/>
    <w:rsid w:val="006162DD"/>
    <w:rsid w:val="00616B00"/>
    <w:rsid w:val="00617191"/>
    <w:rsid w:val="00617CF7"/>
    <w:rsid w:val="00621730"/>
    <w:rsid w:val="0062280C"/>
    <w:rsid w:val="006230A9"/>
    <w:rsid w:val="006231AB"/>
    <w:rsid w:val="0062542F"/>
    <w:rsid w:val="006265EB"/>
    <w:rsid w:val="0062703C"/>
    <w:rsid w:val="006275AA"/>
    <w:rsid w:val="00630B2B"/>
    <w:rsid w:val="00631FFA"/>
    <w:rsid w:val="006400EF"/>
    <w:rsid w:val="00640E01"/>
    <w:rsid w:val="00640FC0"/>
    <w:rsid w:val="00641C93"/>
    <w:rsid w:val="00642FD9"/>
    <w:rsid w:val="00643053"/>
    <w:rsid w:val="0064596F"/>
    <w:rsid w:val="006461FA"/>
    <w:rsid w:val="00646FA8"/>
    <w:rsid w:val="00647779"/>
    <w:rsid w:val="006507D1"/>
    <w:rsid w:val="00652324"/>
    <w:rsid w:val="006526DA"/>
    <w:rsid w:val="00655BFB"/>
    <w:rsid w:val="006568D4"/>
    <w:rsid w:val="00657738"/>
    <w:rsid w:val="0066022F"/>
    <w:rsid w:val="00660332"/>
    <w:rsid w:val="0066095C"/>
    <w:rsid w:val="00662C3F"/>
    <w:rsid w:val="00663278"/>
    <w:rsid w:val="006637B3"/>
    <w:rsid w:val="00665338"/>
    <w:rsid w:val="0066777D"/>
    <w:rsid w:val="006718B7"/>
    <w:rsid w:val="006734B4"/>
    <w:rsid w:val="00674AF6"/>
    <w:rsid w:val="00674C3A"/>
    <w:rsid w:val="00674F34"/>
    <w:rsid w:val="00677696"/>
    <w:rsid w:val="00680191"/>
    <w:rsid w:val="006812CB"/>
    <w:rsid w:val="0068243F"/>
    <w:rsid w:val="00683589"/>
    <w:rsid w:val="00685C1D"/>
    <w:rsid w:val="00687CBB"/>
    <w:rsid w:val="006912AB"/>
    <w:rsid w:val="006A0687"/>
    <w:rsid w:val="006A2A41"/>
    <w:rsid w:val="006A37F9"/>
    <w:rsid w:val="006A5983"/>
    <w:rsid w:val="006A6056"/>
    <w:rsid w:val="006A72DD"/>
    <w:rsid w:val="006A7719"/>
    <w:rsid w:val="006B0914"/>
    <w:rsid w:val="006B0CB0"/>
    <w:rsid w:val="006B2BBC"/>
    <w:rsid w:val="006B402B"/>
    <w:rsid w:val="006B42D1"/>
    <w:rsid w:val="006B52BB"/>
    <w:rsid w:val="006B678E"/>
    <w:rsid w:val="006C10DA"/>
    <w:rsid w:val="006C292E"/>
    <w:rsid w:val="006C36C2"/>
    <w:rsid w:val="006C6213"/>
    <w:rsid w:val="006C6C44"/>
    <w:rsid w:val="006C7961"/>
    <w:rsid w:val="006D1279"/>
    <w:rsid w:val="006D210F"/>
    <w:rsid w:val="006D2A94"/>
    <w:rsid w:val="006D3E0D"/>
    <w:rsid w:val="006D3FE7"/>
    <w:rsid w:val="006D4CBB"/>
    <w:rsid w:val="006D6265"/>
    <w:rsid w:val="006D7E39"/>
    <w:rsid w:val="006E29AA"/>
    <w:rsid w:val="006E35BD"/>
    <w:rsid w:val="006E3745"/>
    <w:rsid w:val="006E644B"/>
    <w:rsid w:val="006E65FF"/>
    <w:rsid w:val="006E75A6"/>
    <w:rsid w:val="006E794F"/>
    <w:rsid w:val="006F0ECC"/>
    <w:rsid w:val="006F1165"/>
    <w:rsid w:val="006F2093"/>
    <w:rsid w:val="006F292D"/>
    <w:rsid w:val="006F3067"/>
    <w:rsid w:val="006F42C2"/>
    <w:rsid w:val="006F5B19"/>
    <w:rsid w:val="00700DB7"/>
    <w:rsid w:val="00701690"/>
    <w:rsid w:val="0070368B"/>
    <w:rsid w:val="007069BB"/>
    <w:rsid w:val="00710BEB"/>
    <w:rsid w:val="00711FF0"/>
    <w:rsid w:val="00712141"/>
    <w:rsid w:val="007144F4"/>
    <w:rsid w:val="007164B9"/>
    <w:rsid w:val="007164FB"/>
    <w:rsid w:val="00721D23"/>
    <w:rsid w:val="00721FD5"/>
    <w:rsid w:val="0072376D"/>
    <w:rsid w:val="0072529B"/>
    <w:rsid w:val="00725E29"/>
    <w:rsid w:val="007260CA"/>
    <w:rsid w:val="007303B8"/>
    <w:rsid w:val="00733008"/>
    <w:rsid w:val="007332DE"/>
    <w:rsid w:val="00737AE4"/>
    <w:rsid w:val="00740AAD"/>
    <w:rsid w:val="00742385"/>
    <w:rsid w:val="00743812"/>
    <w:rsid w:val="00745ADA"/>
    <w:rsid w:val="0074653F"/>
    <w:rsid w:val="00746629"/>
    <w:rsid w:val="00746685"/>
    <w:rsid w:val="00747577"/>
    <w:rsid w:val="007517B2"/>
    <w:rsid w:val="0075193E"/>
    <w:rsid w:val="00752483"/>
    <w:rsid w:val="007527F6"/>
    <w:rsid w:val="007534DB"/>
    <w:rsid w:val="00753CF7"/>
    <w:rsid w:val="00754ECE"/>
    <w:rsid w:val="00757405"/>
    <w:rsid w:val="00760E60"/>
    <w:rsid w:val="0076159F"/>
    <w:rsid w:val="00764F3C"/>
    <w:rsid w:val="00766BBE"/>
    <w:rsid w:val="00770632"/>
    <w:rsid w:val="00770B22"/>
    <w:rsid w:val="0077352A"/>
    <w:rsid w:val="00773980"/>
    <w:rsid w:val="007741CD"/>
    <w:rsid w:val="00774A71"/>
    <w:rsid w:val="00774FF8"/>
    <w:rsid w:val="00775F80"/>
    <w:rsid w:val="00775F81"/>
    <w:rsid w:val="00782A04"/>
    <w:rsid w:val="00783418"/>
    <w:rsid w:val="007835AD"/>
    <w:rsid w:val="00784A8B"/>
    <w:rsid w:val="00787B1F"/>
    <w:rsid w:val="007916DF"/>
    <w:rsid w:val="0079195B"/>
    <w:rsid w:val="007919A3"/>
    <w:rsid w:val="00791C06"/>
    <w:rsid w:val="00794232"/>
    <w:rsid w:val="0079556B"/>
    <w:rsid w:val="007959AF"/>
    <w:rsid w:val="00796335"/>
    <w:rsid w:val="007A00C5"/>
    <w:rsid w:val="007A0E2B"/>
    <w:rsid w:val="007A1B95"/>
    <w:rsid w:val="007A243D"/>
    <w:rsid w:val="007A3691"/>
    <w:rsid w:val="007A46C8"/>
    <w:rsid w:val="007A493E"/>
    <w:rsid w:val="007A4D7E"/>
    <w:rsid w:val="007A61AE"/>
    <w:rsid w:val="007A6CE0"/>
    <w:rsid w:val="007A73F1"/>
    <w:rsid w:val="007A7771"/>
    <w:rsid w:val="007A7B33"/>
    <w:rsid w:val="007A7E11"/>
    <w:rsid w:val="007B0A9C"/>
    <w:rsid w:val="007B174C"/>
    <w:rsid w:val="007B1F4F"/>
    <w:rsid w:val="007B244B"/>
    <w:rsid w:val="007B3344"/>
    <w:rsid w:val="007B3D6D"/>
    <w:rsid w:val="007B407E"/>
    <w:rsid w:val="007B4F58"/>
    <w:rsid w:val="007C1885"/>
    <w:rsid w:val="007C1BA0"/>
    <w:rsid w:val="007C1C0A"/>
    <w:rsid w:val="007C3278"/>
    <w:rsid w:val="007C3A3B"/>
    <w:rsid w:val="007C41E1"/>
    <w:rsid w:val="007C4A27"/>
    <w:rsid w:val="007C63C4"/>
    <w:rsid w:val="007C67A8"/>
    <w:rsid w:val="007C6A57"/>
    <w:rsid w:val="007D4241"/>
    <w:rsid w:val="007D493E"/>
    <w:rsid w:val="007D49BB"/>
    <w:rsid w:val="007D50E5"/>
    <w:rsid w:val="007D5AE9"/>
    <w:rsid w:val="007E01E1"/>
    <w:rsid w:val="007E04A2"/>
    <w:rsid w:val="007E0DD6"/>
    <w:rsid w:val="007E25A3"/>
    <w:rsid w:val="007E2840"/>
    <w:rsid w:val="007E4AD3"/>
    <w:rsid w:val="007E7945"/>
    <w:rsid w:val="007F2486"/>
    <w:rsid w:val="007F7679"/>
    <w:rsid w:val="007F796B"/>
    <w:rsid w:val="00803F9A"/>
    <w:rsid w:val="0080486D"/>
    <w:rsid w:val="00805493"/>
    <w:rsid w:val="008073F7"/>
    <w:rsid w:val="008149ED"/>
    <w:rsid w:val="008203D2"/>
    <w:rsid w:val="00820AB7"/>
    <w:rsid w:val="0082111A"/>
    <w:rsid w:val="00821D6E"/>
    <w:rsid w:val="00823BB0"/>
    <w:rsid w:val="00826C16"/>
    <w:rsid w:val="0083061C"/>
    <w:rsid w:val="00830995"/>
    <w:rsid w:val="008310EE"/>
    <w:rsid w:val="008322B8"/>
    <w:rsid w:val="00832878"/>
    <w:rsid w:val="00832B54"/>
    <w:rsid w:val="00832ECA"/>
    <w:rsid w:val="008339C6"/>
    <w:rsid w:val="008361FB"/>
    <w:rsid w:val="00836356"/>
    <w:rsid w:val="00836DD7"/>
    <w:rsid w:val="008374B1"/>
    <w:rsid w:val="00837A0C"/>
    <w:rsid w:val="00840B80"/>
    <w:rsid w:val="00841C7D"/>
    <w:rsid w:val="00842651"/>
    <w:rsid w:val="00843D0D"/>
    <w:rsid w:val="00845950"/>
    <w:rsid w:val="008517AE"/>
    <w:rsid w:val="00851896"/>
    <w:rsid w:val="0085205A"/>
    <w:rsid w:val="00852839"/>
    <w:rsid w:val="00854165"/>
    <w:rsid w:val="008565DA"/>
    <w:rsid w:val="00856BE7"/>
    <w:rsid w:val="00857730"/>
    <w:rsid w:val="00857C9F"/>
    <w:rsid w:val="00860505"/>
    <w:rsid w:val="00860B75"/>
    <w:rsid w:val="00862B68"/>
    <w:rsid w:val="0086411B"/>
    <w:rsid w:val="0086665C"/>
    <w:rsid w:val="008710F2"/>
    <w:rsid w:val="00875631"/>
    <w:rsid w:val="00875F96"/>
    <w:rsid w:val="008767A9"/>
    <w:rsid w:val="00876998"/>
    <w:rsid w:val="00876A75"/>
    <w:rsid w:val="0087741D"/>
    <w:rsid w:val="00882B46"/>
    <w:rsid w:val="00883F82"/>
    <w:rsid w:val="00885D0A"/>
    <w:rsid w:val="00891775"/>
    <w:rsid w:val="00891951"/>
    <w:rsid w:val="0089281F"/>
    <w:rsid w:val="0089368F"/>
    <w:rsid w:val="00894DA4"/>
    <w:rsid w:val="00895441"/>
    <w:rsid w:val="00897AE2"/>
    <w:rsid w:val="008A1198"/>
    <w:rsid w:val="008A16C7"/>
    <w:rsid w:val="008A1B40"/>
    <w:rsid w:val="008A1FC1"/>
    <w:rsid w:val="008A2069"/>
    <w:rsid w:val="008A31AB"/>
    <w:rsid w:val="008A3431"/>
    <w:rsid w:val="008A37BF"/>
    <w:rsid w:val="008A4020"/>
    <w:rsid w:val="008A64E8"/>
    <w:rsid w:val="008B0970"/>
    <w:rsid w:val="008B11F2"/>
    <w:rsid w:val="008B5BED"/>
    <w:rsid w:val="008B7C55"/>
    <w:rsid w:val="008C0F4D"/>
    <w:rsid w:val="008C0F68"/>
    <w:rsid w:val="008C48DA"/>
    <w:rsid w:val="008C5684"/>
    <w:rsid w:val="008C654B"/>
    <w:rsid w:val="008C6BCA"/>
    <w:rsid w:val="008C6E8B"/>
    <w:rsid w:val="008C7550"/>
    <w:rsid w:val="008C7983"/>
    <w:rsid w:val="008C7EB9"/>
    <w:rsid w:val="008C7EC8"/>
    <w:rsid w:val="008D0FFD"/>
    <w:rsid w:val="008D19C7"/>
    <w:rsid w:val="008D1FF5"/>
    <w:rsid w:val="008D36F6"/>
    <w:rsid w:val="008E0C57"/>
    <w:rsid w:val="008E3E59"/>
    <w:rsid w:val="008E403C"/>
    <w:rsid w:val="008E46EB"/>
    <w:rsid w:val="008E525D"/>
    <w:rsid w:val="008E5D86"/>
    <w:rsid w:val="008E6156"/>
    <w:rsid w:val="008E6565"/>
    <w:rsid w:val="008F0689"/>
    <w:rsid w:val="008F29F8"/>
    <w:rsid w:val="008F2FEB"/>
    <w:rsid w:val="008F37A9"/>
    <w:rsid w:val="008F3EB1"/>
    <w:rsid w:val="008F45C8"/>
    <w:rsid w:val="008F4AF5"/>
    <w:rsid w:val="008F5CAD"/>
    <w:rsid w:val="008F5EFC"/>
    <w:rsid w:val="00900F59"/>
    <w:rsid w:val="009010D0"/>
    <w:rsid w:val="00905624"/>
    <w:rsid w:val="0090597F"/>
    <w:rsid w:val="009111D4"/>
    <w:rsid w:val="009127E4"/>
    <w:rsid w:val="00912D37"/>
    <w:rsid w:val="009144A2"/>
    <w:rsid w:val="00915305"/>
    <w:rsid w:val="0091584A"/>
    <w:rsid w:val="00915BDF"/>
    <w:rsid w:val="00917804"/>
    <w:rsid w:val="00920BFE"/>
    <w:rsid w:val="009220AD"/>
    <w:rsid w:val="00923EAB"/>
    <w:rsid w:val="00924F1A"/>
    <w:rsid w:val="00924FA4"/>
    <w:rsid w:val="00925447"/>
    <w:rsid w:val="00925D10"/>
    <w:rsid w:val="00925FAE"/>
    <w:rsid w:val="00926AC9"/>
    <w:rsid w:val="009275E5"/>
    <w:rsid w:val="0093094B"/>
    <w:rsid w:val="009312AE"/>
    <w:rsid w:val="00932605"/>
    <w:rsid w:val="009343FB"/>
    <w:rsid w:val="00935F67"/>
    <w:rsid w:val="00935FDB"/>
    <w:rsid w:val="0093693A"/>
    <w:rsid w:val="00937477"/>
    <w:rsid w:val="00937A22"/>
    <w:rsid w:val="00940C90"/>
    <w:rsid w:val="0094338D"/>
    <w:rsid w:val="0094342A"/>
    <w:rsid w:val="00944A1B"/>
    <w:rsid w:val="00952FF8"/>
    <w:rsid w:val="0095359D"/>
    <w:rsid w:val="009565C1"/>
    <w:rsid w:val="00960845"/>
    <w:rsid w:val="009608AB"/>
    <w:rsid w:val="00960CBA"/>
    <w:rsid w:val="009636F2"/>
    <w:rsid w:val="00963F82"/>
    <w:rsid w:val="009645A2"/>
    <w:rsid w:val="009671F5"/>
    <w:rsid w:val="009677B5"/>
    <w:rsid w:val="00967A48"/>
    <w:rsid w:val="00971B4F"/>
    <w:rsid w:val="009738C6"/>
    <w:rsid w:val="00974996"/>
    <w:rsid w:val="009766D9"/>
    <w:rsid w:val="00976D3F"/>
    <w:rsid w:val="009778FB"/>
    <w:rsid w:val="0098484C"/>
    <w:rsid w:val="00990553"/>
    <w:rsid w:val="00991F30"/>
    <w:rsid w:val="0099578F"/>
    <w:rsid w:val="009A0002"/>
    <w:rsid w:val="009A0286"/>
    <w:rsid w:val="009A17CF"/>
    <w:rsid w:val="009A2369"/>
    <w:rsid w:val="009A326B"/>
    <w:rsid w:val="009A5FAA"/>
    <w:rsid w:val="009A6B0B"/>
    <w:rsid w:val="009B0912"/>
    <w:rsid w:val="009B0A9A"/>
    <w:rsid w:val="009B3011"/>
    <w:rsid w:val="009B3F6C"/>
    <w:rsid w:val="009B4213"/>
    <w:rsid w:val="009B51B7"/>
    <w:rsid w:val="009B5ABC"/>
    <w:rsid w:val="009B71DC"/>
    <w:rsid w:val="009C48DC"/>
    <w:rsid w:val="009C7F74"/>
    <w:rsid w:val="009D07B0"/>
    <w:rsid w:val="009D089F"/>
    <w:rsid w:val="009D15D5"/>
    <w:rsid w:val="009D1802"/>
    <w:rsid w:val="009D3705"/>
    <w:rsid w:val="009D3DCE"/>
    <w:rsid w:val="009E1DFA"/>
    <w:rsid w:val="009E1FEE"/>
    <w:rsid w:val="009E2A91"/>
    <w:rsid w:val="009E32E7"/>
    <w:rsid w:val="009E7151"/>
    <w:rsid w:val="009E7DBD"/>
    <w:rsid w:val="009F4DE8"/>
    <w:rsid w:val="009F52B4"/>
    <w:rsid w:val="00A00825"/>
    <w:rsid w:val="00A01204"/>
    <w:rsid w:val="00A03A5F"/>
    <w:rsid w:val="00A03D46"/>
    <w:rsid w:val="00A0508B"/>
    <w:rsid w:val="00A05B28"/>
    <w:rsid w:val="00A06A61"/>
    <w:rsid w:val="00A14577"/>
    <w:rsid w:val="00A14D9B"/>
    <w:rsid w:val="00A14DDA"/>
    <w:rsid w:val="00A167FB"/>
    <w:rsid w:val="00A21BAC"/>
    <w:rsid w:val="00A23BA5"/>
    <w:rsid w:val="00A26337"/>
    <w:rsid w:val="00A26F75"/>
    <w:rsid w:val="00A307AE"/>
    <w:rsid w:val="00A31C9B"/>
    <w:rsid w:val="00A322EF"/>
    <w:rsid w:val="00A335C8"/>
    <w:rsid w:val="00A34CCD"/>
    <w:rsid w:val="00A34E90"/>
    <w:rsid w:val="00A376C8"/>
    <w:rsid w:val="00A378F3"/>
    <w:rsid w:val="00A43770"/>
    <w:rsid w:val="00A475F1"/>
    <w:rsid w:val="00A47AAA"/>
    <w:rsid w:val="00A51228"/>
    <w:rsid w:val="00A5130D"/>
    <w:rsid w:val="00A51AA8"/>
    <w:rsid w:val="00A55473"/>
    <w:rsid w:val="00A56F21"/>
    <w:rsid w:val="00A57E76"/>
    <w:rsid w:val="00A607D0"/>
    <w:rsid w:val="00A60EDC"/>
    <w:rsid w:val="00A620EF"/>
    <w:rsid w:val="00A621AE"/>
    <w:rsid w:val="00A62796"/>
    <w:rsid w:val="00A62E0E"/>
    <w:rsid w:val="00A64F69"/>
    <w:rsid w:val="00A65D57"/>
    <w:rsid w:val="00A65FE0"/>
    <w:rsid w:val="00A67198"/>
    <w:rsid w:val="00A70862"/>
    <w:rsid w:val="00A70D5A"/>
    <w:rsid w:val="00A71A6C"/>
    <w:rsid w:val="00A72ACD"/>
    <w:rsid w:val="00A72C3A"/>
    <w:rsid w:val="00A72FB9"/>
    <w:rsid w:val="00A741DC"/>
    <w:rsid w:val="00A74D00"/>
    <w:rsid w:val="00A76F43"/>
    <w:rsid w:val="00A80907"/>
    <w:rsid w:val="00A80D05"/>
    <w:rsid w:val="00A81210"/>
    <w:rsid w:val="00A81B04"/>
    <w:rsid w:val="00A8279C"/>
    <w:rsid w:val="00A82ACC"/>
    <w:rsid w:val="00A83961"/>
    <w:rsid w:val="00A83F6F"/>
    <w:rsid w:val="00A86D2B"/>
    <w:rsid w:val="00A879E4"/>
    <w:rsid w:val="00A87BCF"/>
    <w:rsid w:val="00A92905"/>
    <w:rsid w:val="00A93088"/>
    <w:rsid w:val="00A9318A"/>
    <w:rsid w:val="00A94393"/>
    <w:rsid w:val="00A95E83"/>
    <w:rsid w:val="00A961F2"/>
    <w:rsid w:val="00A9736E"/>
    <w:rsid w:val="00AA037D"/>
    <w:rsid w:val="00AA3A50"/>
    <w:rsid w:val="00AA5DCF"/>
    <w:rsid w:val="00AA66EE"/>
    <w:rsid w:val="00AB021E"/>
    <w:rsid w:val="00AB1FF0"/>
    <w:rsid w:val="00AB2B4D"/>
    <w:rsid w:val="00AB33DD"/>
    <w:rsid w:val="00AB47D5"/>
    <w:rsid w:val="00AB47DB"/>
    <w:rsid w:val="00AB49AD"/>
    <w:rsid w:val="00AB6040"/>
    <w:rsid w:val="00AB6417"/>
    <w:rsid w:val="00AB6EC4"/>
    <w:rsid w:val="00AC06CA"/>
    <w:rsid w:val="00AC23E1"/>
    <w:rsid w:val="00AC2503"/>
    <w:rsid w:val="00AD4150"/>
    <w:rsid w:val="00AD5CCB"/>
    <w:rsid w:val="00AD644C"/>
    <w:rsid w:val="00AD6B03"/>
    <w:rsid w:val="00AD75A8"/>
    <w:rsid w:val="00AD7ED1"/>
    <w:rsid w:val="00AE165D"/>
    <w:rsid w:val="00AE1C2B"/>
    <w:rsid w:val="00AE34B5"/>
    <w:rsid w:val="00AE37B5"/>
    <w:rsid w:val="00AE4491"/>
    <w:rsid w:val="00AE48FF"/>
    <w:rsid w:val="00AE4AE8"/>
    <w:rsid w:val="00AE593A"/>
    <w:rsid w:val="00AE73E5"/>
    <w:rsid w:val="00AE7DF0"/>
    <w:rsid w:val="00AF0302"/>
    <w:rsid w:val="00AF05BC"/>
    <w:rsid w:val="00AF1F6F"/>
    <w:rsid w:val="00AF241B"/>
    <w:rsid w:val="00AF3B5C"/>
    <w:rsid w:val="00AF4B25"/>
    <w:rsid w:val="00AF515F"/>
    <w:rsid w:val="00B005D1"/>
    <w:rsid w:val="00B010DC"/>
    <w:rsid w:val="00B02D28"/>
    <w:rsid w:val="00B04492"/>
    <w:rsid w:val="00B1012C"/>
    <w:rsid w:val="00B14920"/>
    <w:rsid w:val="00B1562F"/>
    <w:rsid w:val="00B15AFB"/>
    <w:rsid w:val="00B21660"/>
    <w:rsid w:val="00B21F0D"/>
    <w:rsid w:val="00B2418F"/>
    <w:rsid w:val="00B25152"/>
    <w:rsid w:val="00B25D7F"/>
    <w:rsid w:val="00B25DA1"/>
    <w:rsid w:val="00B31AEC"/>
    <w:rsid w:val="00B33937"/>
    <w:rsid w:val="00B363E3"/>
    <w:rsid w:val="00B370B3"/>
    <w:rsid w:val="00B37873"/>
    <w:rsid w:val="00B40EC6"/>
    <w:rsid w:val="00B44189"/>
    <w:rsid w:val="00B45963"/>
    <w:rsid w:val="00B467AD"/>
    <w:rsid w:val="00B46EAC"/>
    <w:rsid w:val="00B521BE"/>
    <w:rsid w:val="00B5316B"/>
    <w:rsid w:val="00B54524"/>
    <w:rsid w:val="00B5461D"/>
    <w:rsid w:val="00B5566A"/>
    <w:rsid w:val="00B55C17"/>
    <w:rsid w:val="00B568CA"/>
    <w:rsid w:val="00B615D8"/>
    <w:rsid w:val="00B618AC"/>
    <w:rsid w:val="00B621AB"/>
    <w:rsid w:val="00B62302"/>
    <w:rsid w:val="00B6232D"/>
    <w:rsid w:val="00B64CB4"/>
    <w:rsid w:val="00B6690F"/>
    <w:rsid w:val="00B67B40"/>
    <w:rsid w:val="00B67BCA"/>
    <w:rsid w:val="00B72FA8"/>
    <w:rsid w:val="00B7536B"/>
    <w:rsid w:val="00B763A1"/>
    <w:rsid w:val="00B826EB"/>
    <w:rsid w:val="00B84751"/>
    <w:rsid w:val="00B8494A"/>
    <w:rsid w:val="00B870C1"/>
    <w:rsid w:val="00B9069B"/>
    <w:rsid w:val="00B91D9C"/>
    <w:rsid w:val="00B93A30"/>
    <w:rsid w:val="00B94AB3"/>
    <w:rsid w:val="00B96627"/>
    <w:rsid w:val="00BA2005"/>
    <w:rsid w:val="00BA28A7"/>
    <w:rsid w:val="00BA3266"/>
    <w:rsid w:val="00BA60DC"/>
    <w:rsid w:val="00BA6B34"/>
    <w:rsid w:val="00BB04EE"/>
    <w:rsid w:val="00BB403C"/>
    <w:rsid w:val="00BB4E1C"/>
    <w:rsid w:val="00BC18BD"/>
    <w:rsid w:val="00BC1FCD"/>
    <w:rsid w:val="00BC36E9"/>
    <w:rsid w:val="00BC3715"/>
    <w:rsid w:val="00BC5266"/>
    <w:rsid w:val="00BC5BFA"/>
    <w:rsid w:val="00BC67BD"/>
    <w:rsid w:val="00BC6EAF"/>
    <w:rsid w:val="00BC7D81"/>
    <w:rsid w:val="00BD09B6"/>
    <w:rsid w:val="00BD1F5E"/>
    <w:rsid w:val="00BD2187"/>
    <w:rsid w:val="00BD2C23"/>
    <w:rsid w:val="00BD32EC"/>
    <w:rsid w:val="00BD376E"/>
    <w:rsid w:val="00BD5308"/>
    <w:rsid w:val="00BD585E"/>
    <w:rsid w:val="00BD6FF8"/>
    <w:rsid w:val="00BE2B93"/>
    <w:rsid w:val="00BE3107"/>
    <w:rsid w:val="00BE4897"/>
    <w:rsid w:val="00BE5F12"/>
    <w:rsid w:val="00BE5F7A"/>
    <w:rsid w:val="00BE73AC"/>
    <w:rsid w:val="00BF0FED"/>
    <w:rsid w:val="00BF31F8"/>
    <w:rsid w:val="00BF33BE"/>
    <w:rsid w:val="00BF38D6"/>
    <w:rsid w:val="00BF3C1E"/>
    <w:rsid w:val="00BF3E2A"/>
    <w:rsid w:val="00BF5967"/>
    <w:rsid w:val="00BF5E3C"/>
    <w:rsid w:val="00BF6395"/>
    <w:rsid w:val="00BF664F"/>
    <w:rsid w:val="00BF6B85"/>
    <w:rsid w:val="00BF7610"/>
    <w:rsid w:val="00C025CF"/>
    <w:rsid w:val="00C03838"/>
    <w:rsid w:val="00C046EE"/>
    <w:rsid w:val="00C0530B"/>
    <w:rsid w:val="00C068AF"/>
    <w:rsid w:val="00C10869"/>
    <w:rsid w:val="00C10C4D"/>
    <w:rsid w:val="00C13F06"/>
    <w:rsid w:val="00C16C53"/>
    <w:rsid w:val="00C20921"/>
    <w:rsid w:val="00C2092F"/>
    <w:rsid w:val="00C219A6"/>
    <w:rsid w:val="00C22CAC"/>
    <w:rsid w:val="00C2344D"/>
    <w:rsid w:val="00C24086"/>
    <w:rsid w:val="00C259E3"/>
    <w:rsid w:val="00C25DB4"/>
    <w:rsid w:val="00C33CAD"/>
    <w:rsid w:val="00C3502E"/>
    <w:rsid w:val="00C40344"/>
    <w:rsid w:val="00C4048E"/>
    <w:rsid w:val="00C4121F"/>
    <w:rsid w:val="00C41547"/>
    <w:rsid w:val="00C41F3F"/>
    <w:rsid w:val="00C436F3"/>
    <w:rsid w:val="00C43896"/>
    <w:rsid w:val="00C4461E"/>
    <w:rsid w:val="00C44B4C"/>
    <w:rsid w:val="00C45EAC"/>
    <w:rsid w:val="00C46540"/>
    <w:rsid w:val="00C50448"/>
    <w:rsid w:val="00C5060F"/>
    <w:rsid w:val="00C506EA"/>
    <w:rsid w:val="00C512E0"/>
    <w:rsid w:val="00C51825"/>
    <w:rsid w:val="00C52073"/>
    <w:rsid w:val="00C52331"/>
    <w:rsid w:val="00C609E9"/>
    <w:rsid w:val="00C61B0B"/>
    <w:rsid w:val="00C61F68"/>
    <w:rsid w:val="00C62314"/>
    <w:rsid w:val="00C633D2"/>
    <w:rsid w:val="00C63AE6"/>
    <w:rsid w:val="00C700EA"/>
    <w:rsid w:val="00C74178"/>
    <w:rsid w:val="00C81540"/>
    <w:rsid w:val="00C81BA6"/>
    <w:rsid w:val="00C820D0"/>
    <w:rsid w:val="00C8607E"/>
    <w:rsid w:val="00C86C66"/>
    <w:rsid w:val="00C90238"/>
    <w:rsid w:val="00C91605"/>
    <w:rsid w:val="00C92A4B"/>
    <w:rsid w:val="00C9346F"/>
    <w:rsid w:val="00C93652"/>
    <w:rsid w:val="00C94455"/>
    <w:rsid w:val="00C9497A"/>
    <w:rsid w:val="00C94C33"/>
    <w:rsid w:val="00C957C9"/>
    <w:rsid w:val="00C9630F"/>
    <w:rsid w:val="00C963C8"/>
    <w:rsid w:val="00CA03B8"/>
    <w:rsid w:val="00CA0828"/>
    <w:rsid w:val="00CA102E"/>
    <w:rsid w:val="00CA40B0"/>
    <w:rsid w:val="00CA6D37"/>
    <w:rsid w:val="00CB17B7"/>
    <w:rsid w:val="00CB271C"/>
    <w:rsid w:val="00CB2D6D"/>
    <w:rsid w:val="00CB34D2"/>
    <w:rsid w:val="00CB3596"/>
    <w:rsid w:val="00CB40FF"/>
    <w:rsid w:val="00CB4639"/>
    <w:rsid w:val="00CB4FA8"/>
    <w:rsid w:val="00CB7034"/>
    <w:rsid w:val="00CC14CA"/>
    <w:rsid w:val="00CC1892"/>
    <w:rsid w:val="00CC28B5"/>
    <w:rsid w:val="00CC2B6F"/>
    <w:rsid w:val="00CC41B9"/>
    <w:rsid w:val="00CC6BF9"/>
    <w:rsid w:val="00CD05B6"/>
    <w:rsid w:val="00CD1289"/>
    <w:rsid w:val="00CD1563"/>
    <w:rsid w:val="00CD215C"/>
    <w:rsid w:val="00CD2B45"/>
    <w:rsid w:val="00CD30CA"/>
    <w:rsid w:val="00CD4451"/>
    <w:rsid w:val="00CD5423"/>
    <w:rsid w:val="00CD6589"/>
    <w:rsid w:val="00CD766D"/>
    <w:rsid w:val="00CD7D8D"/>
    <w:rsid w:val="00CE21FB"/>
    <w:rsid w:val="00CE2DB9"/>
    <w:rsid w:val="00CE3AB1"/>
    <w:rsid w:val="00CE4C45"/>
    <w:rsid w:val="00CE70F4"/>
    <w:rsid w:val="00CF3694"/>
    <w:rsid w:val="00CF4BFB"/>
    <w:rsid w:val="00CF64DE"/>
    <w:rsid w:val="00D003A7"/>
    <w:rsid w:val="00D01BBC"/>
    <w:rsid w:val="00D04A3B"/>
    <w:rsid w:val="00D0591C"/>
    <w:rsid w:val="00D059C4"/>
    <w:rsid w:val="00D067F1"/>
    <w:rsid w:val="00D06CD4"/>
    <w:rsid w:val="00D10662"/>
    <w:rsid w:val="00D149EA"/>
    <w:rsid w:val="00D17447"/>
    <w:rsid w:val="00D17BCF"/>
    <w:rsid w:val="00D2106F"/>
    <w:rsid w:val="00D266AA"/>
    <w:rsid w:val="00D2753C"/>
    <w:rsid w:val="00D31737"/>
    <w:rsid w:val="00D317CE"/>
    <w:rsid w:val="00D3260C"/>
    <w:rsid w:val="00D32E49"/>
    <w:rsid w:val="00D32EB9"/>
    <w:rsid w:val="00D35C13"/>
    <w:rsid w:val="00D36772"/>
    <w:rsid w:val="00D3709F"/>
    <w:rsid w:val="00D37FDF"/>
    <w:rsid w:val="00D44201"/>
    <w:rsid w:val="00D449A0"/>
    <w:rsid w:val="00D45301"/>
    <w:rsid w:val="00D458C9"/>
    <w:rsid w:val="00D51B3F"/>
    <w:rsid w:val="00D56306"/>
    <w:rsid w:val="00D57352"/>
    <w:rsid w:val="00D629FE"/>
    <w:rsid w:val="00D64930"/>
    <w:rsid w:val="00D6531C"/>
    <w:rsid w:val="00D66062"/>
    <w:rsid w:val="00D670CB"/>
    <w:rsid w:val="00D70611"/>
    <w:rsid w:val="00D71EB8"/>
    <w:rsid w:val="00D729CA"/>
    <w:rsid w:val="00D72A74"/>
    <w:rsid w:val="00D7510F"/>
    <w:rsid w:val="00D76291"/>
    <w:rsid w:val="00D80C4C"/>
    <w:rsid w:val="00D821D8"/>
    <w:rsid w:val="00D82C34"/>
    <w:rsid w:val="00D83C6D"/>
    <w:rsid w:val="00D83E69"/>
    <w:rsid w:val="00D852CF"/>
    <w:rsid w:val="00D856F4"/>
    <w:rsid w:val="00D856F8"/>
    <w:rsid w:val="00D87744"/>
    <w:rsid w:val="00D9153C"/>
    <w:rsid w:val="00D93A82"/>
    <w:rsid w:val="00D93A98"/>
    <w:rsid w:val="00D93FF7"/>
    <w:rsid w:val="00D941AB"/>
    <w:rsid w:val="00D960DF"/>
    <w:rsid w:val="00D9789E"/>
    <w:rsid w:val="00D97E6F"/>
    <w:rsid w:val="00DA00D5"/>
    <w:rsid w:val="00DA0622"/>
    <w:rsid w:val="00DA0667"/>
    <w:rsid w:val="00DA0EB1"/>
    <w:rsid w:val="00DA105E"/>
    <w:rsid w:val="00DA1465"/>
    <w:rsid w:val="00DA1609"/>
    <w:rsid w:val="00DA21F5"/>
    <w:rsid w:val="00DA3254"/>
    <w:rsid w:val="00DA35B9"/>
    <w:rsid w:val="00DA478B"/>
    <w:rsid w:val="00DA4A04"/>
    <w:rsid w:val="00DB09F4"/>
    <w:rsid w:val="00DB1E63"/>
    <w:rsid w:val="00DB2EB6"/>
    <w:rsid w:val="00DB347E"/>
    <w:rsid w:val="00DB58A0"/>
    <w:rsid w:val="00DB58CB"/>
    <w:rsid w:val="00DB69B6"/>
    <w:rsid w:val="00DB7B65"/>
    <w:rsid w:val="00DC5A62"/>
    <w:rsid w:val="00DC69E4"/>
    <w:rsid w:val="00DD19A5"/>
    <w:rsid w:val="00DD3D7D"/>
    <w:rsid w:val="00DD517B"/>
    <w:rsid w:val="00DD5BEF"/>
    <w:rsid w:val="00DD5EBE"/>
    <w:rsid w:val="00DE0422"/>
    <w:rsid w:val="00DE0530"/>
    <w:rsid w:val="00DE05A3"/>
    <w:rsid w:val="00DE0DF8"/>
    <w:rsid w:val="00DE43AF"/>
    <w:rsid w:val="00DE4C9C"/>
    <w:rsid w:val="00DF0E0A"/>
    <w:rsid w:val="00DF1864"/>
    <w:rsid w:val="00DF4C16"/>
    <w:rsid w:val="00DF66B4"/>
    <w:rsid w:val="00DF7206"/>
    <w:rsid w:val="00E024B3"/>
    <w:rsid w:val="00E0443C"/>
    <w:rsid w:val="00E06582"/>
    <w:rsid w:val="00E076A9"/>
    <w:rsid w:val="00E13489"/>
    <w:rsid w:val="00E14E9B"/>
    <w:rsid w:val="00E15DFA"/>
    <w:rsid w:val="00E20280"/>
    <w:rsid w:val="00E22566"/>
    <w:rsid w:val="00E27703"/>
    <w:rsid w:val="00E30C6E"/>
    <w:rsid w:val="00E31A4F"/>
    <w:rsid w:val="00E33D63"/>
    <w:rsid w:val="00E34F8C"/>
    <w:rsid w:val="00E356F8"/>
    <w:rsid w:val="00E3733F"/>
    <w:rsid w:val="00E375C2"/>
    <w:rsid w:val="00E4144F"/>
    <w:rsid w:val="00E435D2"/>
    <w:rsid w:val="00E44203"/>
    <w:rsid w:val="00E44F19"/>
    <w:rsid w:val="00E4513F"/>
    <w:rsid w:val="00E460EF"/>
    <w:rsid w:val="00E46AC7"/>
    <w:rsid w:val="00E46C01"/>
    <w:rsid w:val="00E47ED6"/>
    <w:rsid w:val="00E51F52"/>
    <w:rsid w:val="00E529E1"/>
    <w:rsid w:val="00E54ED2"/>
    <w:rsid w:val="00E56B85"/>
    <w:rsid w:val="00E60C18"/>
    <w:rsid w:val="00E6122D"/>
    <w:rsid w:val="00E635BE"/>
    <w:rsid w:val="00E6378F"/>
    <w:rsid w:val="00E64996"/>
    <w:rsid w:val="00E67216"/>
    <w:rsid w:val="00E67469"/>
    <w:rsid w:val="00E70704"/>
    <w:rsid w:val="00E724A2"/>
    <w:rsid w:val="00E72D46"/>
    <w:rsid w:val="00E75662"/>
    <w:rsid w:val="00E76B34"/>
    <w:rsid w:val="00E7720F"/>
    <w:rsid w:val="00E81D50"/>
    <w:rsid w:val="00E834CC"/>
    <w:rsid w:val="00E84742"/>
    <w:rsid w:val="00E8643F"/>
    <w:rsid w:val="00E87622"/>
    <w:rsid w:val="00E90435"/>
    <w:rsid w:val="00E9287C"/>
    <w:rsid w:val="00E92B24"/>
    <w:rsid w:val="00E92BE7"/>
    <w:rsid w:val="00E9438F"/>
    <w:rsid w:val="00E96C3A"/>
    <w:rsid w:val="00E97C0B"/>
    <w:rsid w:val="00E97E09"/>
    <w:rsid w:val="00EA1CF8"/>
    <w:rsid w:val="00EA243C"/>
    <w:rsid w:val="00EA2742"/>
    <w:rsid w:val="00EA29CF"/>
    <w:rsid w:val="00EB79E0"/>
    <w:rsid w:val="00EC00A4"/>
    <w:rsid w:val="00EC2B8B"/>
    <w:rsid w:val="00EC3225"/>
    <w:rsid w:val="00EC33C3"/>
    <w:rsid w:val="00EC35AD"/>
    <w:rsid w:val="00EC48F5"/>
    <w:rsid w:val="00EC551F"/>
    <w:rsid w:val="00EC5EFB"/>
    <w:rsid w:val="00EC766B"/>
    <w:rsid w:val="00ED0537"/>
    <w:rsid w:val="00ED0C25"/>
    <w:rsid w:val="00ED13D8"/>
    <w:rsid w:val="00ED2697"/>
    <w:rsid w:val="00ED3B7D"/>
    <w:rsid w:val="00ED4623"/>
    <w:rsid w:val="00ED579A"/>
    <w:rsid w:val="00ED59ED"/>
    <w:rsid w:val="00ED6047"/>
    <w:rsid w:val="00ED6521"/>
    <w:rsid w:val="00ED65C3"/>
    <w:rsid w:val="00ED6CFE"/>
    <w:rsid w:val="00ED7A52"/>
    <w:rsid w:val="00EE0584"/>
    <w:rsid w:val="00EE06C4"/>
    <w:rsid w:val="00EE24C6"/>
    <w:rsid w:val="00EE31E5"/>
    <w:rsid w:val="00EE3534"/>
    <w:rsid w:val="00EE568F"/>
    <w:rsid w:val="00EE57B8"/>
    <w:rsid w:val="00EE6212"/>
    <w:rsid w:val="00EE67AA"/>
    <w:rsid w:val="00EE682F"/>
    <w:rsid w:val="00EE6B56"/>
    <w:rsid w:val="00EE6C60"/>
    <w:rsid w:val="00EE6EBD"/>
    <w:rsid w:val="00EE788D"/>
    <w:rsid w:val="00EE7911"/>
    <w:rsid w:val="00EF2CE5"/>
    <w:rsid w:val="00EF3886"/>
    <w:rsid w:val="00EF7852"/>
    <w:rsid w:val="00F010BE"/>
    <w:rsid w:val="00F016F6"/>
    <w:rsid w:val="00F051E3"/>
    <w:rsid w:val="00F11B1B"/>
    <w:rsid w:val="00F121C4"/>
    <w:rsid w:val="00F1262F"/>
    <w:rsid w:val="00F138E3"/>
    <w:rsid w:val="00F15134"/>
    <w:rsid w:val="00F17245"/>
    <w:rsid w:val="00F20AE0"/>
    <w:rsid w:val="00F21D33"/>
    <w:rsid w:val="00F22A55"/>
    <w:rsid w:val="00F23101"/>
    <w:rsid w:val="00F26226"/>
    <w:rsid w:val="00F26537"/>
    <w:rsid w:val="00F27FB2"/>
    <w:rsid w:val="00F30799"/>
    <w:rsid w:val="00F32897"/>
    <w:rsid w:val="00F32D25"/>
    <w:rsid w:val="00F341A9"/>
    <w:rsid w:val="00F36B44"/>
    <w:rsid w:val="00F44932"/>
    <w:rsid w:val="00F4630A"/>
    <w:rsid w:val="00F46CA7"/>
    <w:rsid w:val="00F47D50"/>
    <w:rsid w:val="00F52CC4"/>
    <w:rsid w:val="00F53B51"/>
    <w:rsid w:val="00F54212"/>
    <w:rsid w:val="00F56DB0"/>
    <w:rsid w:val="00F60282"/>
    <w:rsid w:val="00F6153D"/>
    <w:rsid w:val="00F654FA"/>
    <w:rsid w:val="00F66E71"/>
    <w:rsid w:val="00F67769"/>
    <w:rsid w:val="00F67AF9"/>
    <w:rsid w:val="00F7023B"/>
    <w:rsid w:val="00F7348A"/>
    <w:rsid w:val="00F73653"/>
    <w:rsid w:val="00F758DF"/>
    <w:rsid w:val="00F76DF5"/>
    <w:rsid w:val="00F7733F"/>
    <w:rsid w:val="00F81A1F"/>
    <w:rsid w:val="00F82061"/>
    <w:rsid w:val="00F82C7D"/>
    <w:rsid w:val="00F83A68"/>
    <w:rsid w:val="00F85A25"/>
    <w:rsid w:val="00F85BAC"/>
    <w:rsid w:val="00F87669"/>
    <w:rsid w:val="00F87913"/>
    <w:rsid w:val="00F90088"/>
    <w:rsid w:val="00F92D15"/>
    <w:rsid w:val="00F92DC1"/>
    <w:rsid w:val="00F93083"/>
    <w:rsid w:val="00F93C6E"/>
    <w:rsid w:val="00F95BF4"/>
    <w:rsid w:val="00F97404"/>
    <w:rsid w:val="00FA043E"/>
    <w:rsid w:val="00FA10F8"/>
    <w:rsid w:val="00FA1E25"/>
    <w:rsid w:val="00FA1F6D"/>
    <w:rsid w:val="00FA3857"/>
    <w:rsid w:val="00FA3B5D"/>
    <w:rsid w:val="00FA45C2"/>
    <w:rsid w:val="00FA7966"/>
    <w:rsid w:val="00FB2049"/>
    <w:rsid w:val="00FB2CCC"/>
    <w:rsid w:val="00FB30B9"/>
    <w:rsid w:val="00FB45D2"/>
    <w:rsid w:val="00FB50D8"/>
    <w:rsid w:val="00FB6857"/>
    <w:rsid w:val="00FB7547"/>
    <w:rsid w:val="00FC02D5"/>
    <w:rsid w:val="00FC0A73"/>
    <w:rsid w:val="00FC12A9"/>
    <w:rsid w:val="00FC246C"/>
    <w:rsid w:val="00FC2E38"/>
    <w:rsid w:val="00FC3414"/>
    <w:rsid w:val="00FC42E0"/>
    <w:rsid w:val="00FC5561"/>
    <w:rsid w:val="00FC5672"/>
    <w:rsid w:val="00FC5835"/>
    <w:rsid w:val="00FC5F2B"/>
    <w:rsid w:val="00FC6196"/>
    <w:rsid w:val="00FC68C8"/>
    <w:rsid w:val="00FC6FFC"/>
    <w:rsid w:val="00FC70AE"/>
    <w:rsid w:val="00FC729F"/>
    <w:rsid w:val="00FD0E83"/>
    <w:rsid w:val="00FD18F1"/>
    <w:rsid w:val="00FD1F6A"/>
    <w:rsid w:val="00FD2509"/>
    <w:rsid w:val="00FD25F5"/>
    <w:rsid w:val="00FD371D"/>
    <w:rsid w:val="00FD3A28"/>
    <w:rsid w:val="00FD423B"/>
    <w:rsid w:val="00FD5A2C"/>
    <w:rsid w:val="00FD5F7F"/>
    <w:rsid w:val="00FD67EC"/>
    <w:rsid w:val="00FE0C99"/>
    <w:rsid w:val="00FE0FC6"/>
    <w:rsid w:val="00FE5C93"/>
    <w:rsid w:val="00FE5EF8"/>
    <w:rsid w:val="00FF4347"/>
    <w:rsid w:val="00FF43E0"/>
    <w:rsid w:val="00FF464C"/>
    <w:rsid w:val="00FF4C39"/>
    <w:rsid w:val="1EB210F5"/>
    <w:rsid w:val="20264985"/>
    <w:rsid w:val="235B1C57"/>
    <w:rsid w:val="24D83C25"/>
    <w:rsid w:val="27854499"/>
    <w:rsid w:val="28350ADA"/>
    <w:rsid w:val="320E1020"/>
    <w:rsid w:val="321C5971"/>
    <w:rsid w:val="34DC344C"/>
    <w:rsid w:val="3A910FE7"/>
    <w:rsid w:val="3D0D5C68"/>
    <w:rsid w:val="3DB5401D"/>
    <w:rsid w:val="3E350F4E"/>
    <w:rsid w:val="42AF31AE"/>
    <w:rsid w:val="43CA1391"/>
    <w:rsid w:val="44DF7455"/>
    <w:rsid w:val="4B161173"/>
    <w:rsid w:val="50407AE2"/>
    <w:rsid w:val="52BE2942"/>
    <w:rsid w:val="53087649"/>
    <w:rsid w:val="61C112D7"/>
    <w:rsid w:val="712E5C08"/>
    <w:rsid w:val="74BF5DDF"/>
    <w:rsid w:val="7C003CA8"/>
    <w:rsid w:val="7E7535BB"/>
    <w:rsid w:val="BB7EB856"/>
    <w:rsid w:val="DE9F904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ocked="1"/>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6">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tcPr>
      <w:textDirection w:val="lrTb"/>
    </w:tcPr>
  </w:style>
  <w:style w:type="paragraph" w:styleId="2">
    <w:name w:val="Date"/>
    <w:basedOn w:val="1"/>
    <w:next w:val="1"/>
    <w:qFormat/>
    <w:uiPriority w:val="0"/>
    <w:rPr>
      <w:rFonts w:ascii="仿宋_GB2312" w:eastAsia="仿宋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rPr>
  </w:style>
  <w:style w:type="character" w:styleId="7">
    <w:name w:val="page number"/>
    <w:basedOn w:val="6"/>
    <w:qFormat/>
    <w:uiPriority w:val="0"/>
    <w:rPr>
      <w:rFonts w:cs="Times New Roman"/>
    </w:rPr>
  </w:style>
  <w:style w:type="paragraph" w:customStyle="1" w:styleId="9">
    <w:name w:val="Char Char Char Char Char Char Char Char Char Char Char Char Char Char Char Char Char Char Char Char Char Char"/>
    <w:basedOn w:val="1"/>
    <w:qFormat/>
    <w:uiPriority w:val="0"/>
    <w:rPr>
      <w:rFonts w:ascii="宋体" w:hAnsi="宋体" w:eastAsia="宋体" w:cs="Courier New"/>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textRotate="1"/>
    <customShpInfo spid="_x0000_s3073"/>
    <customShpInfo spid="_x0000_s2050"/>
    <customShpInfo spid="_x0000_s2051"/>
    <customShpInfo spid="_x0000_s2053"/>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 (Beijing) Limited</Company>
  <Pages>2</Pages>
  <Words>22</Words>
  <Characters>130</Characters>
  <Lines>1</Lines>
  <Paragraphs>1</Paragraphs>
  <ScaleCrop>false</ScaleCrop>
  <LinksUpToDate>false</LinksUpToDate>
  <CharactersWithSpaces>151</CharactersWithSpaces>
  <Application>WPS Office_10.8.0.5874_F1E327BC-269C-435d-A152-05C5408002CA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2019-02-11T23:10:00Z</dcterms:created>
  <dc:creator>Lenovo User</dc:creator>
  <cp:lastModifiedBy>文印室</cp:lastModifiedBy>
  <cp:lastPrinted>2019-08-28T18:07:00Z</cp:lastPrinted>
  <dcterms:modified xsi:type="dcterms:W3CDTF">2022-02-18T02:56:59Z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2052-10.8.0.5874</vt:lpwstr>
  </property>
</Properties>
</file>