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云阳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云阳县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批次。监督抽检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产品合格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ind w:right="338" w:rightChars="161" w:firstLine="4800" w:firstLineChars="15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云阳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</w:p>
    <w:p>
      <w:pPr>
        <w:ind w:firstLine="5440" w:firstLineChars="1700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  <w:sectPr>
          <w:pgSz w:w="11906" w:h="16838"/>
          <w:pgMar w:top="2098" w:right="1531" w:bottom="1418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VhMTgxY2ZhNmY1NjA0MzY5MzFjYTFlMDViYzAifQ=="/>
  </w:docVars>
  <w:rsids>
    <w:rsidRoot w:val="00000000"/>
    <w:rsid w:val="0E9D5663"/>
    <w:rsid w:val="239E5D83"/>
    <w:rsid w:val="2C910F56"/>
    <w:rsid w:val="35A10FDB"/>
    <w:rsid w:val="4A0A60BF"/>
    <w:rsid w:val="7CB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231</Characters>
  <Lines>0</Lines>
  <Paragraphs>0</Paragraphs>
  <TotalTime>7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2022-12-07T02:15:00Z</dcterms:created>
  <dc:creator>王传令1234</dc:creator>
  <cp:lastModifiedBy>传传</cp:lastModifiedBy>
  <cp:lastPrinted>2022-12-20T02:03:00Z</cp:lastPrinted>
  <dcterms:modified xsi:type="dcterms:W3CDTF">2023-05-29T01:08:44Z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DBA17A1D9C3C4A7D9B29A4F2187437A9</vt:lpwstr>
  </property>
</Properties>
</file>