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6074C">
      <w:pPr>
        <w:spacing w:line="600" w:lineRule="atLeast"/>
        <w:jc w:val="center"/>
        <w:rPr>
          <w:rFonts w:ascii="方正仿宋_GBK" w:hAnsi="方正仿宋_GBK" w:eastAsia="方正仿宋_GBK" w:cs="方正仿宋_GBK"/>
          <w:sz w:val="21"/>
          <w:szCs w:val="21"/>
        </w:rPr>
      </w:pPr>
    </w:p>
    <w:p w14:paraId="29AD249D">
      <w:pPr>
        <w:spacing w:line="600" w:lineRule="atLeast"/>
        <w:jc w:val="center"/>
        <w:rPr>
          <w:rFonts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63B360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Times New Roman" w:hAnsi="Times New Roman" w:eastAsia="方正小标宋_GBK"/>
          <w:b w:val="0"/>
          <w:bCs w:val="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/>
          <w:b w:val="0"/>
          <w:bCs w:val="0"/>
          <w:spacing w:val="0"/>
          <w:kern w:val="0"/>
          <w:sz w:val="44"/>
          <w:szCs w:val="44"/>
          <w:lang w:val="en-US" w:eastAsia="zh-CN" w:bidi="ar"/>
        </w:rPr>
        <w:t>云阳县农业农村委员会</w:t>
      </w:r>
    </w:p>
    <w:p w14:paraId="462E5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ascii="方正小标宋_GBK" w:eastAsia="方正小标宋_GBK"/>
          <w:spacing w:val="0"/>
          <w:sz w:val="44"/>
          <w:szCs w:val="44"/>
        </w:rPr>
        <w:t>关于印发云阳县现代农业产业园建设管理办法（试行）的通知</w:t>
      </w:r>
    </w:p>
    <w:p w14:paraId="37239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 w:eastAsia="宋体" w:cs="宋体"/>
          <w:sz w:val="44"/>
          <w:szCs w:val="44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云农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50BA70D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5590C6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各乡镇人民政府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街道办事处：</w:t>
      </w:r>
    </w:p>
    <w:p w14:paraId="20B2DF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现将《云阳县现代农业产业园建设管理办法（试行）》印发给你们，请遵照执行。</w:t>
      </w:r>
    </w:p>
    <w:p w14:paraId="2F877B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E6D42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云阳县农业农村委员会</w:t>
      </w:r>
    </w:p>
    <w:p w14:paraId="68DB45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2E6FBF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 w14:paraId="49E541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B5579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F71A501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A641E3F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A649CE7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D3033EC"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C70EF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云阳县现代农业产业园建设管理办法（试行）</w:t>
      </w:r>
    </w:p>
    <w:p w14:paraId="0F8DD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7A360D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黑体_GBK" w:eastAsia="方正黑体_GBK"/>
          <w:color w:val="auto"/>
          <w:kern w:val="0"/>
          <w:sz w:val="32"/>
        </w:rPr>
      </w:pPr>
      <w:r>
        <w:rPr>
          <w:rFonts w:hint="eastAsia" w:ascii="方正黑体_GBK" w:eastAsia="方正黑体_GBK"/>
          <w:color w:val="auto"/>
          <w:kern w:val="0"/>
          <w:sz w:val="32"/>
        </w:rPr>
        <w:t xml:space="preserve"> 总  则</w:t>
      </w:r>
    </w:p>
    <w:p w14:paraId="5855065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6F98C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color w:val="auto"/>
          <w:kern w:val="0"/>
          <w:sz w:val="32"/>
          <w:szCs w:val="32"/>
        </w:rPr>
      </w:pPr>
      <w:r>
        <w:rPr>
          <w:rFonts w:hint="eastAsia" w:ascii="方正黑体_GBK" w:eastAsia="方正黑体_GBK"/>
          <w:color w:val="auto"/>
          <w:kern w:val="0"/>
          <w:sz w:val="32"/>
          <w:szCs w:val="21"/>
        </w:rPr>
        <w:t>第一条</w:t>
      </w:r>
      <w:r>
        <w:rPr>
          <w:rFonts w:hint="eastAsia" w:ascii="方正黑体_GBK" w:eastAsia="方正黑体_GBK"/>
          <w:color w:val="auto"/>
          <w:kern w:val="0"/>
          <w:sz w:val="32"/>
          <w:szCs w:val="21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kern w:val="0"/>
          <w:sz w:val="32"/>
          <w:szCs w:val="32"/>
        </w:rPr>
        <w:t>现代农业产业园（以下简称“产业园”）是指立足农业优势特色主导产业，以规模化种养基地为基础，依托农业产业化龙头企业带动，聚集现代生产要素，按照“生产+加工+经营+科技”全产业链发展要求，发挥技术集成、产业融合、创业平台、核心辐射等功能作用，践行绿色发展理念，带动农民就业增收，现代农业建设水平领先的区域农业经济发展平台。</w:t>
      </w:r>
    </w:p>
    <w:p w14:paraId="720E4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/>
          <w:color w:val="auto"/>
        </w:rPr>
      </w:pPr>
      <w:r>
        <w:rPr>
          <w:rFonts w:hint="eastAsia" w:ascii="方正黑体_GBK" w:eastAsia="方正黑体_GBK"/>
          <w:color w:val="auto"/>
          <w:sz w:val="32"/>
        </w:rPr>
        <w:t>第二条</w:t>
      </w:r>
      <w:r>
        <w:rPr>
          <w:rFonts w:hint="eastAsia" w:ascii="方正黑体_GBK" w:eastAsia="方正黑体_GBK"/>
          <w:color w:val="auto"/>
          <w:sz w:val="32"/>
          <w:lang w:val="en-US" w:eastAsia="zh-CN"/>
        </w:rPr>
        <w:t xml:space="preserve"> </w:t>
      </w:r>
      <w:r>
        <w:rPr>
          <w:rFonts w:hint="eastAsia" w:ascii="方正黑体_GBK" w:eastAsia="方正黑体_GBK"/>
          <w:color w:val="auto"/>
          <w:sz w:val="32"/>
        </w:rPr>
        <w:t xml:space="preserve"> </w:t>
      </w:r>
      <w:r>
        <w:rPr>
          <w:rFonts w:hint="eastAsia" w:ascii="方正仿宋_GBK" w:hAnsi="宋体" w:eastAsia="方正仿宋_GBK" w:cs="宋体"/>
          <w:color w:val="auto"/>
          <w:kern w:val="0"/>
          <w:sz w:val="32"/>
          <w:szCs w:val="32"/>
        </w:rPr>
        <w:t>通过开展县级产业园创建及认定工作，国家级、市级产业园申报工作，形成以国家级为龙头、市级为骨干、县级为基础的“三级联创”发展格局。</w:t>
      </w:r>
    </w:p>
    <w:p w14:paraId="53370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黑体_GBK" w:eastAsia="方正黑体_GBK"/>
          <w:color w:val="auto"/>
          <w:sz w:val="32"/>
        </w:rPr>
        <w:t xml:space="preserve">第三条 </w:t>
      </w:r>
      <w:r>
        <w:rPr>
          <w:rFonts w:hint="eastAsia" w:ascii="方正黑体_GBK" w:eastAsia="方正黑体_GBK"/>
          <w:color w:val="auto"/>
          <w:sz w:val="32"/>
          <w:lang w:val="en-US" w:eastAsia="zh-CN"/>
        </w:rPr>
        <w:t xml:space="preserve"> </w:t>
      </w:r>
      <w:r>
        <w:rPr>
          <w:rFonts w:hint="eastAsia" w:ascii="方正仿宋_GBK" w:eastAsia="方正仿宋_GBK"/>
          <w:color w:val="auto"/>
          <w:sz w:val="32"/>
          <w:szCs w:val="32"/>
        </w:rPr>
        <w:t>本办法适用于县级产业园建设。创建国家级、市级产业园应首先遵循此办法。</w:t>
      </w:r>
    </w:p>
    <w:p w14:paraId="1C536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</w:rPr>
      </w:pPr>
    </w:p>
    <w:p w14:paraId="0FD5B3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黑体_GBK" w:eastAsia="方正黑体_GBK"/>
          <w:color w:val="auto"/>
          <w:kern w:val="0"/>
          <w:sz w:val="32"/>
        </w:rPr>
      </w:pPr>
      <w:r>
        <w:rPr>
          <w:rFonts w:hint="eastAsia" w:ascii="方正黑体_GBK" w:eastAsia="方正黑体_GBK"/>
          <w:color w:val="auto"/>
          <w:kern w:val="0"/>
          <w:sz w:val="32"/>
        </w:rPr>
        <w:t xml:space="preserve"> 建设标准</w:t>
      </w:r>
    </w:p>
    <w:p w14:paraId="089B84D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1426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宋体" w:eastAsia="方正仿宋_GBK" w:cs="宋体"/>
          <w:color w:val="auto"/>
          <w:kern w:val="0"/>
          <w:sz w:val="32"/>
          <w:szCs w:val="32"/>
        </w:rPr>
      </w:pPr>
      <w:r>
        <w:rPr>
          <w:rFonts w:hint="eastAsia" w:ascii="方正黑体_GBK" w:eastAsia="方正黑体_GBK"/>
          <w:color w:val="auto"/>
          <w:kern w:val="0"/>
          <w:sz w:val="32"/>
        </w:rPr>
        <w:t>第四条</w:t>
      </w:r>
      <w:r>
        <w:rPr>
          <w:rFonts w:hint="eastAsia" w:ascii="方正黑体_GBK" w:eastAsia="方正黑体_GBK"/>
          <w:color w:val="auto"/>
          <w:kern w:val="0"/>
          <w:sz w:val="32"/>
          <w:lang w:val="en-US" w:eastAsia="zh-CN"/>
        </w:rPr>
        <w:t xml:space="preserve"> </w:t>
      </w:r>
      <w:r>
        <w:rPr>
          <w:rFonts w:hint="eastAsia" w:ascii="方正黑体_GBK" w:eastAsia="方正黑体_GBK"/>
          <w:color w:val="auto"/>
          <w:kern w:val="0"/>
          <w:sz w:val="32"/>
          <w:szCs w:val="21"/>
        </w:rPr>
        <w:t xml:space="preserve"> </w:t>
      </w:r>
      <w:r>
        <w:rPr>
          <w:rFonts w:hint="eastAsia" w:eastAsia="方正仿宋_GBK"/>
          <w:color w:val="auto"/>
          <w:kern w:val="0"/>
          <w:sz w:val="32"/>
          <w:szCs w:val="32"/>
        </w:rPr>
        <w:t>发展导向。主导产业提质增效，示范引领产业振兴；产业链条要素集聚，示范引领优先发展；拓展延伸农业功能，示范引领融合驱动。</w:t>
      </w:r>
    </w:p>
    <w:p w14:paraId="33815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eastAsia="方正仿宋_GBK"/>
          <w:color w:val="auto"/>
          <w:kern w:val="0"/>
          <w:sz w:val="32"/>
          <w:szCs w:val="32"/>
        </w:rPr>
      </w:pPr>
      <w:r>
        <w:rPr>
          <w:rFonts w:hint="eastAsia" w:ascii="方正黑体_GBK" w:eastAsia="方正黑体_GBK"/>
          <w:color w:val="auto"/>
          <w:kern w:val="0"/>
          <w:sz w:val="32"/>
        </w:rPr>
        <w:t>第五条</w:t>
      </w:r>
      <w:r>
        <w:rPr>
          <w:rFonts w:hint="eastAsia" w:ascii="方正黑体_GBK" w:eastAsia="方正黑体_GBK"/>
          <w:color w:val="auto"/>
          <w:kern w:val="0"/>
          <w:sz w:val="32"/>
          <w:lang w:val="en-US" w:eastAsia="zh-CN"/>
        </w:rPr>
        <w:t xml:space="preserve"> </w:t>
      </w:r>
      <w:r>
        <w:rPr>
          <w:rFonts w:hint="eastAsia" w:ascii="方正黑体_GBK" w:eastAsia="方正黑体_GBK"/>
          <w:color w:val="auto"/>
          <w:kern w:val="0"/>
          <w:sz w:val="32"/>
          <w:szCs w:val="21"/>
        </w:rPr>
        <w:t xml:space="preserve"> </w:t>
      </w:r>
      <w:r>
        <w:rPr>
          <w:rFonts w:hint="eastAsia" w:eastAsia="方正仿宋_GBK"/>
          <w:color w:val="auto"/>
          <w:kern w:val="0"/>
          <w:sz w:val="32"/>
          <w:szCs w:val="32"/>
        </w:rPr>
        <w:t>建设任务。制定完善建设规划，夯实基础建设配套，强化主导产业发展，推动科技集成运用，推动绿色高质量发展，探索实践改革创新，加大环境整治力度。</w:t>
      </w:r>
    </w:p>
    <w:p w14:paraId="3BF47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方正黑体_GBK" w:eastAsia="方正黑体_GBK"/>
          <w:color w:val="auto"/>
          <w:kern w:val="0"/>
          <w:sz w:val="32"/>
          <w:szCs w:val="21"/>
        </w:rPr>
      </w:pPr>
      <w:r>
        <w:rPr>
          <w:rFonts w:hint="eastAsia" w:ascii="方正黑体_GBK" w:eastAsia="方正黑体_GBK"/>
          <w:color w:val="auto"/>
          <w:kern w:val="0"/>
          <w:sz w:val="32"/>
        </w:rPr>
        <w:t>第六条</w:t>
      </w:r>
      <w:r>
        <w:rPr>
          <w:rFonts w:hint="eastAsia" w:ascii="方正黑体_GBK" w:eastAsia="方正黑体_GBK"/>
          <w:color w:val="auto"/>
          <w:kern w:val="0"/>
          <w:sz w:val="32"/>
          <w:szCs w:val="21"/>
        </w:rPr>
        <w:t xml:space="preserve"> </w:t>
      </w:r>
      <w:r>
        <w:rPr>
          <w:rFonts w:hint="eastAsia" w:ascii="方正黑体_GBK" w:eastAsia="方正黑体_GBK"/>
          <w:color w:val="auto"/>
          <w:kern w:val="0"/>
          <w:sz w:val="32"/>
          <w:szCs w:val="2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建设指标</w:t>
      </w:r>
    </w:p>
    <w:p w14:paraId="35826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宋体" w:eastAsia="方正仿宋_GBK" w:cs="宋体"/>
          <w:color w:val="auto"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主导产业。主导产业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1—2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个，覆盖产业园面积达到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45%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以上，主导产业产值占产业园总产值的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45%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以上；主导产业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70%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以上实行产业化经营；围绕主导产业，有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家以上龙头企业带动，农产品初加工转化率达到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55%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以上，加工业产值与农业总产值比达到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2∶1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（或二三产业产值与农业总产值比达到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3∶1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）。</w:t>
      </w:r>
    </w:p>
    <w:p w14:paraId="5970A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宋体" w:eastAsia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宋体" w:eastAsia="方正仿宋_GBK"/>
          <w:color w:val="auto"/>
          <w:kern w:val="0"/>
          <w:sz w:val="32"/>
          <w:szCs w:val="32"/>
        </w:rPr>
        <w:t>要素集聚。有1家以上科研单位为技术支撑，新型职业农民占农业生产经营者比例达到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15%</w:t>
      </w:r>
      <w:r>
        <w:rPr>
          <w:rFonts w:hint="eastAsia" w:ascii="方正仿宋_GBK" w:hAnsi="宋体" w:eastAsia="方正仿宋_GBK"/>
          <w:color w:val="auto"/>
          <w:kern w:val="0"/>
          <w:sz w:val="32"/>
          <w:szCs w:val="32"/>
        </w:rPr>
        <w:t>以上，农业科技贡献率达到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60%</w:t>
      </w:r>
      <w:r>
        <w:rPr>
          <w:rFonts w:hint="eastAsia" w:ascii="方正仿宋_GBK" w:hAnsi="宋体" w:eastAsia="方正仿宋_GBK"/>
          <w:color w:val="auto"/>
          <w:kern w:val="0"/>
          <w:sz w:val="32"/>
          <w:szCs w:val="32"/>
        </w:rPr>
        <w:t>以上；农业机械化率、信息化水平分别高于所在区县平均水平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3%</w:t>
      </w:r>
      <w:r>
        <w:rPr>
          <w:rFonts w:hint="eastAsia" w:ascii="方正仿宋_GBK" w:hAnsi="宋体" w:eastAsia="方正仿宋_GBK"/>
          <w:color w:val="auto"/>
          <w:kern w:val="0"/>
          <w:sz w:val="32"/>
          <w:szCs w:val="32"/>
        </w:rPr>
        <w:t>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8%</w:t>
      </w:r>
      <w:r>
        <w:rPr>
          <w:rFonts w:hint="eastAsia" w:ascii="方正仿宋_GBK" w:hAnsi="宋体" w:eastAsia="方正仿宋_GBK"/>
          <w:color w:val="auto"/>
          <w:kern w:val="0"/>
          <w:sz w:val="32"/>
          <w:szCs w:val="32"/>
        </w:rPr>
        <w:t>以上；土地适度规模经营率达到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50%</w:t>
      </w:r>
      <w:r>
        <w:rPr>
          <w:rFonts w:hint="eastAsia" w:ascii="方正仿宋_GBK" w:hAnsi="宋体" w:eastAsia="方正仿宋_GBK"/>
          <w:color w:val="auto"/>
          <w:kern w:val="0"/>
          <w:sz w:val="32"/>
          <w:szCs w:val="32"/>
        </w:rPr>
        <w:t>以上；土地产出率和劳动生产率高于产业园所在地区平均水平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20%</w:t>
      </w:r>
      <w:r>
        <w:rPr>
          <w:rFonts w:hint="eastAsia" w:ascii="方正仿宋_GBK" w:hAnsi="宋体" w:eastAsia="方正仿宋_GBK"/>
          <w:color w:val="auto"/>
          <w:kern w:val="0"/>
          <w:sz w:val="32"/>
          <w:szCs w:val="32"/>
        </w:rPr>
        <w:t>以上。</w:t>
      </w:r>
    </w:p>
    <w:p w14:paraId="028C8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宋体" w:eastAsia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宋体" w:eastAsia="方正仿宋_GBK"/>
          <w:color w:val="auto"/>
          <w:kern w:val="0"/>
          <w:sz w:val="32"/>
          <w:szCs w:val="32"/>
        </w:rPr>
        <w:t>绿色发展。畜禽粪污综合利用率达到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70%</w:t>
      </w:r>
      <w:r>
        <w:rPr>
          <w:rFonts w:hint="eastAsia" w:ascii="方正仿宋_GBK" w:hAnsi="宋体" w:eastAsia="方正仿宋_GBK"/>
          <w:color w:val="auto"/>
          <w:kern w:val="0"/>
          <w:sz w:val="32"/>
          <w:szCs w:val="32"/>
        </w:rPr>
        <w:t>以上，</w:t>
      </w:r>
      <w:r>
        <w:rPr>
          <w:rFonts w:hint="eastAsia" w:ascii="方正仿宋_GBK" w:hAnsi="宋体" w:eastAsia="方正仿宋_GBK" w:cs="宋体"/>
          <w:color w:val="auto"/>
          <w:kern w:val="0"/>
          <w:sz w:val="32"/>
          <w:szCs w:val="32"/>
        </w:rPr>
        <w:t>农用薄膜全部回收处理，</w:t>
      </w:r>
      <w:r>
        <w:rPr>
          <w:rFonts w:hint="eastAsia" w:ascii="方正仿宋_GBK" w:hAnsi="宋体" w:eastAsia="方正仿宋_GBK"/>
          <w:color w:val="auto"/>
          <w:kern w:val="0"/>
          <w:sz w:val="32"/>
          <w:szCs w:val="32"/>
        </w:rPr>
        <w:t>亩均化肥和农药施用量比全市平均水平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低25%</w:t>
      </w:r>
      <w:r>
        <w:rPr>
          <w:rFonts w:hint="eastAsia" w:ascii="方正仿宋_GBK" w:hAnsi="宋体" w:eastAsia="方正仿宋_GBK"/>
          <w:color w:val="auto"/>
          <w:kern w:val="0"/>
          <w:sz w:val="32"/>
          <w:szCs w:val="32"/>
        </w:rPr>
        <w:t>以上；产业园内农产品抽检合格率达到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99%</w:t>
      </w:r>
      <w:r>
        <w:rPr>
          <w:rFonts w:hint="eastAsia" w:ascii="方正仿宋_GBK" w:hAnsi="宋体" w:eastAsia="方正仿宋_GBK"/>
          <w:color w:val="auto"/>
          <w:kern w:val="0"/>
          <w:sz w:val="32"/>
          <w:szCs w:val="32"/>
        </w:rPr>
        <w:t>以上，绿色、有机、地理标志农产品认证比例达到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70%</w:t>
      </w:r>
      <w:r>
        <w:rPr>
          <w:rFonts w:hint="eastAsia" w:ascii="方正仿宋_GBK" w:hAnsi="宋体" w:eastAsia="方正仿宋_GBK"/>
          <w:color w:val="auto"/>
          <w:kern w:val="0"/>
          <w:sz w:val="32"/>
          <w:szCs w:val="32"/>
        </w:rPr>
        <w:t>以上。</w:t>
      </w:r>
    </w:p>
    <w:p w14:paraId="2AB6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宋体" w:eastAsia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宋体" w:eastAsia="方正仿宋_GBK"/>
          <w:color w:val="auto"/>
          <w:kern w:val="0"/>
          <w:sz w:val="32"/>
          <w:szCs w:val="32"/>
        </w:rPr>
        <w:t>联农带农。农户参加合作社的比例达到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60%</w:t>
      </w:r>
      <w:r>
        <w:rPr>
          <w:rFonts w:hint="eastAsia" w:ascii="方正仿宋_GBK" w:hAnsi="宋体" w:eastAsia="方正仿宋_GBK"/>
          <w:color w:val="auto"/>
          <w:kern w:val="0"/>
          <w:sz w:val="32"/>
          <w:szCs w:val="32"/>
        </w:rPr>
        <w:t>以上；村级集体经济年经营性收入达到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5</w:t>
      </w:r>
      <w:r>
        <w:rPr>
          <w:rFonts w:hint="eastAsia" w:ascii="方正仿宋_GBK" w:hAnsi="宋体" w:eastAsia="方正仿宋_GBK"/>
          <w:color w:val="auto"/>
          <w:kern w:val="0"/>
          <w:sz w:val="32"/>
          <w:szCs w:val="32"/>
        </w:rPr>
        <w:t>万元以上；产业园农民人均可支配收入高于当地平均水平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15%</w:t>
      </w:r>
      <w:r>
        <w:rPr>
          <w:rFonts w:hint="eastAsia" w:ascii="方正仿宋_GBK" w:hAnsi="宋体" w:eastAsia="方正仿宋_GBK"/>
          <w:color w:val="auto"/>
          <w:kern w:val="0"/>
          <w:sz w:val="32"/>
          <w:szCs w:val="32"/>
        </w:rPr>
        <w:t>以上。</w:t>
      </w:r>
    </w:p>
    <w:p w14:paraId="0A5D8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宋体" w:eastAsia="方正仿宋_GBK"/>
          <w:color w:val="auto"/>
          <w:kern w:val="0"/>
          <w:sz w:val="32"/>
          <w:szCs w:val="32"/>
        </w:rPr>
      </w:pPr>
    </w:p>
    <w:p w14:paraId="683DE3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黑体_GBK" w:eastAsia="方正黑体_GBK"/>
          <w:color w:val="auto"/>
          <w:kern w:val="0"/>
          <w:sz w:val="32"/>
        </w:rPr>
      </w:pPr>
      <w:r>
        <w:rPr>
          <w:rFonts w:hint="eastAsia" w:ascii="方正黑体_GBK" w:eastAsia="方正黑体_GBK"/>
          <w:color w:val="auto"/>
          <w:kern w:val="0"/>
          <w:sz w:val="32"/>
        </w:rPr>
        <w:t>申报创建</w:t>
      </w:r>
    </w:p>
    <w:p w14:paraId="574B97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/>
        </w:rPr>
      </w:pPr>
    </w:p>
    <w:p w14:paraId="6CD44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color w:val="auto"/>
          <w:spacing w:val="-6"/>
          <w:sz w:val="32"/>
          <w:szCs w:val="32"/>
        </w:rPr>
      </w:pPr>
      <w:r>
        <w:rPr>
          <w:rFonts w:hint="eastAsia" w:ascii="方正黑体_GBK" w:eastAsia="方正黑体_GBK"/>
          <w:color w:val="auto"/>
          <w:sz w:val="32"/>
        </w:rPr>
        <w:t>第七条</w:t>
      </w:r>
      <w:r>
        <w:rPr>
          <w:rFonts w:hint="eastAsia" w:ascii="方正黑体_GBK" w:eastAsia="方正黑体_GBK"/>
          <w:color w:val="auto"/>
          <w:sz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z w:val="32"/>
          <w:szCs w:val="32"/>
        </w:rPr>
        <w:t>国</w:t>
      </w:r>
      <w:r>
        <w:rPr>
          <w:rFonts w:hint="eastAsia" w:ascii="方正仿宋_GBK" w:eastAsia="方正仿宋_GBK"/>
          <w:color w:val="auto"/>
          <w:spacing w:val="-6"/>
          <w:sz w:val="32"/>
          <w:szCs w:val="32"/>
        </w:rPr>
        <w:t>家级、市级产业园在县级产业园中择优推荐创建。</w:t>
      </w:r>
    </w:p>
    <w:p w14:paraId="023D2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color w:val="auto"/>
          <w:spacing w:val="-11"/>
          <w:sz w:val="32"/>
          <w:szCs w:val="32"/>
        </w:rPr>
      </w:pPr>
      <w:r>
        <w:rPr>
          <w:rFonts w:hint="eastAsia" w:ascii="方正黑体_GBK" w:eastAsia="方正黑体_GBK"/>
          <w:color w:val="auto"/>
          <w:sz w:val="32"/>
        </w:rPr>
        <w:t>第八条</w:t>
      </w:r>
      <w:r>
        <w:rPr>
          <w:rFonts w:hint="eastAsia" w:ascii="方正黑体_GBK" w:eastAsia="方正黑体_GBK"/>
          <w:color w:val="auto"/>
          <w:sz w:val="32"/>
          <w:lang w:val="en-US" w:eastAsia="zh-CN"/>
        </w:rPr>
        <w:t xml:space="preserve">  </w:t>
      </w:r>
      <w:r>
        <w:rPr>
          <w:rFonts w:hint="eastAsia" w:ascii="方正仿宋_GBK" w:eastAsia="方正仿宋_GBK"/>
          <w:color w:val="auto"/>
          <w:spacing w:val="-11"/>
          <w:sz w:val="32"/>
          <w:szCs w:val="32"/>
        </w:rPr>
        <w:t>县级产业园申报工作原则上每年组织一次申报工作。</w:t>
      </w:r>
    </w:p>
    <w:p w14:paraId="57E50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黑体_GBK" w:eastAsia="方正黑体_GBK"/>
          <w:color w:val="auto"/>
          <w:sz w:val="32"/>
        </w:rPr>
        <w:t xml:space="preserve">第九条 </w:t>
      </w:r>
      <w:r>
        <w:rPr>
          <w:rFonts w:hint="eastAsia" w:ascii="方正仿宋_GBK" w:eastAsia="方正仿宋_GBK"/>
          <w:color w:val="auto"/>
          <w:sz w:val="32"/>
          <w:szCs w:val="32"/>
        </w:rPr>
        <w:t>申报流程</w:t>
      </w:r>
    </w:p>
    <w:p w14:paraId="054A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eastAsia="方正仿宋_GBK"/>
          <w:color w:val="auto"/>
          <w:sz w:val="32"/>
          <w:szCs w:val="32"/>
        </w:rPr>
        <w:t>编制创建方案。乡镇（街道）负责组织创建工作，编制创建方案。</w:t>
      </w:r>
    </w:p>
    <w:p w14:paraId="465EB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60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eastAsia="方正仿宋_GBK"/>
          <w:color w:val="auto"/>
          <w:sz w:val="32"/>
          <w:szCs w:val="32"/>
        </w:rPr>
        <w:t>乡镇（街道）推荐申报。经乡镇（街道）审核推荐，将产业园创建方案、基本情况表、佐证资料等申报材料报送县农业农村委和县财政局。</w:t>
      </w:r>
    </w:p>
    <w:p w14:paraId="0D941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60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eastAsia="方正仿宋_GBK"/>
          <w:color w:val="auto"/>
          <w:sz w:val="32"/>
          <w:szCs w:val="32"/>
        </w:rPr>
        <w:t>县级评议公布。县农业农村委组织专家组开展县级评议，择优提出拟建设名单并公示，由县农业农村委会同县财政局发文开展县级产业园创建工作。</w:t>
      </w:r>
    </w:p>
    <w:p w14:paraId="2F79C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60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</w:rPr>
      </w:pPr>
    </w:p>
    <w:p w14:paraId="31455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黑体_GBK" w:eastAsia="方正黑体_GBK"/>
          <w:color w:val="auto"/>
          <w:kern w:val="0"/>
          <w:sz w:val="32"/>
        </w:rPr>
      </w:pPr>
      <w:r>
        <w:rPr>
          <w:rFonts w:hint="eastAsia" w:ascii="方正黑体_GBK" w:eastAsia="方正黑体_GBK"/>
          <w:color w:val="auto"/>
          <w:kern w:val="0"/>
          <w:sz w:val="32"/>
        </w:rPr>
        <w:t>第四章 项目资金管理</w:t>
      </w:r>
    </w:p>
    <w:p w14:paraId="766F9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</w:rPr>
      </w:pPr>
    </w:p>
    <w:p w14:paraId="3D6A4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黑体_GBK" w:eastAsia="方正黑体_GBK"/>
          <w:color w:val="auto"/>
          <w:sz w:val="32"/>
        </w:rPr>
        <w:t xml:space="preserve">第十条 </w:t>
      </w:r>
      <w:r>
        <w:rPr>
          <w:rFonts w:hint="eastAsia" w:ascii="方正仿宋_GBK" w:eastAsia="方正仿宋_GBK"/>
          <w:color w:val="auto"/>
          <w:sz w:val="32"/>
          <w:szCs w:val="32"/>
        </w:rPr>
        <w:t>县级产业园必须建立资金管理及使用台账。</w:t>
      </w:r>
    </w:p>
    <w:p w14:paraId="66FA8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黑体_GBK" w:eastAsia="方正黑体_GBK"/>
          <w:color w:val="auto"/>
          <w:sz w:val="32"/>
        </w:rPr>
        <w:t xml:space="preserve">第十一条 </w:t>
      </w:r>
      <w:r>
        <w:rPr>
          <w:rFonts w:hint="eastAsia" w:ascii="方正仿宋_GBK" w:eastAsia="方正仿宋_GBK"/>
          <w:color w:val="auto"/>
          <w:sz w:val="32"/>
          <w:szCs w:val="32"/>
        </w:rPr>
        <w:t>产业园内所涉财政投入资金，由乡镇（街道）编制资金使用方案，报县农业农村委审核备案。</w:t>
      </w:r>
    </w:p>
    <w:p w14:paraId="6F3F9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黑体_GBK" w:eastAsia="方正黑体_GBK"/>
          <w:color w:val="auto"/>
          <w:sz w:val="32"/>
        </w:rPr>
        <w:t xml:space="preserve">第十二条 </w:t>
      </w:r>
      <w:r>
        <w:rPr>
          <w:rFonts w:hint="eastAsia" w:ascii="方正仿宋_GBK" w:eastAsia="方正仿宋_GBK"/>
          <w:color w:val="auto"/>
          <w:sz w:val="32"/>
          <w:szCs w:val="32"/>
        </w:rPr>
        <w:t>乡镇（街道）收到资金使用方案批复后，组织并督促项目建设。</w:t>
      </w:r>
    </w:p>
    <w:p w14:paraId="4A5D8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eastAsia" w:ascii="方正仿宋_GBK" w:hAnsi="方正楷体_GBK" w:eastAsia="方正仿宋_GBK" w:cs="方正楷体_GBK"/>
          <w:color w:val="auto"/>
          <w:sz w:val="32"/>
          <w:szCs w:val="32"/>
        </w:rPr>
      </w:pPr>
      <w:r>
        <w:rPr>
          <w:rFonts w:hint="eastAsia" w:ascii="方正黑体_GBK" w:hAnsi="方正楷体_GBK" w:eastAsia="方正黑体_GBK" w:cs="方正楷体_GBK"/>
          <w:color w:val="auto"/>
          <w:sz w:val="32"/>
          <w:szCs w:val="32"/>
        </w:rPr>
        <w:t>第十三条</w:t>
      </w:r>
      <w:r>
        <w:rPr>
          <w:rFonts w:hint="eastAsia" w:ascii="方正黑体_GBK" w:eastAsia="方正黑体_GBK"/>
          <w:color w:val="auto"/>
          <w:sz w:val="32"/>
        </w:rPr>
        <w:t xml:space="preserve"> </w:t>
      </w:r>
      <w:r>
        <w:rPr>
          <w:rFonts w:hint="eastAsia" w:ascii="方正仿宋_GBK" w:hAnsi="方正楷体_GBK" w:eastAsia="方正仿宋_GBK" w:cs="方正楷体_GBK"/>
          <w:color w:val="auto"/>
          <w:sz w:val="32"/>
          <w:szCs w:val="32"/>
        </w:rPr>
        <w:t>项目实施过程中，不得擅自调整或终止。如需调整资金使用方案，须按程序报县级批复后调整实施。</w:t>
      </w:r>
    </w:p>
    <w:p w14:paraId="457F7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eastAsia" w:ascii="方正仿宋_GBK" w:hAnsi="方正楷体_GBK" w:eastAsia="方正仿宋_GBK" w:cs="方正楷体_GBK"/>
          <w:color w:val="auto"/>
          <w:sz w:val="32"/>
          <w:szCs w:val="32"/>
        </w:rPr>
      </w:pPr>
    </w:p>
    <w:p w14:paraId="744EC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黑体_GBK" w:eastAsia="方正黑体_GBK"/>
          <w:color w:val="auto"/>
          <w:kern w:val="0"/>
          <w:sz w:val="32"/>
        </w:rPr>
      </w:pPr>
      <w:r>
        <w:rPr>
          <w:rFonts w:hint="eastAsia" w:ascii="方正黑体_GBK" w:eastAsia="方正黑体_GBK"/>
          <w:color w:val="auto"/>
          <w:kern w:val="0"/>
          <w:sz w:val="32"/>
        </w:rPr>
        <w:t>第五章 认定管理</w:t>
      </w:r>
    </w:p>
    <w:p w14:paraId="61132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</w:rPr>
      </w:pPr>
    </w:p>
    <w:p w14:paraId="755C4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黑体_GBK" w:eastAsia="方正黑体_GBK"/>
          <w:color w:val="auto"/>
          <w:sz w:val="32"/>
        </w:rPr>
        <w:t xml:space="preserve">第十四条 </w:t>
      </w:r>
      <w:r>
        <w:rPr>
          <w:rFonts w:hint="eastAsia" w:ascii="方正仿宋_GBK" w:eastAsia="方正仿宋_GBK"/>
          <w:color w:val="auto"/>
          <w:sz w:val="32"/>
          <w:szCs w:val="32"/>
        </w:rPr>
        <w:t>按照“一年有起色、两年见成效、四年成体系”的总体安排，分批次开展核查认定。原则上两年认定一次。</w:t>
      </w:r>
    </w:p>
    <w:p w14:paraId="76235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eastAsia="方正黑体_GBK"/>
          <w:color w:val="auto"/>
          <w:sz w:val="32"/>
        </w:rPr>
      </w:pPr>
      <w:r>
        <w:rPr>
          <w:rFonts w:hint="eastAsia" w:ascii="方正黑体_GBK" w:eastAsia="方正黑体_GBK"/>
          <w:color w:val="auto"/>
          <w:sz w:val="32"/>
        </w:rPr>
        <w:t xml:space="preserve">第十五条 </w:t>
      </w:r>
      <w:r>
        <w:rPr>
          <w:rFonts w:hint="eastAsia" w:ascii="方正仿宋_GBK" w:eastAsia="方正仿宋_GBK"/>
          <w:color w:val="auto"/>
          <w:sz w:val="32"/>
          <w:szCs w:val="32"/>
        </w:rPr>
        <w:t>认定流程</w:t>
      </w:r>
    </w:p>
    <w:p w14:paraId="5FF28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eastAsia="方正仿宋_GBK"/>
          <w:color w:val="auto"/>
          <w:sz w:val="32"/>
          <w:szCs w:val="32"/>
        </w:rPr>
        <w:t>乡镇（街道）申请。经乡镇（街道）对产业园创建工作评估后，认为达到创建标准的，可申请认定县级产业园。</w:t>
      </w:r>
    </w:p>
    <w:p w14:paraId="6F81D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eastAsia="方正仿宋_GBK"/>
          <w:color w:val="auto"/>
          <w:sz w:val="32"/>
          <w:szCs w:val="32"/>
        </w:rPr>
        <w:t>县级核查。县农业农村委根据乡镇（街道）提出的申请，组织核查工作组或委托第三方机构进行现场核查。</w:t>
      </w:r>
    </w:p>
    <w:p w14:paraId="26769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eastAsia="方正仿宋_GBK"/>
          <w:color w:val="auto"/>
          <w:sz w:val="32"/>
          <w:szCs w:val="32"/>
        </w:rPr>
        <w:t>发文认定。县农业农村委根据核查结果，经县农业农村委主任办公会审定后，会同县财政局发文认定。</w:t>
      </w:r>
    </w:p>
    <w:p w14:paraId="6DF1F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</w:rPr>
      </w:pPr>
    </w:p>
    <w:p w14:paraId="4F54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黑体_GBK" w:eastAsia="方正黑体_GBK"/>
          <w:color w:val="auto"/>
          <w:kern w:val="0"/>
          <w:sz w:val="32"/>
        </w:rPr>
      </w:pPr>
      <w:r>
        <w:rPr>
          <w:rFonts w:hint="eastAsia" w:ascii="方正黑体_GBK" w:eastAsia="方正黑体_GBK"/>
          <w:color w:val="auto"/>
          <w:kern w:val="0"/>
          <w:sz w:val="32"/>
        </w:rPr>
        <w:t>第六章 监测管理</w:t>
      </w:r>
    </w:p>
    <w:p w14:paraId="23894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00" w:firstLineChars="25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21"/>
        </w:rPr>
      </w:pPr>
    </w:p>
    <w:p w14:paraId="7269D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00" w:firstLineChars="250"/>
        <w:textAlignment w:val="auto"/>
        <w:outlineLvl w:val="9"/>
        <w:rPr>
          <w:rFonts w:hint="eastAsia" w:ascii="方正仿宋_GBK" w:eastAsia="方正仿宋_GBK"/>
          <w:color w:val="auto"/>
          <w:kern w:val="0"/>
          <w:sz w:val="32"/>
          <w:szCs w:val="21"/>
        </w:rPr>
      </w:pPr>
      <w:r>
        <w:rPr>
          <w:rFonts w:hint="eastAsia" w:ascii="方正黑体_GBK" w:hAnsi="Courier New" w:eastAsia="方正黑体_GBK"/>
          <w:color w:val="auto"/>
          <w:kern w:val="0"/>
          <w:sz w:val="32"/>
          <w:szCs w:val="21"/>
        </w:rPr>
        <w:t xml:space="preserve">第十六条 </w:t>
      </w:r>
      <w:r>
        <w:rPr>
          <w:rFonts w:hint="eastAsia" w:ascii="方正仿宋_GBK" w:hAnsi="Courier New" w:eastAsia="方正仿宋_GBK"/>
          <w:color w:val="auto"/>
          <w:kern w:val="0"/>
          <w:sz w:val="32"/>
          <w:szCs w:val="32"/>
        </w:rPr>
        <w:t>动态评估竞争创建。建立年度评估考核机制，通过指标体系对产业园进行综合评估，发布产业园建设情况分析报告。严格执行末位淘汰制和</w:t>
      </w:r>
      <w:r>
        <w:rPr>
          <w:rFonts w:hint="eastAsia" w:ascii="方正仿宋_GBK" w:eastAsia="方正仿宋_GBK"/>
          <w:color w:val="auto"/>
          <w:kern w:val="0"/>
          <w:sz w:val="32"/>
          <w:szCs w:val="21"/>
        </w:rPr>
        <w:t>递补制。年度评估结果作为次年县级财政</w:t>
      </w:r>
      <w:r>
        <w:rPr>
          <w:rFonts w:hint="eastAsia" w:ascii="方正仿宋_GBK" w:eastAsia="方正仿宋_GBK"/>
          <w:color w:val="auto"/>
          <w:kern w:val="0"/>
          <w:sz w:val="32"/>
          <w:szCs w:val="21"/>
          <w:lang w:val="en-US" w:eastAsia="zh-CN"/>
        </w:rPr>
        <w:t>农业产业项目资金重点支持</w:t>
      </w:r>
      <w:r>
        <w:rPr>
          <w:rFonts w:hint="eastAsia" w:ascii="方正仿宋_GBK" w:eastAsia="方正仿宋_GBK"/>
          <w:color w:val="auto"/>
          <w:kern w:val="0"/>
          <w:sz w:val="32"/>
          <w:szCs w:val="21"/>
        </w:rPr>
        <w:t>的依据。</w:t>
      </w:r>
    </w:p>
    <w:p w14:paraId="124F4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00" w:firstLineChars="250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黑体_GBK" w:eastAsia="方正黑体_GBK"/>
          <w:color w:val="auto"/>
          <w:sz w:val="32"/>
        </w:rPr>
        <w:t xml:space="preserve">第十七条 </w:t>
      </w:r>
      <w:r>
        <w:rPr>
          <w:rFonts w:hint="eastAsia" w:ascii="方正仿宋_GBK" w:eastAsia="方正仿宋_GBK"/>
          <w:color w:val="auto"/>
          <w:sz w:val="32"/>
          <w:szCs w:val="32"/>
        </w:rPr>
        <w:t>建立推进调度机制</w:t>
      </w:r>
    </w:p>
    <w:p w14:paraId="6FEFB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00" w:firstLineChars="250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eastAsia="方正仿宋_GBK"/>
          <w:color w:val="auto"/>
          <w:sz w:val="32"/>
          <w:szCs w:val="32"/>
        </w:rPr>
        <w:t>乡镇（街道）建立月度台账制。产业园所在乡镇（街道）</w:t>
      </w:r>
      <w:r>
        <w:rPr>
          <w:rFonts w:hint="eastAsia" w:ascii="方正仿宋_GBK" w:eastAsia="方正仿宋_GBK"/>
          <w:color w:val="auto"/>
          <w:spacing w:val="-6"/>
          <w:sz w:val="32"/>
          <w:szCs w:val="32"/>
        </w:rPr>
        <w:t>建立创建工作进度和资金使用进度台账，由乡镇（街道）按时调度。</w:t>
      </w:r>
    </w:p>
    <w:p w14:paraId="2F545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00" w:firstLineChars="250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eastAsia="方正仿宋_GBK"/>
          <w:color w:val="auto"/>
          <w:sz w:val="32"/>
          <w:szCs w:val="32"/>
        </w:rPr>
        <w:t>部门实行季度督导制。县农业农村委对产业园建设开展季度督导，强化指导，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加强</w:t>
      </w:r>
      <w:r>
        <w:rPr>
          <w:rFonts w:hint="eastAsia" w:ascii="方正仿宋_GBK" w:eastAsia="方正仿宋_GBK"/>
          <w:color w:val="auto"/>
          <w:sz w:val="32"/>
          <w:szCs w:val="32"/>
        </w:rPr>
        <w:t>协调，推动产业园创建工作。</w:t>
      </w:r>
    </w:p>
    <w:p w14:paraId="24BB2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00" w:firstLineChars="250"/>
        <w:textAlignment w:val="auto"/>
        <w:outlineLvl w:val="9"/>
        <w:rPr>
          <w:rFonts w:hint="eastAsia" w:ascii="方正仿宋_GBK" w:eastAsia="方正仿宋_GBK"/>
          <w:color w:val="auto"/>
          <w:kern w:val="0"/>
          <w:sz w:val="32"/>
          <w:szCs w:val="21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eastAsia="方正仿宋_GBK"/>
          <w:color w:val="auto"/>
          <w:kern w:val="0"/>
          <w:sz w:val="32"/>
          <w:szCs w:val="21"/>
        </w:rPr>
        <w:t>县级推行半年调度制。县农业农村委对产业园建设工作进行综合调度。乡镇（街道）应于每年1月底和7月底前报送产业园半年创建工作进展情况。</w:t>
      </w:r>
    </w:p>
    <w:p w14:paraId="33960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00" w:firstLineChars="250"/>
        <w:textAlignment w:val="auto"/>
        <w:outlineLvl w:val="9"/>
        <w:rPr>
          <w:rFonts w:hint="eastAsia" w:ascii="方正仿宋_GBK" w:eastAsia="方正仿宋_GBK"/>
          <w:color w:val="auto"/>
          <w:kern w:val="0"/>
          <w:sz w:val="32"/>
          <w:szCs w:val="21"/>
        </w:rPr>
      </w:pPr>
    </w:p>
    <w:p w14:paraId="5E4371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黑体_GBK" w:hAnsi="Courier New" w:eastAsia="方正黑体_GBK"/>
          <w:color w:val="auto"/>
          <w:kern w:val="0"/>
          <w:sz w:val="32"/>
        </w:rPr>
      </w:pPr>
      <w:r>
        <w:rPr>
          <w:rFonts w:hint="eastAsia" w:ascii="方正黑体_GBK" w:hAnsi="Courier New" w:eastAsia="方正黑体_GBK"/>
          <w:color w:val="auto"/>
          <w:kern w:val="0"/>
          <w:sz w:val="32"/>
        </w:rPr>
        <w:t>附  则</w:t>
      </w:r>
    </w:p>
    <w:p w14:paraId="0E2B2DA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359C9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0" w:footer="992" w:gutter="0"/>
          <w:pgNumType w:fmt="numberInDash" w:start="1"/>
          <w:cols w:space="0" w:num="1"/>
          <w:rtlGutter w:val="0"/>
          <w:docGrid w:type="lines" w:linePitch="316" w:charSpace="0"/>
        </w:sectPr>
      </w:pPr>
      <w:r>
        <w:rPr>
          <w:rFonts w:hint="eastAsia" w:ascii="方正黑体_GBK" w:eastAsia="方正黑体_GBK"/>
          <w:bCs/>
          <w:color w:val="auto"/>
          <w:sz w:val="32"/>
        </w:rPr>
        <w:t xml:space="preserve">第十八条 </w:t>
      </w:r>
      <w:r>
        <w:rPr>
          <w:rFonts w:hint="eastAsia" w:ascii="方正仿宋_GBK" w:eastAsia="方正仿宋_GBK"/>
          <w:color w:val="auto"/>
          <w:sz w:val="32"/>
          <w:szCs w:val="18"/>
        </w:rPr>
        <w:t>本</w:t>
      </w:r>
      <w:r>
        <w:rPr>
          <w:rFonts w:hint="eastAsia" w:ascii="方正仿宋_GBK" w:eastAsia="方正仿宋_GBK"/>
          <w:color w:val="auto"/>
          <w:sz w:val="32"/>
        </w:rPr>
        <w:t>《办法》</w:t>
      </w:r>
      <w:r>
        <w:rPr>
          <w:rFonts w:hint="eastAsia" w:ascii="方正仿宋_GBK" w:eastAsia="方正仿宋_GBK"/>
          <w:color w:val="auto"/>
          <w:sz w:val="32"/>
          <w:szCs w:val="18"/>
        </w:rPr>
        <w:t>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27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日</w:t>
      </w:r>
      <w:r>
        <w:rPr>
          <w:rFonts w:hint="eastAsia" w:ascii="方正仿宋_GBK" w:eastAsia="方正仿宋_GBK"/>
          <w:color w:val="auto"/>
          <w:sz w:val="32"/>
          <w:szCs w:val="32"/>
        </w:rPr>
        <w:t>起施行</w:t>
      </w:r>
      <w:r>
        <w:rPr>
          <w:rFonts w:hint="eastAsia" w:ascii="方正仿宋_GBK" w:eastAsia="方正仿宋_GBK"/>
          <w:color w:val="auto"/>
          <w:sz w:val="32"/>
          <w:szCs w:val="18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原云农发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文件即行废止。</w:t>
      </w:r>
      <w:bookmarkStart w:id="0" w:name="_GoBack"/>
      <w:bookmarkEnd w:id="0"/>
    </w:p>
    <w:p w14:paraId="296F9EFA">
      <w:pPr>
        <w:spacing w:line="240" w:lineRule="auto"/>
        <w:jc w:val="left"/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</w:pPr>
    </w:p>
    <w:sectPr>
      <w:headerReference r:id="rId5" w:type="default"/>
      <w:footerReference r:id="rId6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DA22E">
    <w:pPr>
      <w:pStyle w:val="7"/>
      <w:wordWrap w:val="0"/>
      <w:ind w:left="1067" w:leftChars="508" w:firstLine="10115" w:firstLineChars="3161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w:pict>
        <v:line id="_x0000_s4098" o:spid="_x0000_s4098" o:spt="20" style="position:absolute;left:0pt;margin-left:0pt;margin-top:13.65pt;height:0.15pt;width:442.25pt;z-index:251660288;mso-width-relative:page;mso-height-relative:page;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<v:path arrowok="t"/>
          <v:fill focussize="0,0"/>
          <v:stroke weight="1.75pt" color="#005192" joinstyle="miter"/>
          <v:imagedata o:title=""/>
          <o:lock v:ext="edit"/>
        </v:line>
      </w:pict>
    </w:r>
    <w:r>
      <w:rPr>
        <w:sz w:val="32"/>
      </w:rPr>
      <w:pict>
        <v:shape id="_x0000_s4103" o:spid="_x0000_s4103" o:spt="202" type="#_x0000_t202" style="position:absolute;left:0pt;margin-top:734.45pt;height:144pt;width:144pt;mso-position-horizontal:outside;mso-position-horizontal-relative:margin;mso-position-vertical-relative:page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A468945">
                <w:pPr>
                  <w:pStyle w:val="6"/>
                </w:pP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40"/>
                  </w:rPr>
                  <w:fldChar w:fldCharType="begin"/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40"/>
                  </w:rPr>
                  <w:instrText xml:space="preserve"> PAGE  \* MERGEFORMAT </w:instrText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40"/>
                  </w:rPr>
                  <w:fldChar w:fldCharType="separate"/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40"/>
                  </w:rPr>
                  <w:t>- 1 -</w:t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40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云阳县农业农村委员会发布</w:t>
    </w:r>
  </w:p>
  <w:p w14:paraId="311CFD69">
    <w:pPr>
      <w:pStyle w:val="7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2501E">
    <w:pPr>
      <w:pStyle w:val="7"/>
      <w:ind w:left="4788" w:leftChars="2280" w:firstLine="5600" w:firstLineChars="2000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sz w:val="28"/>
      </w:rPr>
      <w:pict>
        <v:shape id="_x0000_s4102" o:spid="_x0000_s4102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2230CD5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- 6 -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C6CA7">
    <w:pPr>
      <w:pStyle w:val="7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</w:rPr>
      <w:pict>
        <v:line id="_x0000_s4097" o:spid="_x0000_s4097" o:spt="20" style="position:absolute;left:0pt;margin-left:0pt;margin-top:54.35pt;height:0pt;width:442.55pt;z-index:251659264;mso-width-relative:page;mso-height-relative:page;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<v:path arrowok="t"/>
          <v:fill focussize="0,0"/>
          <v:stroke weight="1.75pt" color="#005192" joinstyle="miter"/>
          <v:imagedata o:title=""/>
          <o:lock v:ext="edit"/>
        </v:line>
      </w:pict>
    </w:r>
  </w:p>
  <w:p w14:paraId="33292CD9"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云阳县农业农村委员会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D9C35"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A4275D"/>
    <w:multiLevelType w:val="singleLevel"/>
    <w:tmpl w:val="17A4275D"/>
    <w:lvl w:ilvl="0" w:tentative="0">
      <w:start w:val="7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5D81DF09"/>
    <w:multiLevelType w:val="singleLevel"/>
    <w:tmpl w:val="5D81DF09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E39"/>
    <w:rsid w:val="000A2A0C"/>
    <w:rsid w:val="00131BA1"/>
    <w:rsid w:val="00172A27"/>
    <w:rsid w:val="001959E3"/>
    <w:rsid w:val="00221929"/>
    <w:rsid w:val="002850F0"/>
    <w:rsid w:val="00315074"/>
    <w:rsid w:val="0042708D"/>
    <w:rsid w:val="004C1EA7"/>
    <w:rsid w:val="004D0248"/>
    <w:rsid w:val="005A2D7B"/>
    <w:rsid w:val="006D16D5"/>
    <w:rsid w:val="006F29EB"/>
    <w:rsid w:val="006F2F34"/>
    <w:rsid w:val="00861760"/>
    <w:rsid w:val="009B04C0"/>
    <w:rsid w:val="009F0CE4"/>
    <w:rsid w:val="00A567D2"/>
    <w:rsid w:val="00A91676"/>
    <w:rsid w:val="00B02D56"/>
    <w:rsid w:val="00B0510B"/>
    <w:rsid w:val="00B84172"/>
    <w:rsid w:val="00C61096"/>
    <w:rsid w:val="00D20235"/>
    <w:rsid w:val="00D429AD"/>
    <w:rsid w:val="00D54DC1"/>
    <w:rsid w:val="00E51CD0"/>
    <w:rsid w:val="00E74745"/>
    <w:rsid w:val="00F93D39"/>
    <w:rsid w:val="019E71BD"/>
    <w:rsid w:val="01E93D58"/>
    <w:rsid w:val="04B679C3"/>
    <w:rsid w:val="05DF72DB"/>
    <w:rsid w:val="05F07036"/>
    <w:rsid w:val="06E00104"/>
    <w:rsid w:val="080F63D8"/>
    <w:rsid w:val="09341458"/>
    <w:rsid w:val="098254C2"/>
    <w:rsid w:val="0A766EDE"/>
    <w:rsid w:val="0AD64BE8"/>
    <w:rsid w:val="0B0912D7"/>
    <w:rsid w:val="0C6433BA"/>
    <w:rsid w:val="0E025194"/>
    <w:rsid w:val="0EEF0855"/>
    <w:rsid w:val="11DB7C71"/>
    <w:rsid w:val="1433594E"/>
    <w:rsid w:val="143D3DCB"/>
    <w:rsid w:val="147E0731"/>
    <w:rsid w:val="152D2DCA"/>
    <w:rsid w:val="15C06FF2"/>
    <w:rsid w:val="15D26852"/>
    <w:rsid w:val="187168EA"/>
    <w:rsid w:val="196673CA"/>
    <w:rsid w:val="1A7B3BAB"/>
    <w:rsid w:val="1B097409"/>
    <w:rsid w:val="1CF734C9"/>
    <w:rsid w:val="1DC1181A"/>
    <w:rsid w:val="1DEC284C"/>
    <w:rsid w:val="1E6523AC"/>
    <w:rsid w:val="205B5BDC"/>
    <w:rsid w:val="22440422"/>
    <w:rsid w:val="22BB4BBB"/>
    <w:rsid w:val="25EB1AF4"/>
    <w:rsid w:val="267166CD"/>
    <w:rsid w:val="2B8903C8"/>
    <w:rsid w:val="2BDD6474"/>
    <w:rsid w:val="2DD05FE1"/>
    <w:rsid w:val="2EAE3447"/>
    <w:rsid w:val="2F5D3E4C"/>
    <w:rsid w:val="31312FE5"/>
    <w:rsid w:val="31A15F24"/>
    <w:rsid w:val="32D93145"/>
    <w:rsid w:val="33E131BF"/>
    <w:rsid w:val="36FB1DF0"/>
    <w:rsid w:val="395347B5"/>
    <w:rsid w:val="39A232A0"/>
    <w:rsid w:val="39E745AA"/>
    <w:rsid w:val="3B5A6BBB"/>
    <w:rsid w:val="3CA154E3"/>
    <w:rsid w:val="3EDA13A6"/>
    <w:rsid w:val="3FF56C14"/>
    <w:rsid w:val="401D0982"/>
    <w:rsid w:val="41753143"/>
    <w:rsid w:val="417B75E9"/>
    <w:rsid w:val="42430A63"/>
    <w:rsid w:val="42F058B7"/>
    <w:rsid w:val="436109F6"/>
    <w:rsid w:val="441A38D4"/>
    <w:rsid w:val="4504239D"/>
    <w:rsid w:val="4597005B"/>
    <w:rsid w:val="4A556FE5"/>
    <w:rsid w:val="4BC77339"/>
    <w:rsid w:val="4C2832E3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8295580"/>
    <w:rsid w:val="59293BA2"/>
    <w:rsid w:val="5DC34279"/>
    <w:rsid w:val="5FCD688E"/>
    <w:rsid w:val="5FF9BDAA"/>
    <w:rsid w:val="608816D1"/>
    <w:rsid w:val="60EF4E7F"/>
    <w:rsid w:val="648B0A32"/>
    <w:rsid w:val="658F6764"/>
    <w:rsid w:val="665233C1"/>
    <w:rsid w:val="6652490D"/>
    <w:rsid w:val="69AC0D42"/>
    <w:rsid w:val="6AD9688B"/>
    <w:rsid w:val="6B68303F"/>
    <w:rsid w:val="6B8073E0"/>
    <w:rsid w:val="6D0E3F22"/>
    <w:rsid w:val="744E4660"/>
    <w:rsid w:val="748E1870"/>
    <w:rsid w:val="74FA6600"/>
    <w:rsid w:val="753355A2"/>
    <w:rsid w:val="759F1C61"/>
    <w:rsid w:val="769B452E"/>
    <w:rsid w:val="769F2DE8"/>
    <w:rsid w:val="76FDEB7C"/>
    <w:rsid w:val="796774B0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/>
      <w:suppressLineNumbers w:val="0"/>
      <w:adjustRightInd w:val="0"/>
      <w:snapToGrid w:val="0"/>
      <w:spacing w:before="0" w:beforeAutospacing="0" w:after="200" w:afterAutospacing="0"/>
      <w:ind w:left="0" w:right="0" w:firstLine="420" w:firstLineChars="200"/>
      <w:jc w:val="left"/>
    </w:pPr>
    <w:rPr>
      <w:rFonts w:hint="default" w:ascii="Tahoma" w:hAnsi="Tahoma" w:eastAsia="微软雅黑" w:cs="Times New Roman"/>
      <w:snapToGrid/>
      <w:kern w:val="0"/>
      <w:sz w:val="22"/>
      <w:szCs w:val="22"/>
      <w:lang w:val="en-US" w:eastAsia="zh-CN" w:bidi="ar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4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103" textRotate="1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301</Words>
  <Characters>327</Characters>
  <Lines>10</Lines>
  <Paragraphs>2</Paragraphs>
  <TotalTime>0</TotalTime>
  <ScaleCrop>false</ScaleCrop>
  <LinksUpToDate>false</LinksUpToDate>
  <CharactersWithSpaces>335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漫</cp:lastModifiedBy>
  <cp:lastPrinted>2022-11-08T08:32:00Z</cp:lastPrinted>
  <dcterms:modified xsi:type="dcterms:W3CDTF">2026-01-16T02:50:33Z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eyJoZGlkIjoiMzgzMzVkODdiODNmZjhhOWYxM2ZkMWEyN2NhYTFlMjkiLCJ1c2VySWQiOiI3NjQ1MzU4NDAifQ==</vt:lpwstr>
  </property>
</Properties>
</file>