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6953" w:tblpY="2178"/>
        <w:tblOverlap w:val="never"/>
        <w:tblW w:w="4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14:paraId="4BA1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50A74C87">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33E33098">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23B1EC34">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07F042F7">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275F31FC">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7DAC6C35">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10EA6C22">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6A546B44">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2099D6EF">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0B2BD524">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17D3D889">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62E9BCDC">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17B147B8">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0CD50BB0">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1F2F6CCB">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66708961">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4096601A">
            <w:pPr>
              <w:pStyle w:val="15"/>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14:paraId="3B15A2D0">
            <w:pPr>
              <w:pStyle w:val="15"/>
              <w:spacing w:line="520" w:lineRule="exact"/>
              <w:jc w:val="both"/>
              <w:rPr>
                <w:color w:val="auto"/>
                <w:sz w:val="18"/>
              </w:rPr>
            </w:pPr>
          </w:p>
        </w:tc>
      </w:tr>
    </w:tbl>
    <w:p w14:paraId="24CD359A">
      <w:pPr>
        <w:pStyle w:val="15"/>
        <w:spacing w:line="520" w:lineRule="exact"/>
        <w:rPr>
          <w:rFonts w:hint="default" w:ascii="Times New Roman" w:hAnsi="Times New Roman" w:eastAsia="方正黑体_GBK" w:cs="Times New Roman"/>
          <w:color w:val="000000" w:themeColor="text1"/>
          <w:sz w:val="32"/>
          <w:szCs w:val="32"/>
          <w:lang w:val="en-US" w:eastAsia="zh-CN"/>
        </w:rPr>
      </w:pPr>
      <w:r>
        <w:rPr>
          <w:rFonts w:hint="eastAsia" w:ascii="方正黑体_GBK" w:hAnsi="方正黑体_GBK" w:eastAsia="方正黑体_GBK" w:cs="方正黑体_GBK"/>
          <w:color w:val="000000" w:themeColor="text1"/>
          <w:sz w:val="32"/>
          <w:szCs w:val="32"/>
          <w:lang w:eastAsia="zh-CN"/>
        </w:rPr>
        <w:t>附件</w:t>
      </w:r>
      <w:r>
        <w:rPr>
          <w:rFonts w:hint="default" w:ascii="Times New Roman" w:hAnsi="Times New Roman" w:eastAsia="方正黑体_GBK" w:cs="Times New Roman"/>
          <w:color w:val="000000" w:themeColor="text1"/>
          <w:sz w:val="32"/>
          <w:szCs w:val="32"/>
          <w:lang w:val="en-US" w:eastAsia="zh-CN"/>
        </w:rPr>
        <w:t>4</w:t>
      </w:r>
    </w:p>
    <w:p w14:paraId="666C492D">
      <w:pPr>
        <w:pStyle w:val="15"/>
        <w:spacing w:line="520" w:lineRule="exact"/>
        <w:rPr>
          <w:rFonts w:cs="MingLiU"/>
          <w:color w:val="auto"/>
          <w:sz w:val="18"/>
        </w:rPr>
      </w:pPr>
      <w:r>
        <w:rPr>
          <w:rFonts w:ascii="Times New Roman" w:hAnsi="Times New Roman" w:eastAsia="黑体"/>
          <w:color w:val="auto"/>
          <w:sz w:val="32"/>
          <w:szCs w:val="32"/>
        </w:rPr>
        <w:t>GF-2021-260</w:t>
      </w:r>
      <w:r>
        <w:rPr>
          <w:rFonts w:hint="eastAsia" w:ascii="Times New Roman" w:hAnsi="Times New Roman" w:eastAsia="黑体"/>
          <w:color w:val="auto"/>
          <w:sz w:val="32"/>
          <w:szCs w:val="32"/>
        </w:rPr>
        <w:t>7</w:t>
      </w:r>
      <w:r>
        <w:rPr>
          <w:rFonts w:hint="eastAsia" w:ascii="仿宋_GB2312" w:hAnsi="仿宋_GB2312" w:eastAsia="仿宋_GB2312" w:cs="仿宋_GB2312"/>
          <w:color w:val="auto"/>
          <w:sz w:val="18"/>
        </w:rPr>
        <w:t xml:space="preserve">                    </w:t>
      </w:r>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18"/>
        </w:rPr>
        <w:t>：</w:t>
      </w:r>
    </w:p>
    <w:p w14:paraId="1CE78D42">
      <w:pPr>
        <w:pStyle w:val="15"/>
        <w:spacing w:line="520" w:lineRule="exact"/>
        <w:rPr>
          <w:rFonts w:cs="MingLiU"/>
          <w:color w:val="auto"/>
          <w:sz w:val="18"/>
        </w:rPr>
      </w:pPr>
    </w:p>
    <w:p w14:paraId="34D85B5A">
      <w:pPr>
        <w:pStyle w:val="15"/>
        <w:spacing w:line="520" w:lineRule="exact"/>
        <w:rPr>
          <w:rFonts w:cs="MingLiU" w:eastAsiaTheme="minorEastAsia"/>
          <w:color w:val="auto"/>
          <w:sz w:val="18"/>
        </w:rPr>
      </w:pPr>
    </w:p>
    <w:p w14:paraId="1E645800">
      <w:pPr>
        <w:pStyle w:val="15"/>
        <w:spacing w:line="520" w:lineRule="exact"/>
        <w:rPr>
          <w:rFonts w:cs="MingLiU" w:eastAsiaTheme="minorEastAsia"/>
          <w:color w:val="auto"/>
          <w:sz w:val="18"/>
        </w:rPr>
      </w:pPr>
    </w:p>
    <w:p w14:paraId="2B3BE63F">
      <w:pPr>
        <w:pStyle w:val="15"/>
        <w:spacing w:line="520" w:lineRule="exact"/>
        <w:rPr>
          <w:rFonts w:cs="MingLiU"/>
          <w:color w:val="auto"/>
          <w:sz w:val="18"/>
        </w:rPr>
      </w:pPr>
    </w:p>
    <w:p w14:paraId="3E17534B">
      <w:pPr>
        <w:pStyle w:val="15"/>
        <w:spacing w:afterLines="50" w:line="520" w:lineRule="exact"/>
        <w:jc w:val="center"/>
        <w:rPr>
          <w:rFonts w:ascii="黑体" w:hAnsi="黑体" w:eastAsia="黑体" w:cs="华文黑体"/>
          <w:bCs/>
          <w:color w:val="auto"/>
          <w:sz w:val="44"/>
          <w:szCs w:val="32"/>
        </w:rPr>
      </w:pPr>
      <w:r>
        <w:rPr>
          <w:rFonts w:hint="eastAsia" w:ascii="黑体" w:hAnsi="黑体" w:eastAsia="黑体" w:cs="华文黑体"/>
          <w:bCs/>
          <w:color w:val="auto"/>
          <w:sz w:val="44"/>
          <w:szCs w:val="32"/>
        </w:rPr>
        <w:t>农村土地经营权入股合同</w:t>
      </w:r>
    </w:p>
    <w:p w14:paraId="0B8E7C01">
      <w:pPr>
        <w:pStyle w:val="15"/>
        <w:spacing w:line="520" w:lineRule="exact"/>
        <w:jc w:val="center"/>
        <w:rPr>
          <w:rFonts w:ascii="黑体" w:hAnsi="黑体" w:eastAsia="黑体" w:cs="华文黑体"/>
          <w:bCs/>
          <w:color w:val="auto"/>
          <w:sz w:val="44"/>
          <w:szCs w:val="32"/>
        </w:rPr>
      </w:pPr>
      <w:r>
        <w:rPr>
          <w:rFonts w:hint="eastAsia" w:ascii="黑体" w:hAnsi="黑体" w:eastAsia="黑体" w:cs="华文黑体"/>
          <w:bCs/>
          <w:color w:val="auto"/>
          <w:sz w:val="44"/>
          <w:szCs w:val="32"/>
        </w:rPr>
        <w:t>（示范文本）</w:t>
      </w:r>
    </w:p>
    <w:p w14:paraId="4C20C846">
      <w:pPr>
        <w:pStyle w:val="15"/>
        <w:spacing w:line="520" w:lineRule="exact"/>
        <w:jc w:val="center"/>
        <w:rPr>
          <w:rFonts w:ascii="华文楷体" w:hAnsi="华文楷体" w:eastAsia="华文楷体" w:cs="华文楷体"/>
          <w:color w:val="auto"/>
          <w:sz w:val="36"/>
          <w:szCs w:val="24"/>
        </w:rPr>
      </w:pPr>
    </w:p>
    <w:p w14:paraId="776558C3">
      <w:pPr>
        <w:pStyle w:val="15"/>
        <w:spacing w:line="520" w:lineRule="exact"/>
        <w:jc w:val="center"/>
        <w:rPr>
          <w:rFonts w:ascii="华文楷体" w:hAnsi="华文楷体" w:eastAsia="华文楷体" w:cs="华文楷体"/>
          <w:color w:val="auto"/>
          <w:sz w:val="36"/>
          <w:szCs w:val="24"/>
        </w:rPr>
      </w:pPr>
    </w:p>
    <w:p w14:paraId="01CD5E42">
      <w:pPr>
        <w:pStyle w:val="15"/>
        <w:spacing w:line="520" w:lineRule="exact"/>
        <w:jc w:val="center"/>
        <w:rPr>
          <w:rFonts w:ascii="华文楷体" w:hAnsi="华文楷体" w:eastAsia="华文楷体" w:cs="华文楷体"/>
          <w:color w:val="auto"/>
          <w:sz w:val="36"/>
          <w:szCs w:val="24"/>
        </w:rPr>
      </w:pPr>
    </w:p>
    <w:p w14:paraId="16AB5579">
      <w:pPr>
        <w:pStyle w:val="15"/>
        <w:spacing w:line="520" w:lineRule="exact"/>
        <w:jc w:val="center"/>
        <w:rPr>
          <w:rFonts w:ascii="华文楷体" w:hAnsi="华文楷体" w:eastAsia="华文楷体" w:cs="华文楷体"/>
          <w:color w:val="auto"/>
          <w:sz w:val="36"/>
          <w:szCs w:val="24"/>
        </w:rPr>
      </w:pPr>
    </w:p>
    <w:p w14:paraId="7179745C">
      <w:pPr>
        <w:pStyle w:val="15"/>
        <w:spacing w:line="520" w:lineRule="exact"/>
        <w:jc w:val="center"/>
        <w:rPr>
          <w:rFonts w:ascii="华文楷体" w:hAnsi="华文楷体" w:eastAsia="华文楷体" w:cs="华文楷体"/>
          <w:color w:val="auto"/>
          <w:sz w:val="36"/>
          <w:szCs w:val="24"/>
        </w:rPr>
      </w:pPr>
    </w:p>
    <w:p w14:paraId="1DA0D58F">
      <w:pPr>
        <w:pStyle w:val="15"/>
        <w:spacing w:line="520" w:lineRule="exact"/>
        <w:jc w:val="both"/>
        <w:rPr>
          <w:rFonts w:ascii="华文楷体" w:hAnsi="华文楷体" w:eastAsia="华文楷体" w:cs="华文楷体"/>
          <w:color w:val="auto"/>
          <w:sz w:val="36"/>
          <w:szCs w:val="24"/>
        </w:rPr>
      </w:pPr>
    </w:p>
    <w:p w14:paraId="4C1ABF87">
      <w:pPr>
        <w:pStyle w:val="15"/>
        <w:spacing w:line="520" w:lineRule="exact"/>
        <w:jc w:val="center"/>
        <w:rPr>
          <w:rFonts w:ascii="华文楷体" w:hAnsi="华文楷体" w:eastAsia="华文楷体" w:cs="华文楷体"/>
          <w:color w:val="auto"/>
          <w:sz w:val="36"/>
          <w:szCs w:val="24"/>
        </w:rPr>
      </w:pPr>
    </w:p>
    <w:p w14:paraId="6240777F">
      <w:pPr>
        <w:pStyle w:val="15"/>
        <w:spacing w:line="520" w:lineRule="exact"/>
        <w:jc w:val="center"/>
        <w:rPr>
          <w:rFonts w:ascii="华文楷体" w:hAnsi="华文楷体" w:eastAsia="华文楷体" w:cs="华文楷体"/>
          <w:color w:val="auto"/>
          <w:sz w:val="36"/>
          <w:szCs w:val="24"/>
        </w:rPr>
      </w:pPr>
    </w:p>
    <w:p w14:paraId="28B4142A">
      <w:pPr>
        <w:pStyle w:val="15"/>
        <w:spacing w:line="520" w:lineRule="exact"/>
        <w:jc w:val="center"/>
        <w:rPr>
          <w:rFonts w:ascii="华文楷体" w:hAnsi="华文楷体" w:eastAsia="华文楷体" w:cs="华文楷体"/>
          <w:color w:val="auto"/>
          <w:sz w:val="36"/>
          <w:szCs w:val="24"/>
        </w:rPr>
      </w:pPr>
    </w:p>
    <w:p w14:paraId="6407D840">
      <w:pPr>
        <w:pStyle w:val="15"/>
        <w:spacing w:line="520" w:lineRule="exact"/>
        <w:jc w:val="center"/>
        <w:rPr>
          <w:rFonts w:ascii="华文楷体" w:hAnsi="华文楷体" w:eastAsia="华文楷体" w:cs="华文楷体"/>
          <w:color w:val="auto"/>
          <w:sz w:val="36"/>
          <w:szCs w:val="24"/>
        </w:rPr>
      </w:pPr>
    </w:p>
    <w:p w14:paraId="440D5926">
      <w:pPr>
        <w:pStyle w:val="15"/>
        <w:spacing w:line="520" w:lineRule="exact"/>
        <w:jc w:val="center"/>
        <w:rPr>
          <w:rFonts w:ascii="华文楷体" w:hAnsi="华文楷体" w:eastAsia="华文楷体" w:cs="华文楷体"/>
          <w:color w:val="auto"/>
          <w:sz w:val="36"/>
          <w:szCs w:val="24"/>
        </w:rPr>
      </w:pPr>
    </w:p>
    <w:p w14:paraId="5FEE3DE0">
      <w:pPr>
        <w:pStyle w:val="15"/>
        <w:spacing w:line="520" w:lineRule="exact"/>
        <w:jc w:val="center"/>
        <w:rPr>
          <w:rFonts w:ascii="华文楷体" w:hAnsi="华文楷体" w:eastAsia="华文楷体" w:cs="华文楷体"/>
          <w:color w:val="auto"/>
          <w:sz w:val="36"/>
          <w:szCs w:val="24"/>
        </w:rPr>
      </w:pPr>
    </w:p>
    <w:p w14:paraId="208A47DA">
      <w:pPr>
        <w:pStyle w:val="15"/>
        <w:spacing w:line="200" w:lineRule="exact"/>
        <w:jc w:val="center"/>
        <w:rPr>
          <w:rFonts w:ascii="华文楷体" w:hAnsi="华文楷体" w:eastAsia="华文楷体" w:cs="华文楷体"/>
          <w:color w:val="auto"/>
          <w:spacing w:val="7"/>
          <w:sz w:val="24"/>
          <w:szCs w:val="24"/>
        </w:rPr>
      </w:pPr>
      <w:r>
        <w:rPr>
          <w:rFonts w:ascii="华文楷体" w:hAnsi="华文楷体" w:eastAsia="华文楷体" w:cs="华文楷体"/>
          <w:color w:val="auto"/>
          <w:spacing w:val="7"/>
          <w:sz w:val="24"/>
          <w:szCs w:val="24"/>
        </w:rPr>
        <w:t>农  业  农  村  部</w:t>
      </w:r>
    </w:p>
    <w:p w14:paraId="7F643301">
      <w:pPr>
        <w:pStyle w:val="15"/>
        <w:spacing w:line="200" w:lineRule="exact"/>
        <w:ind w:left="3500" w:firstLine="500"/>
        <w:jc w:val="cente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 xml:space="preserve">    </w:t>
      </w:r>
      <w:r>
        <w:rPr>
          <w:rFonts w:ascii="华文楷体" w:hAnsi="华文楷体" w:eastAsia="华文楷体" w:cs="华文楷体"/>
          <w:color w:val="auto"/>
          <w:sz w:val="24"/>
          <w:szCs w:val="24"/>
        </w:rPr>
        <w:t>制定</w:t>
      </w:r>
    </w:p>
    <w:p w14:paraId="56FE2981">
      <w:pPr>
        <w:pStyle w:val="15"/>
        <w:spacing w:line="200" w:lineRule="exact"/>
        <w:jc w:val="center"/>
        <w:rPr>
          <w:rFonts w:ascii="华文楷体" w:hAnsi="华文楷体" w:eastAsia="华文楷体" w:cs="华文楷体"/>
          <w:color w:val="auto"/>
          <w:sz w:val="24"/>
          <w:szCs w:val="24"/>
        </w:rPr>
      </w:pPr>
      <w:r>
        <w:rPr>
          <w:rFonts w:ascii="华文楷体" w:hAnsi="华文楷体" w:eastAsia="华文楷体" w:cs="华文楷体"/>
          <w:color w:val="auto"/>
          <w:sz w:val="24"/>
          <w:szCs w:val="24"/>
        </w:rPr>
        <w:t>国家</w:t>
      </w:r>
      <w:r>
        <w:rPr>
          <w:rFonts w:hint="eastAsia" w:ascii="华文楷体" w:hAnsi="华文楷体" w:eastAsia="华文楷体" w:cs="华文楷体"/>
          <w:color w:val="auto"/>
          <w:sz w:val="24"/>
          <w:szCs w:val="24"/>
        </w:rPr>
        <w:t>市场监督管理</w:t>
      </w:r>
      <w:r>
        <w:rPr>
          <w:rFonts w:ascii="华文楷体" w:hAnsi="华文楷体" w:eastAsia="华文楷体" w:cs="华文楷体"/>
          <w:color w:val="auto"/>
          <w:sz w:val="24"/>
          <w:szCs w:val="24"/>
        </w:rPr>
        <w:t>总局</w:t>
      </w:r>
    </w:p>
    <w:p w14:paraId="4E097050">
      <w:pPr>
        <w:pStyle w:val="15"/>
        <w:spacing w:line="200" w:lineRule="exact"/>
        <w:jc w:val="center"/>
        <w:rPr>
          <w:rFonts w:ascii="华文楷体" w:hAnsi="华文楷体" w:eastAsia="华文楷体" w:cs="华文楷体"/>
          <w:color w:val="auto"/>
          <w:sz w:val="24"/>
          <w:szCs w:val="24"/>
        </w:rPr>
      </w:pPr>
    </w:p>
    <w:p w14:paraId="1B7943D0">
      <w:pPr>
        <w:pStyle w:val="16"/>
        <w:spacing w:before="220" w:after="360" w:line="240" w:lineRule="auto"/>
        <w:ind w:firstLine="2976" w:firstLineChars="1063"/>
        <w:rPr>
          <w:rFonts w:ascii="楷体_GB2312" w:hAnsi="华文楷体" w:eastAsia="楷体_GB2312" w:cs="华文楷体"/>
          <w:color w:val="auto"/>
          <w:sz w:val="28"/>
          <w:szCs w:val="28"/>
          <w:lang w:eastAsia="zh-CN"/>
        </w:rPr>
      </w:pPr>
      <w:r>
        <w:rPr>
          <w:rFonts w:hint="eastAsia" w:ascii="楷体_GB2312" w:hAnsi="华文楷体" w:eastAsia="楷体_GB2312" w:cs="华文楷体"/>
          <w:color w:val="auto"/>
          <w:sz w:val="28"/>
          <w:szCs w:val="28"/>
          <w:lang w:eastAsia="zh-CN"/>
        </w:rPr>
        <w:t>二</w:t>
      </w:r>
      <w:r>
        <w:rPr>
          <w:rFonts w:hint="eastAsia" w:ascii="楷体_GB2312" w:hAnsi="华文楷体" w:eastAsia="华文楷体" w:cs="华文楷体"/>
          <w:color w:val="auto"/>
          <w:sz w:val="28"/>
          <w:szCs w:val="28"/>
          <w:lang w:eastAsia="zh-CN"/>
        </w:rPr>
        <w:t>〇</w:t>
      </w:r>
      <w:r>
        <w:rPr>
          <w:rFonts w:hint="eastAsia" w:ascii="楷体_GB2312" w:hAnsi="华文楷体" w:eastAsia="楷体_GB2312" w:cs="华文楷体"/>
          <w:color w:val="auto"/>
          <w:sz w:val="28"/>
          <w:szCs w:val="28"/>
          <w:lang w:eastAsia="zh-CN"/>
        </w:rPr>
        <w:t xml:space="preserve">二一 </w:t>
      </w:r>
      <w:r>
        <w:rPr>
          <w:rFonts w:ascii="楷体_GB2312" w:hAnsi="华文楷体" w:eastAsia="楷体_GB2312" w:cs="华文楷体"/>
          <w:color w:val="auto"/>
          <w:sz w:val="28"/>
          <w:szCs w:val="28"/>
          <w:lang w:eastAsia="zh-CN"/>
        </w:rPr>
        <w:t>年</w:t>
      </w:r>
      <w:r>
        <w:rPr>
          <w:rFonts w:hint="eastAsia" w:ascii="楷体_GB2312" w:hAnsi="华文楷体" w:eastAsia="楷体_GB2312" w:cs="华文楷体"/>
          <w:color w:val="auto"/>
          <w:sz w:val="28"/>
          <w:szCs w:val="28"/>
          <w:lang w:eastAsia="zh-CN"/>
        </w:rPr>
        <w:t xml:space="preserve"> </w:t>
      </w:r>
      <w:r>
        <w:rPr>
          <w:rFonts w:hint="eastAsia" w:ascii="楷体_GB2312" w:eastAsia="楷体_GB2312" w:cs="华文楷体" w:hAnsiTheme="minorEastAsia"/>
          <w:color w:val="auto"/>
          <w:sz w:val="28"/>
          <w:szCs w:val="28"/>
          <w:lang w:eastAsia="zh-CN"/>
        </w:rPr>
        <w:t xml:space="preserve">九 </w:t>
      </w:r>
      <w:r>
        <w:rPr>
          <w:rFonts w:ascii="楷体_GB2312" w:hAnsi="华文楷体" w:eastAsia="楷体_GB2312" w:cs="华文楷体"/>
          <w:color w:val="auto"/>
          <w:sz w:val="28"/>
          <w:szCs w:val="28"/>
          <w:lang w:eastAsia="zh-CN"/>
        </w:rPr>
        <w:t>月</w:t>
      </w:r>
    </w:p>
    <w:p w14:paraId="7BEDEF11">
      <w:pPr>
        <w:pStyle w:val="16"/>
        <w:spacing w:before="220" w:after="360" w:line="240" w:lineRule="auto"/>
        <w:ind w:firstLine="560" w:firstLineChars="200"/>
        <w:rPr>
          <w:rFonts w:ascii="华文楷体" w:hAnsi="华文楷体" w:eastAsia="华文楷体" w:cs="华文楷体"/>
          <w:color w:val="auto"/>
          <w:sz w:val="28"/>
          <w:szCs w:val="28"/>
          <w:lang w:eastAsia="zh-CN"/>
        </w:rPr>
        <w:sectPr>
          <w:footerReference r:id="rId3" w:type="default"/>
          <w:pgSz w:w="11900" w:h="16840"/>
          <w:pgMar w:top="1134" w:right="1833" w:bottom="1797" w:left="1796" w:header="1215" w:footer="1372" w:gutter="0"/>
          <w:pgNumType w:start="1"/>
          <w:cols w:space="0" w:num="1"/>
          <w:docGrid w:linePitch="360" w:charSpace="0"/>
        </w:sectPr>
      </w:pPr>
    </w:p>
    <w:p w14:paraId="0976FDAB">
      <w:pPr>
        <w:pStyle w:val="22"/>
        <w:spacing w:line="520" w:lineRule="exact"/>
        <w:jc w:val="center"/>
        <w:rPr>
          <w:rFonts w:ascii="黑体" w:hAnsi="黑体" w:eastAsia="黑体"/>
          <w:b/>
          <w:color w:val="auto"/>
          <w:sz w:val="30"/>
          <w:szCs w:val="30"/>
        </w:rPr>
      </w:pPr>
      <w:r>
        <w:rPr>
          <w:rFonts w:hint="eastAsia" w:ascii="黑体" w:hAnsi="黑体" w:eastAsia="黑体"/>
          <w:b/>
          <w:color w:val="auto"/>
          <w:sz w:val="30"/>
          <w:szCs w:val="30"/>
        </w:rPr>
        <w:t>使 用 说 明</w:t>
      </w:r>
    </w:p>
    <w:p w14:paraId="0FEDDF59">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一、本合同为示范文本，由农业农村部与国家市场监督管理总局联合制定，供农村土地（耕地）经营权入股的当事人签订合同时参照使用。 </w:t>
      </w:r>
    </w:p>
    <w:p w14:paraId="4C55ADF6">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14:paraId="01267840">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三、合同签订前，工商企业等社会资本通过入股取得土地经营权的，应当依法履行资格审查、项目审核和风险防范等相关程序。</w:t>
      </w:r>
    </w:p>
    <w:p w14:paraId="2BD101D1">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14:paraId="24EB44AD">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五、双方当事人应当结合具体情况选择本合同协议条款中所提供的选择项，同意的在选择项前的□打</w:t>
      </w:r>
      <w:r>
        <w:rPr>
          <w:rFonts w:hint="eastAsia" w:ascii="仿宋" w:hAnsi="仿宋" w:eastAsia="仿宋" w:cs="方正仿宋_GBK"/>
          <w:color w:val="auto"/>
          <w:sz w:val="30"/>
          <w:szCs w:val="30"/>
        </w:rPr>
        <w:t>√</w:t>
      </w:r>
      <w:r>
        <w:rPr>
          <w:rFonts w:hint="eastAsia" w:ascii="仿宋_GB2312" w:eastAsia="仿宋_GB2312" w:cs="方正仿宋_GBK"/>
          <w:color w:val="auto"/>
          <w:sz w:val="30"/>
          <w:szCs w:val="30"/>
        </w:rPr>
        <w:t>，不同意的打</w:t>
      </w:r>
      <w:r>
        <w:rPr>
          <w:rFonts w:hint="eastAsia" w:ascii="仿宋" w:hAnsi="仿宋" w:eastAsia="仿宋" w:cs="方正仿宋_GBK"/>
          <w:color w:val="auto"/>
          <w:sz w:val="30"/>
          <w:szCs w:val="30"/>
        </w:rPr>
        <w:t>×</w:t>
      </w:r>
      <w:r>
        <w:rPr>
          <w:rFonts w:hint="eastAsia" w:ascii="仿宋_GB2312" w:eastAsia="仿宋_GB2312" w:cs="方正仿宋_GBK"/>
          <w:color w:val="auto"/>
          <w:sz w:val="30"/>
          <w:szCs w:val="30"/>
        </w:rPr>
        <w:t xml:space="preserve">。 </w:t>
      </w:r>
    </w:p>
    <w:p w14:paraId="12A8D68D">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六、本合同文本中涉及</w:t>
      </w:r>
      <w:bookmarkStart w:id="4" w:name="_GoBack"/>
      <w:bookmarkEnd w:id="4"/>
      <w:r>
        <w:rPr>
          <w:rFonts w:hint="eastAsia" w:ascii="仿宋_GB2312" w:eastAsia="仿宋_GB2312" w:cs="方正仿宋_GBK"/>
          <w:color w:val="auto"/>
          <w:sz w:val="30"/>
          <w:szCs w:val="30"/>
        </w:rPr>
        <w:t xml:space="preserve">的选择、填写内容以手写项为优先。 </w:t>
      </w:r>
    </w:p>
    <w:p w14:paraId="7FD13278">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七、当事人订立合同的，应当在合同书上签字、盖章或者按指印。 </w:t>
      </w:r>
    </w:p>
    <w:p w14:paraId="16CEF40F">
      <w:pPr>
        <w:pStyle w:val="22"/>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八、本合同文本“当事人”部分，自然人填写身份证号码，农村集体经济组织填写农业农村部门赋予的统一社会信用代码，其他市场主体填写市场监督管理部门赋予的统一社会信用代码。</w:t>
      </w:r>
    </w:p>
    <w:p w14:paraId="41E3AF74">
      <w:pPr>
        <w:pStyle w:val="22"/>
        <w:spacing w:line="520" w:lineRule="exact"/>
        <w:ind w:firstLine="600" w:firstLineChars="200"/>
        <w:rPr>
          <w:rFonts w:ascii="仿宋_GB2312" w:eastAsia="仿宋_GB2312" w:cs="方正仿宋_GBK"/>
          <w:color w:val="auto"/>
          <w:sz w:val="30"/>
          <w:szCs w:val="30"/>
        </w:rPr>
        <w:sectPr>
          <w:pgSz w:w="11900" w:h="16840"/>
          <w:pgMar w:top="1474" w:right="1833" w:bottom="1798" w:left="1796" w:header="1215" w:footer="1370" w:gutter="0"/>
          <w:cols w:space="720" w:num="1"/>
          <w:docGrid w:linePitch="360" w:charSpace="0"/>
        </w:sectPr>
      </w:pPr>
      <w:r>
        <w:rPr>
          <w:rFonts w:hint="eastAsia" w:ascii="仿宋_GB2312" w:eastAsia="仿宋_GB2312" w:cs="方正仿宋_GBK"/>
          <w:color w:val="auto"/>
          <w:sz w:val="30"/>
          <w:szCs w:val="30"/>
        </w:rPr>
        <w:t>九、本合同编号由县级以上农业农村部门或农村经营管理部门指导乡（镇）人民政府农村土地承包管理部门按统一规则填写。</w:t>
      </w:r>
    </w:p>
    <w:p w14:paraId="4126EF4F">
      <w:pPr>
        <w:pStyle w:val="16"/>
        <w:spacing w:before="220" w:after="360" w:line="520" w:lineRule="exact"/>
        <w:ind w:firstLine="560" w:firstLineChars="200"/>
        <w:jc w:val="both"/>
        <w:rPr>
          <w:rFonts w:ascii="华文楷体" w:hAnsi="华文楷体" w:eastAsia="华文楷体" w:cs="华文楷体"/>
          <w:color w:val="auto"/>
          <w:sz w:val="28"/>
          <w:szCs w:val="28"/>
        </w:rPr>
      </w:pPr>
      <w:r>
        <w:rPr>
          <w:rFonts w:hint="eastAsia" w:ascii="华文楷体" w:hAnsi="华文楷体" w:eastAsia="华文楷体" w:cs="华文楷体"/>
          <w:color w:val="auto"/>
          <w:sz w:val="28"/>
          <w:szCs w:val="28"/>
        </w:rPr>
        <w:t>根据《中华人民共和国</w:t>
      </w:r>
      <w:r>
        <w:rPr>
          <w:rFonts w:hint="eastAsia" w:ascii="华文楷体" w:hAnsi="华文楷体" w:eastAsia="华文楷体" w:cs="华文楷体"/>
          <w:color w:val="auto"/>
          <w:sz w:val="28"/>
          <w:szCs w:val="28"/>
          <w:lang w:eastAsia="zh-CN"/>
        </w:rPr>
        <w:t>民法典</w:t>
      </w:r>
      <w:r>
        <w:rPr>
          <w:rFonts w:hint="eastAsia" w:ascii="华文楷体" w:hAnsi="华文楷体" w:eastAsia="华文楷体" w:cs="华文楷体"/>
          <w:color w:val="auto"/>
          <w:sz w:val="28"/>
          <w:szCs w:val="28"/>
        </w:rPr>
        <w:t>》《中华人民共和国农村土地承包法》和《农村土地经营权流转管理办法》等相关法律法规，本着平等、自愿、公平、诚信、有偿的原则，经甲乙双方协商一致，</w:t>
      </w:r>
      <w:r>
        <w:rPr>
          <w:rFonts w:hint="eastAsia" w:ascii="华文楷体" w:hAnsi="华文楷体" w:eastAsia="华文楷体" w:cs="华文楷体"/>
          <w:color w:val="auto"/>
          <w:sz w:val="28"/>
          <w:szCs w:val="28"/>
          <w:lang w:bidi="en-US"/>
        </w:rPr>
        <w:t>就土地经营权</w:t>
      </w:r>
      <w:r>
        <w:rPr>
          <w:rFonts w:hint="eastAsia" w:ascii="华文楷体" w:hAnsi="华文楷体" w:eastAsia="华文楷体" w:cs="华文楷体"/>
          <w:color w:val="auto"/>
          <w:sz w:val="28"/>
          <w:szCs w:val="28"/>
          <w:lang w:eastAsia="zh-CN" w:bidi="en-US"/>
        </w:rPr>
        <w:t>入股</w:t>
      </w:r>
      <w:r>
        <w:rPr>
          <w:rFonts w:hint="eastAsia" w:ascii="华文楷体" w:hAnsi="华文楷体" w:eastAsia="华文楷体" w:cs="华文楷体"/>
          <w:color w:val="auto"/>
          <w:sz w:val="28"/>
          <w:szCs w:val="28"/>
          <w:lang w:bidi="en-US"/>
        </w:rPr>
        <w:t>事宜，</w:t>
      </w:r>
      <w:r>
        <w:rPr>
          <w:rFonts w:hint="eastAsia" w:ascii="华文楷体" w:hAnsi="华文楷体" w:eastAsia="华文楷体" w:cs="华文楷体"/>
          <w:color w:val="auto"/>
          <w:sz w:val="28"/>
          <w:szCs w:val="28"/>
        </w:rPr>
        <w:t>签订本合同。</w:t>
      </w:r>
    </w:p>
    <w:p w14:paraId="460F6B76">
      <w:pPr>
        <w:pStyle w:val="17"/>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一、当事人</w:t>
      </w:r>
    </w:p>
    <w:p w14:paraId="7F78AB85">
      <w:pPr>
        <w:autoSpaceDE w:val="0"/>
        <w:autoSpaceDN w:val="0"/>
        <w:adjustRightInd w:val="0"/>
        <w:spacing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甲方（入股方）：</w:t>
      </w:r>
      <w:r>
        <w:rPr>
          <w:rFonts w:ascii="仿宋_GB2312" w:eastAsia="仿宋_GB2312" w:cs="方正仿宋_GBK"/>
          <w:color w:val="auto"/>
          <w:sz w:val="28"/>
          <w:szCs w:val="28"/>
          <w:u w:val="single"/>
          <w:lang w:eastAsia="zh-CN" w:bidi="ar-SA"/>
        </w:rPr>
        <w:t xml:space="preserve">                 </w:t>
      </w:r>
    </w:p>
    <w:p w14:paraId="5D4802C9">
      <w:pPr>
        <w:autoSpaceDE w:val="0"/>
        <w:autoSpaceDN w:val="0"/>
        <w:adjustRightInd w:val="0"/>
        <w:spacing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□社会信用代码:</w:t>
      </w:r>
      <w:r>
        <w:rPr>
          <w:rFonts w:ascii="仿宋_GB2312" w:eastAsia="仿宋_GB2312" w:cs="方正仿宋_GBK"/>
          <w:color w:val="auto"/>
          <w:sz w:val="28"/>
          <w:szCs w:val="28"/>
          <w:u w:val="single"/>
          <w:lang w:eastAsia="zh-CN" w:bidi="ar-SA"/>
        </w:rPr>
        <w:t xml:space="preserve">                  </w:t>
      </w:r>
    </w:p>
    <w:p w14:paraId="4A467C45">
      <w:pPr>
        <w:autoSpaceDE w:val="0"/>
        <w:autoSpaceDN w:val="0"/>
        <w:adjustRightInd w:val="0"/>
        <w:spacing w:line="520" w:lineRule="exact"/>
        <w:ind w:firstLine="560" w:firstLineChars="200"/>
        <w:jc w:val="both"/>
        <w:rPr>
          <w:rFonts w:ascii="仿宋_GB2312" w:eastAsia="仿宋_GB2312" w:cs="方正仿宋_GBK"/>
          <w:color w:val="auto"/>
          <w:sz w:val="28"/>
          <w:szCs w:val="28"/>
          <w:u w:val="single"/>
          <w:lang w:eastAsia="zh-CN" w:bidi="ar-SA"/>
        </w:rPr>
      </w:pPr>
      <w:r>
        <w:rPr>
          <w:rFonts w:ascii="仿宋_GB2312" w:eastAsia="仿宋_GB2312" w:cs="方正仿宋_GBK"/>
          <w:color w:val="auto"/>
          <w:sz w:val="28"/>
          <w:szCs w:val="28"/>
          <w:lang w:eastAsia="zh-CN" w:bidi="ar-SA"/>
        </w:rPr>
        <w:sym w:font="Wingdings 2" w:char="00A3"/>
      </w:r>
      <w:r>
        <w:rPr>
          <w:rFonts w:hint="eastAsia" w:ascii="仿宋_GB2312" w:eastAsia="仿宋_GB2312" w:cs="方正仿宋_GBK"/>
          <w:color w:val="auto"/>
          <w:sz w:val="28"/>
          <w:szCs w:val="28"/>
          <w:lang w:eastAsia="zh-CN" w:bidi="ar-SA"/>
        </w:rPr>
        <w:t>身份证号码:</w:t>
      </w:r>
      <w:r>
        <w:rPr>
          <w:rFonts w:ascii="仿宋_GB2312" w:eastAsia="仿宋_GB2312" w:cs="方正仿宋_GBK"/>
          <w:color w:val="auto"/>
          <w:sz w:val="28"/>
          <w:szCs w:val="28"/>
          <w:u w:val="single"/>
          <w:lang w:eastAsia="zh-CN" w:bidi="ar-SA"/>
        </w:rPr>
        <w:t xml:space="preserve">                    </w:t>
      </w:r>
    </w:p>
    <w:p w14:paraId="57F416C1">
      <w:pPr>
        <w:autoSpaceDE w:val="0"/>
        <w:autoSpaceDN w:val="0"/>
        <w:adjustRightInd w:val="0"/>
        <w:spacing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法定代表人（负责人/农户代表人）：</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p>
    <w:p w14:paraId="1F510E0E">
      <w:pPr>
        <w:autoSpaceDE w:val="0"/>
        <w:autoSpaceDN w:val="0"/>
        <w:adjustRightInd w:val="0"/>
        <w:spacing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身份证号码：</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 xml:space="preserve"> </w:t>
      </w:r>
    </w:p>
    <w:p w14:paraId="473879A1">
      <w:pPr>
        <w:autoSpaceDE w:val="0"/>
        <w:autoSpaceDN w:val="0"/>
        <w:adjustRightInd w:val="0"/>
        <w:spacing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联系地址：</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联系电话：</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p>
    <w:p w14:paraId="351ABD95">
      <w:pPr>
        <w:autoSpaceDE w:val="0"/>
        <w:autoSpaceDN w:val="0"/>
        <w:adjustRightInd w:val="0"/>
        <w:spacing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经营主体类型：</w:t>
      </w:r>
      <w:r>
        <w:rPr>
          <w:rFonts w:ascii="仿宋_GB2312" w:eastAsia="仿宋_GB2312" w:cs="方正仿宋_GBK"/>
          <w:color w:val="auto"/>
          <w:sz w:val="28"/>
          <w:szCs w:val="28"/>
          <w:lang w:eastAsia="zh-CN" w:bidi="ar-SA"/>
        </w:rPr>
        <w:sym w:font="Wingdings 2" w:char="00A3"/>
      </w:r>
      <w:r>
        <w:rPr>
          <w:rFonts w:hint="eastAsia" w:ascii="仿宋_GB2312" w:eastAsia="仿宋_GB2312" w:cs="方正仿宋_GBK"/>
          <w:color w:val="auto"/>
          <w:sz w:val="28"/>
          <w:szCs w:val="28"/>
          <w:lang w:eastAsia="zh-CN" w:bidi="ar-SA"/>
        </w:rPr>
        <w:t xml:space="preserve">自然人 □农村承包经营户 □农民专业合作社 □家庭农场 □农村集体经济组织 </w:t>
      </w:r>
      <w:r>
        <w:rPr>
          <w:rFonts w:ascii="仿宋_GB2312" w:eastAsia="仿宋_GB2312" w:cs="方正仿宋_GBK"/>
          <w:color w:val="auto"/>
          <w:sz w:val="28"/>
          <w:szCs w:val="28"/>
          <w:lang w:eastAsia="zh-CN" w:bidi="ar-SA"/>
        </w:rPr>
        <w:sym w:font="Wingdings 2" w:char="00A3"/>
      </w:r>
      <w:r>
        <w:rPr>
          <w:rFonts w:hint="eastAsia" w:ascii="仿宋_GB2312" w:eastAsia="仿宋_GB2312" w:cs="方正仿宋_GBK"/>
          <w:color w:val="auto"/>
          <w:sz w:val="28"/>
          <w:szCs w:val="28"/>
          <w:lang w:eastAsia="zh-CN" w:bidi="ar-SA"/>
        </w:rPr>
        <w:t>公司</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eastAsia="zh-CN" w:bidi="ar-SA"/>
        </w:rPr>
        <w:t>:</w:t>
      </w:r>
      <w:r>
        <w:rPr>
          <w:rFonts w:ascii="仿宋_GB2312" w:eastAsia="仿宋_GB2312" w:cs="方正仿宋_GBK"/>
          <w:color w:val="auto"/>
          <w:sz w:val="28"/>
          <w:szCs w:val="28"/>
          <w:u w:val="single"/>
          <w:lang w:eastAsia="zh-CN" w:bidi="ar-SA"/>
        </w:rPr>
        <w:t xml:space="preserve">              </w:t>
      </w:r>
    </w:p>
    <w:p w14:paraId="73D47A48">
      <w:pPr>
        <w:autoSpaceDE w:val="0"/>
        <w:autoSpaceDN w:val="0"/>
        <w:adjustRightInd w:val="0"/>
        <w:spacing w:line="520" w:lineRule="exact"/>
        <w:ind w:firstLine="560" w:firstLineChars="200"/>
        <w:jc w:val="both"/>
        <w:rPr>
          <w:rFonts w:ascii="仿宋_GB2312" w:eastAsia="仿宋_GB2312" w:cs="方正仿宋_GBK"/>
          <w:color w:val="auto"/>
          <w:sz w:val="28"/>
          <w:szCs w:val="28"/>
          <w:lang w:eastAsia="zh-CN" w:bidi="ar-SA"/>
        </w:rPr>
      </w:pPr>
    </w:p>
    <w:p w14:paraId="19ABC0FA">
      <w:pPr>
        <w:autoSpaceDE w:val="0"/>
        <w:autoSpaceDN w:val="0"/>
        <w:adjustRightInd w:val="0"/>
        <w:spacing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乙方（受让方）：</w:t>
      </w:r>
      <w:r>
        <w:rPr>
          <w:rFonts w:ascii="仿宋_GB2312" w:eastAsia="仿宋_GB2312" w:cs="方正仿宋_GBK"/>
          <w:color w:val="auto"/>
          <w:sz w:val="28"/>
          <w:szCs w:val="28"/>
          <w:u w:val="single"/>
          <w:lang w:eastAsia="zh-CN" w:bidi="ar-SA"/>
        </w:rPr>
        <w:t xml:space="preserve">               </w:t>
      </w:r>
    </w:p>
    <w:p w14:paraId="69954907">
      <w:pPr>
        <w:autoSpaceDE w:val="0"/>
        <w:autoSpaceDN w:val="0"/>
        <w:adjustRightInd w:val="0"/>
        <w:spacing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社会信用代码：</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 xml:space="preserve"> </w:t>
      </w:r>
    </w:p>
    <w:p w14:paraId="6C4B9034">
      <w:pPr>
        <w:autoSpaceDE w:val="0"/>
        <w:autoSpaceDN w:val="0"/>
        <w:adjustRightInd w:val="0"/>
        <w:spacing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法定代表人（负责人）：</w:t>
      </w:r>
      <w:r>
        <w:rPr>
          <w:rFonts w:ascii="仿宋_GB2312" w:eastAsia="仿宋_GB2312" w:cs="方正仿宋_GBK"/>
          <w:color w:val="auto"/>
          <w:sz w:val="28"/>
          <w:szCs w:val="28"/>
          <w:u w:val="single"/>
          <w:lang w:eastAsia="zh-CN" w:bidi="ar-SA"/>
        </w:rPr>
        <w:t xml:space="preserve">                 </w:t>
      </w:r>
    </w:p>
    <w:p w14:paraId="45192F81">
      <w:pPr>
        <w:autoSpaceDE w:val="0"/>
        <w:autoSpaceDN w:val="0"/>
        <w:adjustRightInd w:val="0"/>
        <w:spacing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身份证号码：</w:t>
      </w:r>
      <w:r>
        <w:rPr>
          <w:rFonts w:ascii="仿宋_GB2312" w:eastAsia="仿宋_GB2312" w:cs="方正仿宋_GBK"/>
          <w:color w:val="auto"/>
          <w:sz w:val="28"/>
          <w:szCs w:val="28"/>
          <w:u w:val="single"/>
          <w:lang w:eastAsia="zh-CN" w:bidi="ar-SA"/>
        </w:rPr>
        <w:t xml:space="preserve">                   </w:t>
      </w:r>
    </w:p>
    <w:p w14:paraId="25393B72">
      <w:pPr>
        <w:autoSpaceDE w:val="0"/>
        <w:autoSpaceDN w:val="0"/>
        <w:adjustRightInd w:val="0"/>
        <w:spacing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联系地址：</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联系电话：</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p>
    <w:p w14:paraId="17934D4A">
      <w:pPr>
        <w:autoSpaceDE w:val="0"/>
        <w:autoSpaceDN w:val="0"/>
        <w:adjustRightInd w:val="0"/>
        <w:spacing w:line="520" w:lineRule="exact"/>
        <w:ind w:firstLine="560" w:firstLineChars="200"/>
        <w:jc w:val="both"/>
        <w:rPr>
          <w:rFonts w:ascii="仿宋_GB2312" w:hAnsi="华文黑体" w:eastAsia="仿宋_GB2312" w:cs="华文黑体"/>
          <w:b/>
          <w:bCs/>
          <w:color w:val="auto"/>
          <w:sz w:val="28"/>
          <w:szCs w:val="28"/>
          <w:lang w:eastAsia="zh-CN"/>
        </w:rPr>
      </w:pPr>
      <w:r>
        <w:rPr>
          <w:rFonts w:hint="eastAsia" w:ascii="仿宋_GB2312" w:eastAsia="仿宋_GB2312" w:cs="方正仿宋_GBK"/>
          <w:color w:val="auto"/>
          <w:sz w:val="28"/>
          <w:szCs w:val="28"/>
          <w:lang w:eastAsia="zh-CN" w:bidi="ar-SA"/>
        </w:rPr>
        <w:t>经营主体类型：□农民专业合作社</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□公司</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p>
    <w:p w14:paraId="75A086F3">
      <w:pPr>
        <w:pStyle w:val="17"/>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二、</w:t>
      </w:r>
      <w:r>
        <w:rPr>
          <w:rFonts w:hint="eastAsia" w:ascii="黑体" w:hAnsi="黑体" w:eastAsia="黑体" w:cs="华文黑体"/>
          <w:bCs/>
          <w:color w:val="auto"/>
          <w:sz w:val="28"/>
          <w:szCs w:val="28"/>
          <w:lang w:eastAsia="zh-CN"/>
        </w:rPr>
        <w:t>入股标的</w:t>
      </w:r>
      <w:r>
        <w:rPr>
          <w:rFonts w:hint="eastAsia" w:ascii="黑体" w:hAnsi="黑体" w:eastAsia="黑体" w:cs="华文黑体"/>
          <w:bCs/>
          <w:color w:val="auto"/>
          <w:sz w:val="28"/>
          <w:szCs w:val="28"/>
        </w:rPr>
        <w:t>物</w:t>
      </w:r>
    </w:p>
    <w:p w14:paraId="067BDBCA">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（一）经自愿协商，甲方将</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亩土地经营权（具体见下表及附图）入股乙方。</w:t>
      </w:r>
    </w:p>
    <w:p w14:paraId="519B712E">
      <w:pPr>
        <w:pStyle w:val="17"/>
        <w:spacing w:after="0" w:line="520" w:lineRule="exact"/>
        <w:ind w:firstLine="420" w:firstLineChars="150"/>
        <w:rPr>
          <w:rFonts w:ascii="仿宋_GB2312" w:eastAsia="仿宋_GB2312" w:cs="方正仿宋_GBK"/>
          <w:color w:val="auto"/>
          <w:sz w:val="28"/>
          <w:szCs w:val="28"/>
          <w:lang w:eastAsia="zh-CN" w:bidi="ar-SA"/>
        </w:rPr>
      </w:pPr>
    </w:p>
    <w:p w14:paraId="16452476">
      <w:pPr>
        <w:rPr>
          <w:rFonts w:eastAsia="仿宋_GB2312"/>
          <w:lang w:val="zh-TW" w:eastAsia="zh-CN" w:bidi="ar-SA"/>
        </w:rPr>
      </w:pPr>
    </w:p>
    <w:tbl>
      <w:tblPr>
        <w:tblStyle w:val="10"/>
        <w:tblW w:w="11134" w:type="dxa"/>
        <w:jc w:val="center"/>
        <w:tblLayout w:type="fixed"/>
        <w:tblCellMar>
          <w:top w:w="0" w:type="dxa"/>
          <w:left w:w="108" w:type="dxa"/>
          <w:bottom w:w="0" w:type="dxa"/>
          <w:right w:w="108" w:type="dxa"/>
        </w:tblCellMar>
      </w:tblPr>
      <w:tblGrid>
        <w:gridCol w:w="510"/>
        <w:gridCol w:w="815"/>
        <w:gridCol w:w="1042"/>
        <w:gridCol w:w="1085"/>
        <w:gridCol w:w="694"/>
        <w:gridCol w:w="769"/>
        <w:gridCol w:w="898"/>
        <w:gridCol w:w="753"/>
        <w:gridCol w:w="1028"/>
        <w:gridCol w:w="1020"/>
        <w:gridCol w:w="1035"/>
        <w:gridCol w:w="915"/>
        <w:gridCol w:w="570"/>
      </w:tblGrid>
      <w:tr w14:paraId="6A606BD0">
        <w:tblPrEx>
          <w:tblCellMar>
            <w:top w:w="0" w:type="dxa"/>
            <w:left w:w="108" w:type="dxa"/>
            <w:bottom w:w="0" w:type="dxa"/>
            <w:right w:w="108" w:type="dxa"/>
          </w:tblCellMar>
        </w:tblPrEx>
        <w:trPr>
          <w:trHeight w:val="712" w:hRule="exact"/>
          <w:jc w:val="center"/>
        </w:trPr>
        <w:tc>
          <w:tcPr>
            <w:tcW w:w="510" w:type="dxa"/>
            <w:vMerge w:val="restart"/>
            <w:tcBorders>
              <w:top w:val="single" w:color="auto" w:sz="4" w:space="0"/>
              <w:left w:val="single" w:color="auto" w:sz="4" w:space="0"/>
            </w:tcBorders>
            <w:shd w:val="clear" w:color="auto" w:fill="FFFFFF"/>
            <w:vAlign w:val="center"/>
          </w:tcPr>
          <w:p w14:paraId="724D01FB">
            <w:pPr>
              <w:pStyle w:val="18"/>
              <w:spacing w:line="240" w:lineRule="auto"/>
              <w:ind w:firstLine="0"/>
              <w:jc w:val="both"/>
              <w:rPr>
                <w:rFonts w:ascii="华文楷体" w:hAnsi="华文楷体" w:eastAsia="华文楷体" w:cs="华文楷体"/>
                <w:color w:val="auto"/>
                <w:sz w:val="22"/>
              </w:rPr>
            </w:pPr>
            <w:r>
              <w:rPr>
                <w:rFonts w:hint="eastAsia" w:ascii="华文楷体" w:hAnsi="华文楷体" w:eastAsia="华文楷体" w:cs="华文楷体"/>
                <w:color w:val="auto"/>
                <w:sz w:val="22"/>
              </w:rPr>
              <w:t>序</w:t>
            </w:r>
          </w:p>
          <w:p w14:paraId="1F73AB9A">
            <w:pPr>
              <w:pStyle w:val="18"/>
              <w:spacing w:line="240" w:lineRule="auto"/>
              <w:ind w:firstLine="0"/>
              <w:jc w:val="both"/>
              <w:rPr>
                <w:rFonts w:ascii="华文楷体" w:hAnsi="华文楷体" w:eastAsia="华文楷体" w:cs="华文楷体"/>
                <w:color w:val="auto"/>
                <w:sz w:val="22"/>
              </w:rPr>
            </w:pPr>
            <w:r>
              <w:rPr>
                <w:rFonts w:hint="eastAsia" w:ascii="华文楷体" w:hAnsi="华文楷体" w:eastAsia="华文楷体" w:cs="华文楷体"/>
                <w:color w:val="auto"/>
                <w:sz w:val="22"/>
              </w:rPr>
              <w:t>号</w:t>
            </w:r>
          </w:p>
        </w:tc>
        <w:tc>
          <w:tcPr>
            <w:tcW w:w="815" w:type="dxa"/>
            <w:vMerge w:val="restart"/>
            <w:tcBorders>
              <w:top w:val="single" w:color="auto" w:sz="4" w:space="0"/>
              <w:left w:val="single" w:color="auto" w:sz="4" w:space="0"/>
              <w:right w:val="single" w:color="auto" w:sz="4" w:space="0"/>
            </w:tcBorders>
            <w:shd w:val="clear" w:color="auto" w:fill="FFFFFF"/>
            <w:vAlign w:val="center"/>
          </w:tcPr>
          <w:p w14:paraId="65F1287B">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村</w:t>
            </w:r>
          </w:p>
          <w:p w14:paraId="7699D99E">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（组）</w:t>
            </w:r>
          </w:p>
        </w:tc>
        <w:tc>
          <w:tcPr>
            <w:tcW w:w="1042" w:type="dxa"/>
            <w:vMerge w:val="restart"/>
            <w:tcBorders>
              <w:top w:val="single" w:color="auto" w:sz="4" w:space="0"/>
              <w:left w:val="single" w:color="auto" w:sz="4" w:space="0"/>
            </w:tcBorders>
            <w:shd w:val="clear" w:color="auto" w:fill="FFFFFF"/>
            <w:vAlign w:val="center"/>
          </w:tcPr>
          <w:p w14:paraId="4F89B5F3">
            <w:pPr>
              <w:pStyle w:val="18"/>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地块</w:t>
            </w:r>
          </w:p>
          <w:p w14:paraId="1B50F132">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名称</w:t>
            </w:r>
          </w:p>
        </w:tc>
        <w:tc>
          <w:tcPr>
            <w:tcW w:w="1085" w:type="dxa"/>
            <w:vMerge w:val="restart"/>
            <w:tcBorders>
              <w:top w:val="single" w:color="auto" w:sz="4" w:space="0"/>
              <w:left w:val="single" w:color="auto" w:sz="4" w:space="0"/>
            </w:tcBorders>
            <w:shd w:val="clear" w:color="auto" w:fill="FFFFFF"/>
            <w:vAlign w:val="center"/>
          </w:tcPr>
          <w:p w14:paraId="6B9FD70A">
            <w:pPr>
              <w:pStyle w:val="18"/>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地块</w:t>
            </w:r>
          </w:p>
          <w:p w14:paraId="4F96295A">
            <w:pPr>
              <w:pStyle w:val="18"/>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代码</w:t>
            </w:r>
          </w:p>
        </w:tc>
        <w:tc>
          <w:tcPr>
            <w:tcW w:w="3114" w:type="dxa"/>
            <w:gridSpan w:val="4"/>
            <w:tcBorders>
              <w:top w:val="single" w:color="auto" w:sz="4" w:space="0"/>
              <w:left w:val="single" w:color="auto" w:sz="4" w:space="0"/>
              <w:bottom w:val="single" w:color="auto" w:sz="4" w:space="0"/>
            </w:tcBorders>
            <w:shd w:val="clear" w:color="auto" w:fill="FFFFFF"/>
            <w:vAlign w:val="center"/>
          </w:tcPr>
          <w:p w14:paraId="7029CFE4">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lang w:eastAsia="zh-CN"/>
              </w:rPr>
              <w:t>坐落（</w:t>
            </w:r>
            <w:r>
              <w:rPr>
                <w:rFonts w:hint="eastAsia" w:ascii="华文楷体" w:hAnsi="华文楷体" w:eastAsia="华文楷体" w:cs="华文楷体"/>
                <w:color w:val="auto"/>
                <w:sz w:val="22"/>
              </w:rPr>
              <w:t>四至</w:t>
            </w:r>
            <w:r>
              <w:rPr>
                <w:rFonts w:hint="eastAsia" w:ascii="华文楷体" w:hAnsi="华文楷体" w:eastAsia="华文楷体" w:cs="华文楷体"/>
                <w:color w:val="auto"/>
                <w:sz w:val="22"/>
                <w:lang w:eastAsia="zh-CN"/>
              </w:rPr>
              <w:t>）</w:t>
            </w:r>
          </w:p>
        </w:tc>
        <w:tc>
          <w:tcPr>
            <w:tcW w:w="1028" w:type="dxa"/>
            <w:vMerge w:val="restart"/>
            <w:tcBorders>
              <w:top w:val="single" w:color="auto" w:sz="4" w:space="0"/>
              <w:left w:val="single" w:color="auto" w:sz="4" w:space="0"/>
            </w:tcBorders>
            <w:shd w:val="clear" w:color="auto" w:fill="FFFFFF"/>
            <w:vAlign w:val="center"/>
          </w:tcPr>
          <w:p w14:paraId="4A544BE3">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面积</w:t>
            </w:r>
          </w:p>
          <w:p w14:paraId="7DE4B995">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w:t>
            </w:r>
            <w:r>
              <w:rPr>
                <w:rFonts w:ascii="华文楷体" w:hAnsi="华文楷体" w:eastAsia="华文楷体" w:cs="华文楷体"/>
                <w:color w:val="auto"/>
                <w:sz w:val="22"/>
              </w:rPr>
              <w:t>亩</w:t>
            </w:r>
            <w:r>
              <w:rPr>
                <w:rFonts w:hint="eastAsia" w:ascii="华文楷体" w:hAnsi="华文楷体" w:eastAsia="华文楷体" w:cs="华文楷体"/>
                <w:color w:val="auto"/>
                <w:sz w:val="22"/>
              </w:rPr>
              <w:t>）</w:t>
            </w:r>
          </w:p>
        </w:tc>
        <w:tc>
          <w:tcPr>
            <w:tcW w:w="1020" w:type="dxa"/>
            <w:vMerge w:val="restart"/>
            <w:tcBorders>
              <w:top w:val="single" w:color="auto" w:sz="4" w:space="0"/>
              <w:left w:val="single" w:color="auto" w:sz="4" w:space="0"/>
            </w:tcBorders>
            <w:shd w:val="clear" w:color="auto" w:fill="FFFFFF"/>
            <w:vAlign w:val="center"/>
          </w:tcPr>
          <w:p w14:paraId="7167123D">
            <w:pPr>
              <w:pStyle w:val="18"/>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质量</w:t>
            </w:r>
          </w:p>
          <w:p w14:paraId="2DD9BF56">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等级</w:t>
            </w:r>
          </w:p>
        </w:tc>
        <w:tc>
          <w:tcPr>
            <w:tcW w:w="1035" w:type="dxa"/>
            <w:vMerge w:val="restart"/>
            <w:tcBorders>
              <w:top w:val="single" w:color="auto" w:sz="4" w:space="0"/>
              <w:left w:val="single" w:color="auto" w:sz="4" w:space="0"/>
              <w:right w:val="single" w:color="auto" w:sz="4" w:space="0"/>
            </w:tcBorders>
            <w:shd w:val="clear" w:color="auto" w:fill="FFFFFF"/>
            <w:vAlign w:val="center"/>
          </w:tcPr>
          <w:p w14:paraId="1791869A">
            <w:pPr>
              <w:pStyle w:val="18"/>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土地</w:t>
            </w:r>
          </w:p>
          <w:p w14:paraId="6B111D92">
            <w:pPr>
              <w:pStyle w:val="18"/>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类型</w:t>
            </w:r>
          </w:p>
        </w:tc>
        <w:tc>
          <w:tcPr>
            <w:tcW w:w="915" w:type="dxa"/>
            <w:vMerge w:val="restart"/>
            <w:tcBorders>
              <w:top w:val="single" w:color="auto" w:sz="4" w:space="0"/>
              <w:left w:val="single" w:color="auto" w:sz="4" w:space="0"/>
            </w:tcBorders>
            <w:shd w:val="clear" w:color="auto" w:fill="FFFFFF"/>
            <w:vAlign w:val="center"/>
          </w:tcPr>
          <w:p w14:paraId="7D504E0E">
            <w:pPr>
              <w:pStyle w:val="18"/>
              <w:spacing w:line="240" w:lineRule="auto"/>
              <w:ind w:firstLine="0"/>
              <w:jc w:val="center"/>
              <w:rPr>
                <w:rFonts w:ascii="华文楷体" w:hAnsi="华文楷体" w:eastAsia="华文楷体" w:cs="华文楷体"/>
                <w:color w:val="auto"/>
                <w:sz w:val="22"/>
                <w:lang w:eastAsia="zh-CN"/>
              </w:rPr>
            </w:pPr>
            <w:r>
              <w:rPr>
                <w:rFonts w:ascii="华文楷体" w:hAnsi="华文楷体" w:eastAsia="华文楷体" w:cs="华文楷体"/>
                <w:color w:val="auto"/>
                <w:sz w:val="22"/>
                <w:lang w:eastAsia="zh-CN"/>
              </w:rPr>
              <w:t>承包</w:t>
            </w:r>
            <w:r>
              <w:rPr>
                <w:rFonts w:hint="eastAsia" w:ascii="华文楷体" w:hAnsi="华文楷体" w:eastAsia="华文楷体" w:cs="华文楷体"/>
                <w:color w:val="auto"/>
                <w:sz w:val="22"/>
                <w:lang w:eastAsia="zh-CN"/>
              </w:rPr>
              <w:t>合同代码</w:t>
            </w:r>
          </w:p>
        </w:tc>
        <w:tc>
          <w:tcPr>
            <w:tcW w:w="570" w:type="dxa"/>
            <w:vMerge w:val="restart"/>
            <w:tcBorders>
              <w:top w:val="single" w:color="auto" w:sz="4" w:space="0"/>
              <w:left w:val="single" w:color="auto" w:sz="4" w:space="0"/>
              <w:right w:val="single" w:color="auto" w:sz="4" w:space="0"/>
            </w:tcBorders>
            <w:shd w:val="clear" w:color="auto" w:fill="FFFFFF"/>
            <w:vAlign w:val="center"/>
          </w:tcPr>
          <w:p w14:paraId="76BB9556">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备注</w:t>
            </w:r>
          </w:p>
        </w:tc>
      </w:tr>
      <w:tr w14:paraId="5973C70F">
        <w:tblPrEx>
          <w:tblCellMar>
            <w:top w:w="0" w:type="dxa"/>
            <w:left w:w="108" w:type="dxa"/>
            <w:bottom w:w="0" w:type="dxa"/>
            <w:right w:w="108" w:type="dxa"/>
          </w:tblCellMar>
        </w:tblPrEx>
        <w:trPr>
          <w:trHeight w:val="55" w:hRule="exact"/>
          <w:jc w:val="center"/>
        </w:trPr>
        <w:tc>
          <w:tcPr>
            <w:tcW w:w="510" w:type="dxa"/>
            <w:vMerge w:val="continue"/>
            <w:tcBorders>
              <w:top w:val="single" w:color="auto" w:sz="4" w:space="0"/>
              <w:left w:val="single" w:color="auto" w:sz="4" w:space="0"/>
            </w:tcBorders>
            <w:shd w:val="clear" w:color="auto" w:fill="FFFFFF"/>
            <w:vAlign w:val="center"/>
          </w:tcPr>
          <w:p w14:paraId="5D544E31">
            <w:pPr>
              <w:pStyle w:val="18"/>
              <w:spacing w:line="240" w:lineRule="auto"/>
              <w:ind w:firstLine="240"/>
              <w:jc w:val="both"/>
              <w:rPr>
                <w:rFonts w:ascii="华文楷体" w:hAnsi="华文楷体" w:eastAsia="华文楷体" w:cs="华文楷体"/>
                <w:color w:val="auto"/>
                <w:sz w:val="22"/>
              </w:rPr>
            </w:pPr>
          </w:p>
        </w:tc>
        <w:tc>
          <w:tcPr>
            <w:tcW w:w="815" w:type="dxa"/>
            <w:vMerge w:val="continue"/>
            <w:tcBorders>
              <w:left w:val="single" w:color="auto" w:sz="4" w:space="0"/>
              <w:right w:val="single" w:color="auto" w:sz="4" w:space="0"/>
            </w:tcBorders>
            <w:shd w:val="clear" w:color="auto" w:fill="FFFFFF"/>
          </w:tcPr>
          <w:p w14:paraId="7D5639A5">
            <w:pPr>
              <w:pStyle w:val="18"/>
              <w:spacing w:line="240" w:lineRule="auto"/>
              <w:ind w:firstLine="0"/>
              <w:jc w:val="center"/>
              <w:rPr>
                <w:rFonts w:ascii="华文楷体" w:hAnsi="华文楷体" w:eastAsia="华文楷体" w:cs="华文楷体"/>
                <w:color w:val="auto"/>
                <w:sz w:val="22"/>
              </w:rPr>
            </w:pPr>
          </w:p>
        </w:tc>
        <w:tc>
          <w:tcPr>
            <w:tcW w:w="1042" w:type="dxa"/>
            <w:vMerge w:val="continue"/>
            <w:tcBorders>
              <w:top w:val="single" w:color="auto" w:sz="4" w:space="0"/>
              <w:left w:val="single" w:color="auto" w:sz="4" w:space="0"/>
            </w:tcBorders>
            <w:shd w:val="clear" w:color="auto" w:fill="FFFFFF"/>
            <w:vAlign w:val="center"/>
          </w:tcPr>
          <w:p w14:paraId="01A7A913">
            <w:pPr>
              <w:pStyle w:val="18"/>
              <w:spacing w:line="240" w:lineRule="auto"/>
              <w:ind w:firstLine="0"/>
              <w:jc w:val="center"/>
              <w:rPr>
                <w:rFonts w:ascii="华文楷体" w:hAnsi="华文楷体" w:eastAsia="华文楷体" w:cs="华文楷体"/>
                <w:color w:val="auto"/>
                <w:sz w:val="22"/>
              </w:rPr>
            </w:pPr>
          </w:p>
        </w:tc>
        <w:tc>
          <w:tcPr>
            <w:tcW w:w="1085" w:type="dxa"/>
            <w:vMerge w:val="continue"/>
            <w:tcBorders>
              <w:top w:val="single" w:color="auto" w:sz="4" w:space="0"/>
              <w:left w:val="single" w:color="auto" w:sz="4" w:space="0"/>
            </w:tcBorders>
            <w:shd w:val="clear" w:color="auto" w:fill="FFFFFF"/>
            <w:vAlign w:val="center"/>
          </w:tcPr>
          <w:p w14:paraId="729ABD9C">
            <w:pPr>
              <w:pStyle w:val="18"/>
              <w:spacing w:line="240" w:lineRule="auto"/>
              <w:ind w:firstLine="0"/>
              <w:jc w:val="center"/>
              <w:rPr>
                <w:rFonts w:ascii="华文楷体" w:hAnsi="华文楷体" w:eastAsia="华文楷体" w:cs="华文楷体"/>
                <w:color w:val="auto"/>
                <w:sz w:val="22"/>
              </w:rPr>
            </w:pPr>
          </w:p>
        </w:tc>
        <w:tc>
          <w:tcPr>
            <w:tcW w:w="3114" w:type="dxa"/>
            <w:gridSpan w:val="4"/>
            <w:tcBorders>
              <w:top w:val="single" w:color="auto" w:sz="4" w:space="0"/>
              <w:left w:val="single" w:color="auto" w:sz="4" w:space="0"/>
            </w:tcBorders>
            <w:shd w:val="clear" w:color="auto" w:fill="FFFFFF"/>
            <w:vAlign w:val="center"/>
          </w:tcPr>
          <w:p w14:paraId="549FE9C6">
            <w:pPr>
              <w:pStyle w:val="18"/>
              <w:spacing w:line="240" w:lineRule="auto"/>
              <w:jc w:val="center"/>
              <w:rPr>
                <w:rFonts w:ascii="华文楷体" w:hAnsi="华文楷体" w:eastAsia="华文楷体" w:cs="华文楷体"/>
                <w:color w:val="auto"/>
                <w:sz w:val="22"/>
              </w:rPr>
            </w:pPr>
          </w:p>
        </w:tc>
        <w:tc>
          <w:tcPr>
            <w:tcW w:w="1028" w:type="dxa"/>
            <w:vMerge w:val="continue"/>
            <w:tcBorders>
              <w:top w:val="single" w:color="auto" w:sz="4" w:space="0"/>
              <w:left w:val="single" w:color="auto" w:sz="4" w:space="0"/>
            </w:tcBorders>
            <w:shd w:val="clear" w:color="auto" w:fill="FFFFFF"/>
            <w:vAlign w:val="center"/>
          </w:tcPr>
          <w:p w14:paraId="32A70696">
            <w:pPr>
              <w:pStyle w:val="18"/>
              <w:spacing w:line="240" w:lineRule="auto"/>
              <w:ind w:firstLine="0"/>
              <w:jc w:val="center"/>
              <w:rPr>
                <w:rFonts w:ascii="华文楷体" w:hAnsi="华文楷体" w:eastAsia="华文楷体" w:cs="华文楷体"/>
                <w:color w:val="auto"/>
                <w:sz w:val="22"/>
              </w:rPr>
            </w:pPr>
          </w:p>
        </w:tc>
        <w:tc>
          <w:tcPr>
            <w:tcW w:w="1020" w:type="dxa"/>
            <w:vMerge w:val="continue"/>
            <w:tcBorders>
              <w:top w:val="single" w:color="auto" w:sz="4" w:space="0"/>
              <w:left w:val="single" w:color="auto" w:sz="4" w:space="0"/>
            </w:tcBorders>
            <w:shd w:val="clear" w:color="auto" w:fill="FFFFFF"/>
            <w:vAlign w:val="center"/>
          </w:tcPr>
          <w:p w14:paraId="16D3C5E2">
            <w:pPr>
              <w:pStyle w:val="18"/>
              <w:spacing w:line="240" w:lineRule="auto"/>
              <w:ind w:firstLine="0"/>
              <w:jc w:val="center"/>
              <w:rPr>
                <w:rFonts w:ascii="华文楷体" w:hAnsi="华文楷体" w:eastAsia="华文楷体" w:cs="华文楷体"/>
                <w:color w:val="auto"/>
                <w:sz w:val="22"/>
              </w:rPr>
            </w:pPr>
          </w:p>
        </w:tc>
        <w:tc>
          <w:tcPr>
            <w:tcW w:w="1035" w:type="dxa"/>
            <w:vMerge w:val="continue"/>
            <w:tcBorders>
              <w:left w:val="single" w:color="auto" w:sz="4" w:space="0"/>
              <w:right w:val="single" w:color="auto" w:sz="4" w:space="0"/>
            </w:tcBorders>
            <w:shd w:val="clear" w:color="auto" w:fill="FFFFFF"/>
          </w:tcPr>
          <w:p w14:paraId="23327D0E">
            <w:pPr>
              <w:pStyle w:val="18"/>
              <w:spacing w:line="240" w:lineRule="auto"/>
              <w:ind w:firstLine="0"/>
              <w:jc w:val="center"/>
              <w:rPr>
                <w:rFonts w:ascii="华文楷体" w:hAnsi="华文楷体" w:eastAsia="华文楷体" w:cs="华文楷体"/>
                <w:color w:val="auto"/>
                <w:sz w:val="22"/>
              </w:rPr>
            </w:pPr>
          </w:p>
        </w:tc>
        <w:tc>
          <w:tcPr>
            <w:tcW w:w="915" w:type="dxa"/>
            <w:vMerge w:val="continue"/>
            <w:tcBorders>
              <w:top w:val="single" w:color="auto" w:sz="4" w:space="0"/>
              <w:left w:val="single" w:color="auto" w:sz="4" w:space="0"/>
            </w:tcBorders>
            <w:shd w:val="clear" w:color="auto" w:fill="FFFFFF"/>
            <w:vAlign w:val="center"/>
          </w:tcPr>
          <w:p w14:paraId="75A8E048">
            <w:pPr>
              <w:pStyle w:val="18"/>
              <w:spacing w:line="240" w:lineRule="auto"/>
              <w:ind w:firstLine="0"/>
              <w:jc w:val="center"/>
              <w:rPr>
                <w:rFonts w:ascii="华文楷体" w:hAnsi="华文楷体" w:eastAsia="华文楷体" w:cs="华文楷体"/>
                <w:color w:val="auto"/>
                <w:sz w:val="22"/>
              </w:rPr>
            </w:pPr>
          </w:p>
        </w:tc>
        <w:tc>
          <w:tcPr>
            <w:tcW w:w="570" w:type="dxa"/>
            <w:vMerge w:val="continue"/>
            <w:tcBorders>
              <w:top w:val="single" w:color="auto" w:sz="4" w:space="0"/>
              <w:left w:val="single" w:color="auto" w:sz="4" w:space="0"/>
              <w:right w:val="single" w:color="auto" w:sz="4" w:space="0"/>
            </w:tcBorders>
            <w:shd w:val="clear" w:color="auto" w:fill="FFFFFF"/>
            <w:vAlign w:val="center"/>
          </w:tcPr>
          <w:p w14:paraId="502AED03">
            <w:pPr>
              <w:pStyle w:val="18"/>
              <w:spacing w:line="240" w:lineRule="auto"/>
              <w:ind w:firstLine="0"/>
              <w:jc w:val="center"/>
              <w:rPr>
                <w:rFonts w:ascii="华文楷体" w:hAnsi="华文楷体" w:eastAsia="华文楷体" w:cs="华文楷体"/>
                <w:color w:val="auto"/>
                <w:sz w:val="22"/>
              </w:rPr>
            </w:pPr>
          </w:p>
        </w:tc>
      </w:tr>
      <w:tr w14:paraId="68927100">
        <w:tblPrEx>
          <w:tblCellMar>
            <w:top w:w="0" w:type="dxa"/>
            <w:left w:w="108" w:type="dxa"/>
            <w:bottom w:w="0" w:type="dxa"/>
            <w:right w:w="108" w:type="dxa"/>
          </w:tblCellMar>
        </w:tblPrEx>
        <w:trPr>
          <w:trHeight w:val="500" w:hRule="exact"/>
          <w:jc w:val="center"/>
        </w:trPr>
        <w:tc>
          <w:tcPr>
            <w:tcW w:w="510" w:type="dxa"/>
            <w:vMerge w:val="continue"/>
            <w:tcBorders>
              <w:left w:val="single" w:color="auto" w:sz="4" w:space="0"/>
            </w:tcBorders>
            <w:shd w:val="clear" w:color="auto" w:fill="FFFFFF"/>
            <w:vAlign w:val="center"/>
          </w:tcPr>
          <w:p w14:paraId="7A299F38">
            <w:pPr>
              <w:jc w:val="both"/>
              <w:rPr>
                <w:rFonts w:ascii="华文楷体" w:hAnsi="华文楷体" w:eastAsia="华文楷体" w:cs="华文楷体"/>
                <w:color w:val="auto"/>
                <w:sz w:val="36"/>
                <w:lang w:eastAsia="zh-CN"/>
              </w:rPr>
            </w:pPr>
          </w:p>
        </w:tc>
        <w:tc>
          <w:tcPr>
            <w:tcW w:w="815" w:type="dxa"/>
            <w:vMerge w:val="continue"/>
            <w:tcBorders>
              <w:left w:val="single" w:color="auto" w:sz="4" w:space="0"/>
              <w:right w:val="single" w:color="auto" w:sz="4" w:space="0"/>
            </w:tcBorders>
            <w:shd w:val="clear" w:color="auto" w:fill="FFFFFF"/>
          </w:tcPr>
          <w:p w14:paraId="24EBA95C">
            <w:pPr>
              <w:jc w:val="center"/>
              <w:rPr>
                <w:rFonts w:ascii="华文楷体" w:hAnsi="华文楷体" w:eastAsia="华文楷体" w:cs="华文楷体"/>
                <w:color w:val="auto"/>
                <w:sz w:val="36"/>
                <w:lang w:eastAsia="zh-CN"/>
              </w:rPr>
            </w:pPr>
          </w:p>
        </w:tc>
        <w:tc>
          <w:tcPr>
            <w:tcW w:w="1042" w:type="dxa"/>
            <w:vMerge w:val="continue"/>
            <w:tcBorders>
              <w:left w:val="single" w:color="auto" w:sz="4" w:space="0"/>
            </w:tcBorders>
            <w:shd w:val="clear" w:color="auto" w:fill="FFFFFF"/>
            <w:vAlign w:val="center"/>
          </w:tcPr>
          <w:p w14:paraId="37C51FBA">
            <w:pPr>
              <w:jc w:val="center"/>
              <w:rPr>
                <w:rFonts w:ascii="华文楷体" w:hAnsi="华文楷体" w:eastAsia="华文楷体" w:cs="华文楷体"/>
                <w:color w:val="auto"/>
                <w:sz w:val="36"/>
                <w:lang w:eastAsia="zh-CN"/>
              </w:rPr>
            </w:pPr>
          </w:p>
        </w:tc>
        <w:tc>
          <w:tcPr>
            <w:tcW w:w="1085" w:type="dxa"/>
            <w:vMerge w:val="continue"/>
            <w:tcBorders>
              <w:left w:val="single" w:color="auto" w:sz="4" w:space="0"/>
            </w:tcBorders>
            <w:shd w:val="clear" w:color="auto" w:fill="FFFFFF"/>
            <w:vAlign w:val="center"/>
          </w:tcPr>
          <w:p w14:paraId="41C2775B">
            <w:pPr>
              <w:jc w:val="center"/>
              <w:rPr>
                <w:rFonts w:ascii="华文楷体" w:hAnsi="华文楷体" w:eastAsia="华文楷体" w:cs="华文楷体"/>
                <w:color w:val="auto"/>
                <w:sz w:val="36"/>
                <w:lang w:eastAsia="zh-CN"/>
              </w:rPr>
            </w:pPr>
          </w:p>
        </w:tc>
        <w:tc>
          <w:tcPr>
            <w:tcW w:w="694" w:type="dxa"/>
            <w:tcBorders>
              <w:left w:val="single" w:color="auto" w:sz="4" w:space="0"/>
              <w:right w:val="single" w:color="auto" w:sz="4" w:space="0"/>
            </w:tcBorders>
            <w:shd w:val="clear" w:color="auto" w:fill="FFFFFF"/>
            <w:vAlign w:val="center"/>
          </w:tcPr>
          <w:p w14:paraId="1D20B9E5">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东</w:t>
            </w:r>
          </w:p>
        </w:tc>
        <w:tc>
          <w:tcPr>
            <w:tcW w:w="769" w:type="dxa"/>
            <w:tcBorders>
              <w:left w:val="single" w:color="auto" w:sz="4" w:space="0"/>
            </w:tcBorders>
            <w:shd w:val="clear" w:color="auto" w:fill="FFFFFF"/>
            <w:vAlign w:val="center"/>
          </w:tcPr>
          <w:p w14:paraId="14D4278A">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南</w:t>
            </w:r>
          </w:p>
        </w:tc>
        <w:tc>
          <w:tcPr>
            <w:tcW w:w="898" w:type="dxa"/>
            <w:tcBorders>
              <w:left w:val="single" w:color="auto" w:sz="4" w:space="0"/>
            </w:tcBorders>
            <w:shd w:val="clear" w:color="auto" w:fill="FFFFFF"/>
            <w:vAlign w:val="center"/>
          </w:tcPr>
          <w:p w14:paraId="51C048C4">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西</w:t>
            </w:r>
          </w:p>
        </w:tc>
        <w:tc>
          <w:tcPr>
            <w:tcW w:w="753" w:type="dxa"/>
            <w:tcBorders>
              <w:left w:val="single" w:color="auto" w:sz="4" w:space="0"/>
            </w:tcBorders>
            <w:shd w:val="clear" w:color="auto" w:fill="FFFFFF"/>
            <w:vAlign w:val="center"/>
          </w:tcPr>
          <w:p w14:paraId="1D84DCF1">
            <w:pPr>
              <w:pStyle w:val="18"/>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北</w:t>
            </w:r>
          </w:p>
        </w:tc>
        <w:tc>
          <w:tcPr>
            <w:tcW w:w="1028" w:type="dxa"/>
            <w:vMerge w:val="continue"/>
            <w:tcBorders>
              <w:left w:val="single" w:color="auto" w:sz="4" w:space="0"/>
            </w:tcBorders>
            <w:shd w:val="clear" w:color="auto" w:fill="FFFFFF"/>
            <w:vAlign w:val="center"/>
          </w:tcPr>
          <w:p w14:paraId="0B452C4D">
            <w:pPr>
              <w:jc w:val="center"/>
              <w:rPr>
                <w:rFonts w:ascii="华文楷体" w:hAnsi="华文楷体" w:eastAsia="华文楷体" w:cs="华文楷体"/>
                <w:b/>
                <w:bCs/>
                <w:color w:val="auto"/>
                <w:kern w:val="44"/>
                <w:sz w:val="36"/>
                <w:lang w:eastAsia="zh-CN"/>
              </w:rPr>
            </w:pPr>
          </w:p>
        </w:tc>
        <w:tc>
          <w:tcPr>
            <w:tcW w:w="1020" w:type="dxa"/>
            <w:vMerge w:val="continue"/>
            <w:tcBorders>
              <w:left w:val="single" w:color="auto" w:sz="4" w:space="0"/>
            </w:tcBorders>
            <w:shd w:val="clear" w:color="auto" w:fill="FFFFFF"/>
            <w:vAlign w:val="center"/>
          </w:tcPr>
          <w:p w14:paraId="078DE97A">
            <w:pPr>
              <w:jc w:val="center"/>
              <w:rPr>
                <w:rFonts w:ascii="华文楷体" w:hAnsi="华文楷体" w:eastAsia="华文楷体" w:cs="华文楷体"/>
                <w:b/>
                <w:bCs/>
                <w:color w:val="auto"/>
                <w:kern w:val="44"/>
                <w:sz w:val="36"/>
                <w:lang w:eastAsia="zh-CN"/>
              </w:rPr>
            </w:pPr>
          </w:p>
        </w:tc>
        <w:tc>
          <w:tcPr>
            <w:tcW w:w="1035" w:type="dxa"/>
            <w:vMerge w:val="continue"/>
            <w:tcBorders>
              <w:left w:val="single" w:color="auto" w:sz="4" w:space="0"/>
              <w:right w:val="single" w:color="auto" w:sz="4" w:space="0"/>
            </w:tcBorders>
            <w:shd w:val="clear" w:color="auto" w:fill="FFFFFF"/>
          </w:tcPr>
          <w:p w14:paraId="77B0BD92">
            <w:pPr>
              <w:jc w:val="center"/>
              <w:rPr>
                <w:rFonts w:ascii="华文楷体" w:hAnsi="华文楷体" w:eastAsia="华文楷体" w:cs="华文楷体"/>
                <w:b/>
                <w:bCs/>
                <w:color w:val="auto"/>
                <w:kern w:val="44"/>
                <w:sz w:val="36"/>
              </w:rPr>
            </w:pPr>
          </w:p>
        </w:tc>
        <w:tc>
          <w:tcPr>
            <w:tcW w:w="915" w:type="dxa"/>
            <w:vMerge w:val="continue"/>
            <w:tcBorders>
              <w:left w:val="single" w:color="auto" w:sz="4" w:space="0"/>
            </w:tcBorders>
            <w:shd w:val="clear" w:color="auto" w:fill="FFFFFF"/>
            <w:vAlign w:val="center"/>
          </w:tcPr>
          <w:p w14:paraId="5EC71526">
            <w:pPr>
              <w:jc w:val="center"/>
              <w:rPr>
                <w:rFonts w:ascii="华文楷体" w:hAnsi="华文楷体" w:eastAsia="华文楷体" w:cs="华文楷体"/>
                <w:color w:val="auto"/>
                <w:sz w:val="36"/>
              </w:rPr>
            </w:pPr>
          </w:p>
        </w:tc>
        <w:tc>
          <w:tcPr>
            <w:tcW w:w="570" w:type="dxa"/>
            <w:vMerge w:val="continue"/>
            <w:tcBorders>
              <w:left w:val="single" w:color="auto" w:sz="4" w:space="0"/>
              <w:right w:val="single" w:color="auto" w:sz="4" w:space="0"/>
            </w:tcBorders>
            <w:shd w:val="clear" w:color="auto" w:fill="FFFFFF"/>
            <w:vAlign w:val="center"/>
          </w:tcPr>
          <w:p w14:paraId="380FEB1A">
            <w:pPr>
              <w:jc w:val="center"/>
              <w:rPr>
                <w:rFonts w:ascii="华文楷体" w:hAnsi="华文楷体" w:eastAsia="华文楷体" w:cs="华文楷体"/>
                <w:b/>
                <w:bCs/>
                <w:color w:val="auto"/>
                <w:kern w:val="44"/>
                <w:sz w:val="36"/>
              </w:rPr>
            </w:pPr>
          </w:p>
        </w:tc>
      </w:tr>
      <w:tr w14:paraId="6399680C">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14:paraId="0EE67408">
            <w:pPr>
              <w:pStyle w:val="18"/>
              <w:spacing w:line="240" w:lineRule="auto"/>
              <w:ind w:firstLine="0"/>
              <w:jc w:val="center"/>
              <w:rPr>
                <w:rFonts w:ascii="华文楷体" w:hAnsi="华文楷体" w:eastAsia="华文楷体" w:cs="华文楷体"/>
                <w:color w:val="auto"/>
                <w:sz w:val="22"/>
                <w:szCs w:val="18"/>
              </w:rPr>
            </w:pPr>
            <w:r>
              <w:rPr>
                <w:rFonts w:hint="eastAsia" w:ascii="华文楷体" w:hAnsi="华文楷体" w:eastAsia="华文楷体" w:cs="华文楷体"/>
                <w:color w:val="auto"/>
                <w:sz w:val="22"/>
                <w:szCs w:val="18"/>
              </w:rPr>
              <w:t>1</w:t>
            </w:r>
          </w:p>
        </w:tc>
        <w:tc>
          <w:tcPr>
            <w:tcW w:w="815" w:type="dxa"/>
            <w:tcBorders>
              <w:top w:val="single" w:color="auto" w:sz="4" w:space="0"/>
              <w:left w:val="single" w:color="auto" w:sz="4" w:space="0"/>
              <w:right w:val="single" w:color="auto" w:sz="4" w:space="0"/>
            </w:tcBorders>
            <w:shd w:val="clear" w:color="auto" w:fill="FFFFFF"/>
          </w:tcPr>
          <w:p w14:paraId="78077529">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tcBorders>
            <w:shd w:val="clear" w:color="auto" w:fill="FFFFFF"/>
            <w:vAlign w:val="center"/>
          </w:tcPr>
          <w:p w14:paraId="702CC651">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tcBorders>
            <w:shd w:val="clear" w:color="auto" w:fill="FFFFFF"/>
            <w:vAlign w:val="center"/>
          </w:tcPr>
          <w:p w14:paraId="53951400">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14:paraId="52DE36E0">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tcBorders>
            <w:shd w:val="clear" w:color="auto" w:fill="FFFFFF"/>
            <w:vAlign w:val="center"/>
          </w:tcPr>
          <w:p w14:paraId="7A1AF2F3">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tcBorders>
            <w:shd w:val="clear" w:color="auto" w:fill="FFFFFF"/>
            <w:vAlign w:val="center"/>
          </w:tcPr>
          <w:p w14:paraId="182AEFCA">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tcBorders>
            <w:shd w:val="clear" w:color="auto" w:fill="FFFFFF"/>
            <w:vAlign w:val="center"/>
          </w:tcPr>
          <w:p w14:paraId="1AFA0809">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tcBorders>
            <w:shd w:val="clear" w:color="auto" w:fill="FFFFFF"/>
            <w:vAlign w:val="center"/>
          </w:tcPr>
          <w:p w14:paraId="7A5403FB">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tcBorders>
            <w:shd w:val="clear" w:color="auto" w:fill="FFFFFF"/>
            <w:vAlign w:val="center"/>
          </w:tcPr>
          <w:p w14:paraId="50B2383E">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right w:val="single" w:color="auto" w:sz="4" w:space="0"/>
            </w:tcBorders>
            <w:shd w:val="clear" w:color="auto" w:fill="FFFFFF"/>
          </w:tcPr>
          <w:p w14:paraId="11213513">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tcBorders>
            <w:shd w:val="clear" w:color="auto" w:fill="FFFFFF"/>
            <w:vAlign w:val="center"/>
          </w:tcPr>
          <w:p w14:paraId="170FACAD">
            <w:pPr>
              <w:jc w:val="center"/>
              <w:rPr>
                <w:rFonts w:ascii="华文楷体" w:hAnsi="华文楷体" w:eastAsia="华文楷体" w:cs="华文楷体"/>
                <w:color w:val="auto"/>
                <w:sz w:val="15"/>
                <w:szCs w:val="10"/>
              </w:rPr>
            </w:pPr>
          </w:p>
        </w:tc>
        <w:tc>
          <w:tcPr>
            <w:tcW w:w="570" w:type="dxa"/>
            <w:tcBorders>
              <w:top w:val="single" w:color="auto" w:sz="4" w:space="0"/>
              <w:left w:val="single" w:color="auto" w:sz="4" w:space="0"/>
              <w:right w:val="single" w:color="auto" w:sz="4" w:space="0"/>
            </w:tcBorders>
            <w:shd w:val="clear" w:color="auto" w:fill="FFFFFF"/>
            <w:vAlign w:val="center"/>
          </w:tcPr>
          <w:p w14:paraId="185FEE69">
            <w:pPr>
              <w:jc w:val="center"/>
              <w:rPr>
                <w:rFonts w:ascii="华文楷体" w:hAnsi="华文楷体" w:eastAsia="华文楷体" w:cs="华文楷体"/>
                <w:b/>
                <w:bCs/>
                <w:color w:val="auto"/>
                <w:kern w:val="44"/>
                <w:sz w:val="15"/>
                <w:szCs w:val="10"/>
              </w:rPr>
            </w:pPr>
          </w:p>
        </w:tc>
      </w:tr>
      <w:tr w14:paraId="1A447761">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14:paraId="477EFDF6">
            <w:pPr>
              <w:pStyle w:val="18"/>
              <w:spacing w:line="240" w:lineRule="auto"/>
              <w:ind w:firstLine="0"/>
              <w:jc w:val="center"/>
              <w:rPr>
                <w:rFonts w:ascii="华文楷体" w:hAnsi="华文楷体" w:eastAsia="华文楷体" w:cs="华文楷体"/>
                <w:color w:val="auto"/>
                <w:sz w:val="22"/>
                <w:szCs w:val="18"/>
                <w:lang w:eastAsia="zh-CN"/>
              </w:rPr>
            </w:pPr>
            <w:r>
              <w:rPr>
                <w:rFonts w:ascii="华文楷体" w:hAnsi="华文楷体" w:eastAsia="华文楷体" w:cs="华文楷体"/>
                <w:color w:val="auto"/>
                <w:sz w:val="22"/>
                <w:szCs w:val="18"/>
                <w:lang w:eastAsia="zh-CN"/>
              </w:rPr>
              <w:t>2</w:t>
            </w:r>
          </w:p>
        </w:tc>
        <w:tc>
          <w:tcPr>
            <w:tcW w:w="815" w:type="dxa"/>
            <w:tcBorders>
              <w:top w:val="single" w:color="auto" w:sz="4" w:space="0"/>
              <w:left w:val="single" w:color="auto" w:sz="4" w:space="0"/>
              <w:right w:val="single" w:color="auto" w:sz="4" w:space="0"/>
            </w:tcBorders>
            <w:shd w:val="clear" w:color="auto" w:fill="FFFFFF"/>
          </w:tcPr>
          <w:p w14:paraId="6C3170DE">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tcBorders>
            <w:shd w:val="clear" w:color="auto" w:fill="FFFFFF"/>
            <w:vAlign w:val="center"/>
          </w:tcPr>
          <w:p w14:paraId="2FDD9FEB">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tcBorders>
            <w:shd w:val="clear" w:color="auto" w:fill="FFFFFF"/>
            <w:vAlign w:val="center"/>
          </w:tcPr>
          <w:p w14:paraId="4801D508">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14:paraId="223EA7DC">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tcBorders>
            <w:shd w:val="clear" w:color="auto" w:fill="FFFFFF"/>
            <w:vAlign w:val="center"/>
          </w:tcPr>
          <w:p w14:paraId="3811DFD2">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tcBorders>
            <w:shd w:val="clear" w:color="auto" w:fill="FFFFFF"/>
            <w:vAlign w:val="center"/>
          </w:tcPr>
          <w:p w14:paraId="15E44114">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tcBorders>
            <w:shd w:val="clear" w:color="auto" w:fill="FFFFFF"/>
            <w:vAlign w:val="center"/>
          </w:tcPr>
          <w:p w14:paraId="671B565C">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tcBorders>
            <w:shd w:val="clear" w:color="auto" w:fill="FFFFFF"/>
            <w:vAlign w:val="center"/>
          </w:tcPr>
          <w:p w14:paraId="1BAE12F6">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tcBorders>
            <w:shd w:val="clear" w:color="auto" w:fill="FFFFFF"/>
            <w:vAlign w:val="center"/>
          </w:tcPr>
          <w:p w14:paraId="7336C627">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right w:val="single" w:color="auto" w:sz="4" w:space="0"/>
            </w:tcBorders>
            <w:shd w:val="clear" w:color="auto" w:fill="FFFFFF"/>
          </w:tcPr>
          <w:p w14:paraId="5EAE0EED">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tcBorders>
            <w:shd w:val="clear" w:color="auto" w:fill="FFFFFF"/>
            <w:vAlign w:val="center"/>
          </w:tcPr>
          <w:p w14:paraId="3BD45B8D">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right w:val="single" w:color="auto" w:sz="4" w:space="0"/>
            </w:tcBorders>
            <w:shd w:val="clear" w:color="auto" w:fill="FFFFFF"/>
            <w:vAlign w:val="center"/>
          </w:tcPr>
          <w:p w14:paraId="47981BEF">
            <w:pPr>
              <w:jc w:val="center"/>
              <w:rPr>
                <w:rFonts w:ascii="华文楷体" w:hAnsi="华文楷体" w:eastAsia="华文楷体" w:cs="华文楷体"/>
                <w:b/>
                <w:bCs/>
                <w:color w:val="auto"/>
                <w:kern w:val="44"/>
                <w:sz w:val="15"/>
                <w:szCs w:val="10"/>
              </w:rPr>
            </w:pPr>
          </w:p>
        </w:tc>
      </w:tr>
      <w:tr w14:paraId="45A89FC5">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14:paraId="59AC7565">
            <w:pPr>
              <w:pStyle w:val="18"/>
              <w:spacing w:line="240" w:lineRule="auto"/>
              <w:ind w:firstLine="0"/>
              <w:jc w:val="center"/>
              <w:rPr>
                <w:rFonts w:ascii="华文楷体" w:hAnsi="华文楷体" w:eastAsia="华文楷体" w:cs="华文楷体"/>
                <w:color w:val="auto"/>
                <w:sz w:val="22"/>
                <w:szCs w:val="18"/>
                <w:lang w:eastAsia="zh-CN"/>
              </w:rPr>
            </w:pPr>
            <w:r>
              <w:rPr>
                <w:rFonts w:ascii="华文楷体" w:hAnsi="华文楷体" w:eastAsia="华文楷体" w:cs="华文楷体"/>
                <w:color w:val="auto"/>
                <w:sz w:val="22"/>
                <w:szCs w:val="18"/>
                <w:lang w:eastAsia="zh-CN"/>
              </w:rPr>
              <w:t>3</w:t>
            </w:r>
          </w:p>
        </w:tc>
        <w:tc>
          <w:tcPr>
            <w:tcW w:w="815" w:type="dxa"/>
            <w:tcBorders>
              <w:top w:val="single" w:color="auto" w:sz="4" w:space="0"/>
              <w:left w:val="single" w:color="auto" w:sz="4" w:space="0"/>
              <w:bottom w:val="single" w:color="auto" w:sz="4" w:space="0"/>
              <w:right w:val="single" w:color="auto" w:sz="4" w:space="0"/>
            </w:tcBorders>
            <w:shd w:val="clear" w:color="auto" w:fill="FFFFFF"/>
          </w:tcPr>
          <w:p w14:paraId="06F97188">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bottom w:val="single" w:color="auto" w:sz="4" w:space="0"/>
            </w:tcBorders>
            <w:shd w:val="clear" w:color="auto" w:fill="FFFFFF"/>
            <w:vAlign w:val="center"/>
          </w:tcPr>
          <w:p w14:paraId="6851E305">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14:paraId="5D1A0260">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D368DA0">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14:paraId="7376D4DC">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14:paraId="3A38566C">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14:paraId="59FDBC96">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bottom w:val="single" w:color="auto" w:sz="4" w:space="0"/>
            </w:tcBorders>
            <w:shd w:val="clear" w:color="auto" w:fill="FFFFFF"/>
            <w:vAlign w:val="center"/>
          </w:tcPr>
          <w:p w14:paraId="58CC2AED">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tcBorders>
            <w:shd w:val="clear" w:color="auto" w:fill="FFFFFF"/>
            <w:vAlign w:val="center"/>
          </w:tcPr>
          <w:p w14:paraId="7322F428">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right w:val="single" w:color="auto" w:sz="4" w:space="0"/>
            </w:tcBorders>
            <w:shd w:val="clear" w:color="auto" w:fill="FFFFFF"/>
          </w:tcPr>
          <w:p w14:paraId="171CC0C3">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bottom w:val="single" w:color="auto" w:sz="4" w:space="0"/>
            </w:tcBorders>
            <w:shd w:val="clear" w:color="auto" w:fill="FFFFFF"/>
            <w:vAlign w:val="center"/>
          </w:tcPr>
          <w:p w14:paraId="547BBEA1">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14:paraId="0025D0C1">
            <w:pPr>
              <w:jc w:val="center"/>
              <w:rPr>
                <w:rFonts w:ascii="华文楷体" w:hAnsi="华文楷体" w:eastAsia="华文楷体" w:cs="华文楷体"/>
                <w:b/>
                <w:bCs/>
                <w:color w:val="auto"/>
                <w:kern w:val="44"/>
                <w:sz w:val="15"/>
                <w:szCs w:val="10"/>
              </w:rPr>
            </w:pPr>
          </w:p>
        </w:tc>
      </w:tr>
      <w:tr w14:paraId="42ACF3C6">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14:paraId="161AE6AA">
            <w:pPr>
              <w:pStyle w:val="18"/>
              <w:spacing w:line="240" w:lineRule="auto"/>
              <w:ind w:firstLine="0"/>
              <w:jc w:val="center"/>
              <w:rPr>
                <w:rFonts w:ascii="华文楷体" w:hAnsi="华文楷体" w:eastAsia="华文楷体" w:cs="华文楷体"/>
                <w:b/>
                <w:bCs/>
                <w:color w:val="auto"/>
                <w:kern w:val="44"/>
                <w:sz w:val="22"/>
                <w:szCs w:val="18"/>
                <w:lang w:eastAsia="zh-CN"/>
              </w:rPr>
            </w:pPr>
          </w:p>
        </w:tc>
        <w:tc>
          <w:tcPr>
            <w:tcW w:w="815" w:type="dxa"/>
            <w:tcBorders>
              <w:top w:val="single" w:color="auto" w:sz="4" w:space="0"/>
              <w:left w:val="single" w:color="auto" w:sz="4" w:space="0"/>
              <w:bottom w:val="single" w:color="auto" w:sz="4" w:space="0"/>
              <w:right w:val="single" w:color="auto" w:sz="4" w:space="0"/>
            </w:tcBorders>
            <w:shd w:val="clear" w:color="auto" w:fill="FFFFFF"/>
          </w:tcPr>
          <w:p w14:paraId="56E0B248">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bottom w:val="single" w:color="auto" w:sz="4" w:space="0"/>
            </w:tcBorders>
            <w:shd w:val="clear" w:color="auto" w:fill="FFFFFF"/>
            <w:vAlign w:val="center"/>
          </w:tcPr>
          <w:p w14:paraId="464E0D12">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14:paraId="71D7D328">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C476789">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14:paraId="365E1356">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14:paraId="2AA6EE17">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14:paraId="0FEB78C9">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bottom w:val="single" w:color="auto" w:sz="4" w:space="0"/>
            </w:tcBorders>
            <w:shd w:val="clear" w:color="auto" w:fill="FFFFFF"/>
            <w:vAlign w:val="center"/>
          </w:tcPr>
          <w:p w14:paraId="19A8512E">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tcBorders>
            <w:shd w:val="clear" w:color="auto" w:fill="FFFFFF"/>
            <w:vAlign w:val="center"/>
          </w:tcPr>
          <w:p w14:paraId="1694E784">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right w:val="single" w:color="auto" w:sz="4" w:space="0"/>
            </w:tcBorders>
            <w:shd w:val="clear" w:color="auto" w:fill="FFFFFF"/>
          </w:tcPr>
          <w:p w14:paraId="2D1CE6A5">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bottom w:val="single" w:color="auto" w:sz="4" w:space="0"/>
            </w:tcBorders>
            <w:shd w:val="clear" w:color="auto" w:fill="FFFFFF"/>
            <w:vAlign w:val="center"/>
          </w:tcPr>
          <w:p w14:paraId="14C643D5">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14:paraId="164EFBDA">
            <w:pPr>
              <w:jc w:val="center"/>
              <w:rPr>
                <w:rFonts w:ascii="华文楷体" w:hAnsi="华文楷体" w:eastAsia="华文楷体" w:cs="华文楷体"/>
                <w:b/>
                <w:bCs/>
                <w:color w:val="auto"/>
                <w:kern w:val="44"/>
                <w:sz w:val="15"/>
                <w:szCs w:val="10"/>
              </w:rPr>
            </w:pPr>
          </w:p>
        </w:tc>
      </w:tr>
      <w:tr w14:paraId="4B037865">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14:paraId="0A2F0D5F">
            <w:pPr>
              <w:pStyle w:val="18"/>
              <w:spacing w:line="240" w:lineRule="auto"/>
              <w:ind w:firstLine="0"/>
              <w:jc w:val="center"/>
              <w:rPr>
                <w:rFonts w:ascii="华文楷体" w:hAnsi="华文楷体" w:eastAsia="华文楷体" w:cs="华文楷体"/>
                <w:b/>
                <w:bCs/>
                <w:color w:val="auto"/>
                <w:kern w:val="44"/>
                <w:sz w:val="22"/>
                <w:szCs w:val="18"/>
                <w:lang w:eastAsia="zh-CN"/>
              </w:rPr>
            </w:pPr>
          </w:p>
        </w:tc>
        <w:tc>
          <w:tcPr>
            <w:tcW w:w="815" w:type="dxa"/>
            <w:tcBorders>
              <w:top w:val="single" w:color="auto" w:sz="4" w:space="0"/>
              <w:left w:val="single" w:color="auto" w:sz="4" w:space="0"/>
              <w:bottom w:val="single" w:color="auto" w:sz="4" w:space="0"/>
              <w:right w:val="single" w:color="auto" w:sz="4" w:space="0"/>
            </w:tcBorders>
            <w:shd w:val="clear" w:color="auto" w:fill="FFFFFF"/>
          </w:tcPr>
          <w:p w14:paraId="007BC64B">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bottom w:val="single" w:color="auto" w:sz="4" w:space="0"/>
            </w:tcBorders>
            <w:shd w:val="clear" w:color="auto" w:fill="FFFFFF"/>
            <w:vAlign w:val="center"/>
          </w:tcPr>
          <w:p w14:paraId="6177745D">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14:paraId="2AAAB14B">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89CF36B">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14:paraId="623CF083">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14:paraId="4DAD5E52">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14:paraId="4B1A2D3F">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bottom w:val="single" w:color="auto" w:sz="4" w:space="0"/>
            </w:tcBorders>
            <w:shd w:val="clear" w:color="auto" w:fill="FFFFFF"/>
            <w:vAlign w:val="center"/>
          </w:tcPr>
          <w:p w14:paraId="66B6C8CA">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tcBorders>
            <w:shd w:val="clear" w:color="auto" w:fill="FFFFFF"/>
            <w:vAlign w:val="center"/>
          </w:tcPr>
          <w:p w14:paraId="03F5B2B5">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right w:val="single" w:color="auto" w:sz="4" w:space="0"/>
            </w:tcBorders>
            <w:shd w:val="clear" w:color="auto" w:fill="FFFFFF"/>
          </w:tcPr>
          <w:p w14:paraId="551114F4">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bottom w:val="single" w:color="auto" w:sz="4" w:space="0"/>
            </w:tcBorders>
            <w:shd w:val="clear" w:color="auto" w:fill="FFFFFF"/>
            <w:vAlign w:val="center"/>
          </w:tcPr>
          <w:p w14:paraId="3287EF40">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14:paraId="49722A7C">
            <w:pPr>
              <w:jc w:val="center"/>
              <w:rPr>
                <w:rFonts w:ascii="华文楷体" w:hAnsi="华文楷体" w:eastAsia="华文楷体" w:cs="华文楷体"/>
                <w:b/>
                <w:bCs/>
                <w:color w:val="auto"/>
                <w:kern w:val="44"/>
                <w:sz w:val="15"/>
                <w:szCs w:val="10"/>
              </w:rPr>
            </w:pPr>
          </w:p>
        </w:tc>
      </w:tr>
    </w:tbl>
    <w:p w14:paraId="0A3B9D6D">
      <w:pPr>
        <w:pStyle w:val="17"/>
        <w:spacing w:after="0" w:line="520" w:lineRule="exact"/>
        <w:ind w:firstLine="420" w:firstLineChars="15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（二）入股土地上的附属建筑和资产情况现状描述：</w:t>
      </w:r>
      <w:r>
        <w:rPr>
          <w:rFonts w:ascii="仿宋_GB2312" w:eastAsia="仿宋_GB2312" w:cs="方正仿宋_GBK"/>
          <w:color w:val="auto"/>
          <w:sz w:val="28"/>
          <w:szCs w:val="28"/>
          <w:lang w:eastAsia="zh-CN" w:bidi="ar-SA"/>
        </w:rPr>
        <w:t xml:space="preserve"> </w:t>
      </w:r>
    </w:p>
    <w:p w14:paraId="62B9DBCB">
      <w:pPr>
        <w:pStyle w:val="17"/>
        <w:spacing w:after="0" w:line="520" w:lineRule="exact"/>
        <w:ind w:firstLine="560" w:firstLineChars="200"/>
        <w:jc w:val="both"/>
        <w:rPr>
          <w:rFonts w:ascii="仿宋_GB2312" w:eastAsia="PMingLiU" w:cs="方正仿宋_GBK"/>
          <w:color w:val="auto"/>
          <w:sz w:val="28"/>
          <w:szCs w:val="28"/>
          <w:u w:val="single"/>
          <w:lang w:bidi="ar-SA"/>
        </w:rPr>
      </w:pP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p>
    <w:p w14:paraId="66BCDFC5">
      <w:pPr>
        <w:pStyle w:val="17"/>
        <w:spacing w:after="0" w:line="520" w:lineRule="exact"/>
        <w:ind w:firstLine="560" w:firstLineChars="200"/>
        <w:jc w:val="both"/>
        <w:rPr>
          <w:rFonts w:ascii="仿宋_GB2312" w:eastAsia="仿宋_GB2312" w:cs="方正仿宋_GBK"/>
          <w:color w:val="auto"/>
          <w:sz w:val="28"/>
          <w:szCs w:val="28"/>
          <w:u w:val="single"/>
          <w:lang w:eastAsia="zh-CN" w:bidi="ar-SA"/>
        </w:rPr>
      </w:pP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7F823E1B">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 xml:space="preserve">入股土地上的附属建筑和资产的处置方式描述（可另附件）： </w:t>
      </w:r>
    </w:p>
    <w:p w14:paraId="3A3EE67E">
      <w:pPr>
        <w:pStyle w:val="17"/>
        <w:spacing w:after="0" w:line="520" w:lineRule="exact"/>
        <w:ind w:firstLine="560" w:firstLineChars="200"/>
        <w:jc w:val="both"/>
        <w:rPr>
          <w:rFonts w:ascii="仿宋_GB2312" w:eastAsia="仿宋_GB2312" w:cs="方正仿宋_GBK"/>
          <w:color w:val="auto"/>
          <w:sz w:val="28"/>
          <w:szCs w:val="28"/>
          <w:u w:val="single"/>
          <w:lang w:eastAsia="zh-CN" w:bidi="ar-SA"/>
        </w:rPr>
      </w:pP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p>
    <w:p w14:paraId="39B22AFA">
      <w:pPr>
        <w:pStyle w:val="17"/>
        <w:spacing w:after="0" w:line="520" w:lineRule="exact"/>
        <w:ind w:firstLine="560" w:firstLineChars="200"/>
        <w:jc w:val="both"/>
        <w:rPr>
          <w:rFonts w:ascii="仿宋_GB2312" w:cs="方正仿宋_GBK" w:eastAsiaTheme="minorEastAsia"/>
          <w:color w:val="auto"/>
          <w:sz w:val="28"/>
          <w:szCs w:val="28"/>
          <w:u w:val="single"/>
          <w:lang w:eastAsia="zh-CN" w:bidi="ar-SA"/>
        </w:rPr>
      </w:pP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40290421">
      <w:pPr>
        <w:pStyle w:val="17"/>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三</w:t>
      </w:r>
      <w:r>
        <w:rPr>
          <w:rFonts w:hint="eastAsia" w:ascii="黑体" w:hAnsi="黑体" w:eastAsia="黑体" w:cs="华文黑体"/>
          <w:bCs/>
          <w:color w:val="auto"/>
          <w:sz w:val="28"/>
          <w:szCs w:val="28"/>
        </w:rPr>
        <w:t>、入股</w:t>
      </w:r>
      <w:r>
        <w:rPr>
          <w:rFonts w:hint="eastAsia" w:ascii="黑体" w:hAnsi="黑体" w:eastAsia="黑体" w:cs="华文黑体"/>
          <w:bCs/>
          <w:color w:val="auto"/>
          <w:sz w:val="28"/>
          <w:szCs w:val="28"/>
          <w:lang w:eastAsia="zh-CN"/>
        </w:rPr>
        <w:t>土地</w:t>
      </w:r>
      <w:r>
        <w:rPr>
          <w:rFonts w:hint="eastAsia" w:ascii="黑体" w:hAnsi="黑体" w:eastAsia="黑体" w:cs="华文黑体"/>
          <w:bCs/>
          <w:color w:val="auto"/>
          <w:sz w:val="28"/>
          <w:szCs w:val="28"/>
        </w:rPr>
        <w:t>用途</w:t>
      </w:r>
    </w:p>
    <w:p w14:paraId="013967C2">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入股土地用途为</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w:t>
      </w:r>
    </w:p>
    <w:p w14:paraId="5D67BF02">
      <w:pPr>
        <w:pStyle w:val="17"/>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rPr>
        <w:t>四、入股期限</w:t>
      </w:r>
    </w:p>
    <w:p w14:paraId="5EF5473B">
      <w:pPr>
        <w:pStyle w:val="17"/>
        <w:spacing w:after="0" w:line="520" w:lineRule="exact"/>
        <w:ind w:firstLine="560" w:firstLineChars="200"/>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入股期限自</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年</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月</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日起至</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年</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月</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日止</w:t>
      </w:r>
      <w:r>
        <w:rPr>
          <w:rFonts w:ascii="仿宋_GB2312" w:eastAsia="仿宋_GB2312" w:cs="方正仿宋_GBK"/>
          <w:color w:val="auto"/>
          <w:sz w:val="28"/>
          <w:szCs w:val="28"/>
          <w:lang w:bidi="ar-SA"/>
        </w:rPr>
        <w:t>。</w:t>
      </w:r>
    </w:p>
    <w:p w14:paraId="4F216BEF">
      <w:pPr>
        <w:pStyle w:val="17"/>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rPr>
        <w:t>五、入股土地交付时间</w:t>
      </w:r>
    </w:p>
    <w:p w14:paraId="603A27BD">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甲方应于</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val="en-US" w:eastAsia="zh-CN" w:bidi="ar-SA"/>
        </w:rPr>
        <w:t xml:space="preserve"> </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日</w:t>
      </w:r>
      <w:r>
        <w:rPr>
          <w:rFonts w:hint="eastAsia" w:ascii="仿宋_GB2312" w:eastAsia="仿宋_GB2312" w:cs="方正仿宋_GBK"/>
          <w:color w:val="auto"/>
          <w:sz w:val="28"/>
          <w:szCs w:val="28"/>
          <w:lang w:eastAsia="zh-CN" w:bidi="ar-SA"/>
        </w:rPr>
        <w:t>前完成土地交付</w:t>
      </w:r>
      <w:r>
        <w:rPr>
          <w:rFonts w:ascii="仿宋_GB2312" w:eastAsia="仿宋_GB2312" w:cs="方正仿宋_GBK"/>
          <w:color w:val="auto"/>
          <w:sz w:val="28"/>
          <w:szCs w:val="28"/>
          <w:lang w:eastAsia="zh-CN" w:bidi="ar-SA"/>
        </w:rPr>
        <w:t>。</w:t>
      </w:r>
    </w:p>
    <w:p w14:paraId="11B5CBE4">
      <w:pPr>
        <w:pStyle w:val="17"/>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六、股份分红及支付方式</w:t>
      </w:r>
    </w:p>
    <w:p w14:paraId="58E812BE">
      <w:pPr>
        <w:pStyle w:val="16"/>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（一）股份分红标准</w:t>
      </w:r>
    </w:p>
    <w:p w14:paraId="6D52A8DB">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bidi="ar-SA"/>
        </w:rPr>
        <w:t>双方当事人约定</w:t>
      </w:r>
      <w:r>
        <w:rPr>
          <w:rFonts w:ascii="仿宋_GB2312" w:eastAsia="仿宋_GB2312" w:cs="方正仿宋_GBK"/>
          <w:color w:val="auto"/>
          <w:sz w:val="28"/>
          <w:szCs w:val="28"/>
          <w:lang w:bidi="ar-SA"/>
        </w:rPr>
        <w:t>入股土地</w:t>
      </w:r>
      <w:r>
        <w:rPr>
          <w:rFonts w:hint="eastAsia" w:ascii="仿宋_GB2312" w:eastAsia="仿宋_GB2312" w:cs="方正仿宋_GBK"/>
          <w:color w:val="auto"/>
          <w:sz w:val="28"/>
          <w:szCs w:val="28"/>
          <w:lang w:bidi="ar-SA"/>
        </w:rPr>
        <w:t>所占的</w:t>
      </w:r>
      <w:r>
        <w:rPr>
          <w:rFonts w:hint="eastAsia" w:ascii="仿宋_GB2312" w:eastAsia="仿宋_GB2312" w:cs="方正仿宋_GBK"/>
          <w:color w:val="auto"/>
          <w:sz w:val="28"/>
          <w:szCs w:val="28"/>
          <w:lang w:eastAsia="zh-CN" w:bidi="ar-SA"/>
        </w:rPr>
        <w:t>□出资额</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(大写：</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)□股份数</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(大写：</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w:t>
      </w:r>
      <w:r>
        <w:rPr>
          <w:rFonts w:ascii="仿宋_GB2312" w:eastAsia="PMingLiU" w:cs="方正仿宋_GBK"/>
          <w:color w:val="auto"/>
          <w:sz w:val="28"/>
          <w:szCs w:val="28"/>
          <w:lang w:bidi="ar-SA"/>
        </w:rPr>
        <w:t xml:space="preserve"> </w:t>
      </w: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w:t>
      </w:r>
    </w:p>
    <w:p w14:paraId="33450183">
      <w:pPr>
        <w:pStyle w:val="17"/>
        <w:spacing w:after="0" w:line="520" w:lineRule="exact"/>
        <w:ind w:firstLine="560" w:firstLineChars="200"/>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双方当事人选择第</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种股份分红标准。</w:t>
      </w:r>
    </w:p>
    <w:p w14:paraId="5B13B7FF">
      <w:pPr>
        <w:pStyle w:val="17"/>
        <w:tabs>
          <w:tab w:val="left" w:pos="312"/>
        </w:tabs>
        <w:spacing w:after="0" w:line="520" w:lineRule="exact"/>
        <w:ind w:left="640" w:firstLine="56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1.</w:t>
      </w:r>
      <w:r>
        <w:rPr>
          <w:rFonts w:hint="eastAsia" w:ascii="仿宋_GB2312" w:eastAsia="仿宋_GB2312" w:cs="方正仿宋_GBK"/>
          <w:color w:val="auto"/>
          <w:sz w:val="28"/>
          <w:szCs w:val="28"/>
          <w:lang w:eastAsia="zh-CN" w:bidi="ar-SA"/>
        </w:rPr>
        <w:t>按股分红。即根据□出资额</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□股份数</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p>
    <w:p w14:paraId="1BDCEC8E">
      <w:pPr>
        <w:pStyle w:val="17"/>
        <w:numPr>
          <w:ilvl w:val="255"/>
          <w:numId w:val="0"/>
        </w:numPr>
        <w:spacing w:after="0" w:line="520" w:lineRule="exact"/>
        <w:ind w:firstLine="560"/>
        <w:jc w:val="both"/>
        <w:rPr>
          <w:rFonts w:ascii="仿宋_GB2312" w:eastAsia="PMingLiU" w:cs="方正仿宋_GBK"/>
          <w:color w:val="auto"/>
          <w:sz w:val="28"/>
          <w:szCs w:val="28"/>
          <w:lang w:bidi="ar-SA"/>
        </w:rPr>
      </w:pP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分配盈余或者利润。</w:t>
      </w:r>
    </w:p>
    <w:p w14:paraId="136663B4">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2.</w:t>
      </w:r>
      <w:r>
        <w:rPr>
          <w:rFonts w:hint="eastAsia" w:ascii="仿宋_GB2312" w:eastAsia="仿宋_GB2312" w:cs="方正仿宋_GBK"/>
          <w:color w:val="auto"/>
          <w:sz w:val="28"/>
          <w:szCs w:val="28"/>
          <w:lang w:eastAsia="zh-CN" w:bidi="ar-SA"/>
        </w:rPr>
        <w:t>保底收益+按股分红。保底收益每亩每年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元(大写：</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)，每</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年调整一次保底收益。具体调整方式：</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66712BAF">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按股分红根据□出资额</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□股份数</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分配盈余或者利润。</w:t>
      </w:r>
    </w:p>
    <w:p w14:paraId="209C78F6">
      <w:pPr>
        <w:pStyle w:val="17"/>
        <w:spacing w:after="0" w:line="520" w:lineRule="exact"/>
        <w:ind w:firstLine="560" w:firstLineChars="200"/>
        <w:jc w:val="both"/>
        <w:rPr>
          <w:rFonts w:ascii="仿宋_GB2312" w:eastAsia="仿宋_GB2312" w:cs="方正仿宋_GBK"/>
          <w:color w:val="auto"/>
          <w:sz w:val="28"/>
          <w:szCs w:val="28"/>
          <w:lang w:bidi="ar-SA"/>
        </w:rPr>
      </w:pPr>
      <w:r>
        <w:rPr>
          <w:rFonts w:ascii="仿宋_GB2312" w:eastAsia="仿宋_GB2312" w:cs="方正仿宋_GBK"/>
          <w:color w:val="auto"/>
          <w:sz w:val="28"/>
          <w:szCs w:val="28"/>
          <w:lang w:bidi="ar-SA"/>
        </w:rPr>
        <w:t>3</w:t>
      </w:r>
      <w:r>
        <w:rPr>
          <w:rFonts w:ascii="仿宋_GB2312" w:eastAsia="PMingLiU" w:cs="方正仿宋_GBK"/>
          <w:color w:val="auto"/>
          <w:sz w:val="28"/>
          <w:szCs w:val="28"/>
          <w:lang w:bidi="ar-SA"/>
        </w:rPr>
        <w:t>.</w:t>
      </w:r>
      <w:r>
        <w:rPr>
          <w:rFonts w:hint="eastAsia" w:ascii="仿宋_GB2312" w:eastAsia="仿宋_GB2312" w:cs="方正仿宋_GBK"/>
          <w:color w:val="auto"/>
          <w:sz w:val="28"/>
          <w:szCs w:val="28"/>
          <w:lang w:bidi="ar-SA"/>
        </w:rPr>
        <w:t>其</w:t>
      </w:r>
      <w:r>
        <w:rPr>
          <w:rFonts w:hint="eastAsia" w:ascii="仿宋_GB2312" w:eastAsia="仿宋_GB2312" w:cs="方正仿宋_GBK"/>
          <w:color w:val="auto"/>
          <w:sz w:val="28"/>
          <w:szCs w:val="28"/>
          <w:lang w:eastAsia="zh-CN" w:bidi="ar-SA"/>
        </w:rPr>
        <w:t>他：</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bidi="ar-SA"/>
        </w:rPr>
        <w:t>。</w:t>
      </w:r>
    </w:p>
    <w:p w14:paraId="22F15BCC">
      <w:pPr>
        <w:pStyle w:val="16"/>
        <w:spacing w:line="520" w:lineRule="exact"/>
        <w:ind w:firstLine="560" w:firstLineChars="200"/>
        <w:jc w:val="both"/>
        <w:rPr>
          <w:rFonts w:ascii="仿宋_GB2312" w:hAnsi="华文楷体" w:eastAsia="仿宋_GB2312" w:cs="华文楷体"/>
          <w:bCs/>
          <w:color w:val="auto"/>
          <w:sz w:val="28"/>
          <w:szCs w:val="28"/>
          <w:lang w:val="en-US" w:bidi="en-US"/>
        </w:rPr>
      </w:pPr>
      <w:r>
        <w:rPr>
          <w:rFonts w:hint="eastAsia" w:ascii="仿宋_GB2312" w:hAnsi="华文楷体" w:eastAsia="仿宋_GB2312" w:cs="华文楷体"/>
          <w:bCs/>
          <w:color w:val="auto"/>
          <w:sz w:val="28"/>
          <w:szCs w:val="28"/>
          <w:lang w:val="en-US" w:bidi="en-US"/>
        </w:rPr>
        <w:t>（二）股份分红支付</w:t>
      </w:r>
    </w:p>
    <w:p w14:paraId="32405990">
      <w:pPr>
        <w:pStyle w:val="17"/>
        <w:spacing w:after="0" w:line="520" w:lineRule="exact"/>
        <w:ind w:left="638"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双方当事人选择第</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种方式支付股份分红。</w:t>
      </w:r>
    </w:p>
    <w:p w14:paraId="738EDC57">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1.</w:t>
      </w:r>
      <w:r>
        <w:rPr>
          <w:rFonts w:hint="eastAsia" w:ascii="仿宋_GB2312" w:eastAsia="仿宋_GB2312" w:cs="方正仿宋_GBK"/>
          <w:color w:val="auto"/>
          <w:sz w:val="28"/>
          <w:szCs w:val="28"/>
          <w:lang w:eastAsia="zh-CN" w:bidi="ar-SA"/>
        </w:rPr>
        <w:t>按股分红。乙方须于每年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日前分配（□前一</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□当）年盈余或者利润。</w:t>
      </w:r>
    </w:p>
    <w:p w14:paraId="5ECF9D7D">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2</w:t>
      </w:r>
      <w:r>
        <w:rPr>
          <w:rFonts w:hint="eastAsia" w:ascii="仿宋_GB2312" w:eastAsia="仿宋_GB2312" w:cs="方正仿宋_GBK"/>
          <w:color w:val="auto"/>
          <w:sz w:val="28"/>
          <w:szCs w:val="28"/>
          <w:lang w:eastAsia="zh-CN" w:bidi="ar-SA"/>
        </w:rPr>
        <w:t>.保底收益＋按股分红</w:t>
      </w:r>
      <w:r>
        <w:rPr>
          <w:rFonts w:hint="eastAsia" w:cs="方正仿宋_GBK" w:asciiTheme="minorEastAsia" w:hAnsiTheme="minorEastAsia" w:eastAsiaTheme="minorEastAsia"/>
          <w:color w:val="auto"/>
          <w:sz w:val="28"/>
          <w:szCs w:val="28"/>
          <w:lang w:bidi="ar-SA"/>
        </w:rPr>
        <w:t>。</w:t>
      </w:r>
      <w:r>
        <w:rPr>
          <w:rFonts w:hint="eastAsia" w:ascii="仿宋_GB2312" w:eastAsia="仿宋_GB2312" w:cs="方正仿宋_GBK"/>
          <w:color w:val="auto"/>
          <w:sz w:val="28"/>
          <w:szCs w:val="28"/>
          <w:lang w:eastAsia="zh-CN" w:bidi="ar-SA"/>
        </w:rPr>
        <w:t>乙方须于每年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日前支付（□当</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□后一）年保底收益</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元(大写：</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)。乙方须于每年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p>
    <w:p w14:paraId="2FA8375F">
      <w:pPr>
        <w:pStyle w:val="17"/>
        <w:spacing w:after="0" w:line="520" w:lineRule="exact"/>
        <w:ind w:firstLine="560"/>
        <w:jc w:val="both"/>
        <w:rPr>
          <w:rFonts w:ascii="仿宋_GB2312" w:eastAsia="仿宋_GB2312" w:cs="方正仿宋_GBK"/>
          <w:color w:val="auto"/>
          <w:sz w:val="28"/>
          <w:szCs w:val="28"/>
          <w:lang w:val="en-US" w:eastAsia="zh-CN" w:bidi="ar-SA"/>
        </w:rPr>
      </w:pP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日前分配（□前一</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□当）年盈余或者利润。</w:t>
      </w:r>
    </w:p>
    <w:p w14:paraId="22217297">
      <w:pPr>
        <w:pStyle w:val="17"/>
        <w:spacing w:after="0" w:line="520" w:lineRule="exact"/>
        <w:ind w:firstLine="560" w:firstLineChars="200"/>
        <w:jc w:val="both"/>
        <w:rPr>
          <w:rFonts w:ascii="仿宋_GB2312" w:eastAsia="仿宋_GB2312" w:cs="方正仿宋_GBK"/>
          <w:color w:val="auto"/>
          <w:sz w:val="28"/>
          <w:szCs w:val="28"/>
          <w:lang w:bidi="ar-SA"/>
        </w:rPr>
      </w:pPr>
      <w:r>
        <w:rPr>
          <w:rFonts w:ascii="仿宋_GB2312" w:eastAsia="PMingLiU" w:cs="方正仿宋_GBK"/>
          <w:color w:val="auto"/>
          <w:sz w:val="28"/>
          <w:szCs w:val="28"/>
          <w:lang w:bidi="ar-SA"/>
        </w:rPr>
        <w:t>3.</w:t>
      </w:r>
      <w:r>
        <w:rPr>
          <w:rFonts w:hint="eastAsia" w:ascii="仿宋_GB2312" w:eastAsia="仿宋_GB2312" w:cs="方正仿宋_GBK"/>
          <w:color w:val="auto"/>
          <w:sz w:val="28"/>
          <w:szCs w:val="28"/>
          <w:lang w:bidi="ar-SA"/>
        </w:rPr>
        <w:t>其他：</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bidi="ar-SA"/>
        </w:rPr>
        <w:t>。</w:t>
      </w:r>
    </w:p>
    <w:p w14:paraId="403C33C2">
      <w:pPr>
        <w:pStyle w:val="16"/>
        <w:spacing w:line="520" w:lineRule="exact"/>
        <w:ind w:firstLine="560" w:firstLineChars="200"/>
        <w:jc w:val="both"/>
        <w:rPr>
          <w:rFonts w:ascii="仿宋_GB2312" w:hAnsi="华文楷体" w:eastAsia="仿宋_GB2312" w:cs="华文楷体"/>
          <w:bCs/>
          <w:color w:val="auto"/>
          <w:sz w:val="28"/>
          <w:szCs w:val="28"/>
          <w:lang w:val="en-US" w:bidi="en-US"/>
        </w:rPr>
      </w:pPr>
      <w:r>
        <w:rPr>
          <w:rFonts w:hint="eastAsia" w:ascii="仿宋_GB2312" w:hAnsi="华文楷体" w:eastAsia="仿宋_GB2312" w:cs="华文楷体"/>
          <w:bCs/>
          <w:color w:val="auto"/>
          <w:sz w:val="28"/>
          <w:szCs w:val="28"/>
          <w:lang w:val="en-US" w:bidi="en-US"/>
        </w:rPr>
        <w:t>（三）付款方式</w:t>
      </w:r>
    </w:p>
    <w:p w14:paraId="7B0EC414">
      <w:pPr>
        <w:pStyle w:val="17"/>
        <w:spacing w:after="0" w:line="520" w:lineRule="exact"/>
        <w:ind w:left="638"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双方当事人选择第</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种付款方式。</w:t>
      </w:r>
    </w:p>
    <w:p w14:paraId="54E9A48B">
      <w:pPr>
        <w:pStyle w:val="17"/>
        <w:spacing w:after="0" w:line="520" w:lineRule="exact"/>
        <w:ind w:left="638"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1.现金</w:t>
      </w:r>
    </w:p>
    <w:p w14:paraId="5909ACB3">
      <w:pPr>
        <w:pStyle w:val="17"/>
        <w:spacing w:after="0" w:line="520" w:lineRule="exact"/>
        <w:ind w:left="638"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2.银行汇款</w:t>
      </w:r>
    </w:p>
    <w:p w14:paraId="46C44478">
      <w:pPr>
        <w:pStyle w:val="17"/>
        <w:spacing w:after="0" w:line="520" w:lineRule="exact"/>
        <w:ind w:firstLine="560" w:firstLineChars="200"/>
        <w:jc w:val="both"/>
        <w:rPr>
          <w:rFonts w:ascii="仿宋_GB2312" w:eastAsia="仿宋_GB2312" w:cs="方正仿宋_GBK"/>
          <w:color w:val="auto"/>
          <w:sz w:val="28"/>
          <w:szCs w:val="28"/>
          <w:lang w:val="en-US" w:eastAsia="zh-CN" w:bidi="ar-SA"/>
        </w:rPr>
      </w:pPr>
      <w:r>
        <w:rPr>
          <w:rFonts w:hint="eastAsia" w:ascii="仿宋_GB2312" w:eastAsia="仿宋_GB2312" w:cs="方正仿宋_GBK"/>
          <w:color w:val="auto"/>
          <w:sz w:val="28"/>
          <w:szCs w:val="28"/>
          <w:lang w:bidi="ar-SA"/>
        </w:rPr>
        <w:t>甲方账户名称：</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p>
    <w:p w14:paraId="32165002">
      <w:pPr>
        <w:pStyle w:val="17"/>
        <w:spacing w:after="0" w:line="520" w:lineRule="exact"/>
        <w:ind w:firstLine="560" w:firstLineChars="200"/>
        <w:jc w:val="both"/>
        <w:rPr>
          <w:rFonts w:ascii="仿宋_GB2312" w:eastAsia="仿宋_GB2312" w:cs="方正仿宋_GBK"/>
          <w:color w:val="auto"/>
          <w:sz w:val="28"/>
          <w:szCs w:val="28"/>
          <w:lang w:val="en-US" w:eastAsia="zh-CN" w:bidi="ar-SA"/>
        </w:rPr>
      </w:pPr>
      <w:r>
        <w:rPr>
          <w:rFonts w:hint="eastAsia" w:ascii="仿宋_GB2312" w:eastAsia="仿宋_GB2312" w:cs="方正仿宋_GBK"/>
          <w:color w:val="auto"/>
          <w:sz w:val="28"/>
          <w:szCs w:val="28"/>
          <w:lang w:bidi="ar-SA"/>
        </w:rPr>
        <w:t>银行账号：</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p>
    <w:p w14:paraId="5E951402">
      <w:pPr>
        <w:pStyle w:val="17"/>
        <w:spacing w:after="0" w:line="520" w:lineRule="exact"/>
        <w:ind w:firstLine="560" w:firstLineChars="200"/>
        <w:jc w:val="both"/>
        <w:rPr>
          <w:rFonts w:ascii="仿宋_GB2312" w:eastAsia="仿宋_GB2312" w:cs="方正仿宋_GBK"/>
          <w:color w:val="auto"/>
          <w:sz w:val="28"/>
          <w:szCs w:val="28"/>
          <w:lang w:val="en-US" w:eastAsia="zh-CN" w:bidi="ar-SA"/>
        </w:rPr>
      </w:pPr>
      <w:r>
        <w:rPr>
          <w:rFonts w:hint="eastAsia" w:ascii="仿宋_GB2312" w:eastAsia="仿宋_GB2312" w:cs="方正仿宋_GBK"/>
          <w:color w:val="auto"/>
          <w:sz w:val="28"/>
          <w:szCs w:val="28"/>
          <w:lang w:bidi="ar-SA"/>
        </w:rPr>
        <w:t>开户行：</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p>
    <w:p w14:paraId="2F1DF94C">
      <w:pPr>
        <w:pStyle w:val="17"/>
        <w:spacing w:after="0" w:line="520" w:lineRule="exact"/>
        <w:ind w:left="638" w:leftChars="266"/>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bidi="ar-SA"/>
        </w:rPr>
        <w:t>3.其他：</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bidi="ar-SA"/>
        </w:rPr>
        <w:t>。</w:t>
      </w:r>
    </w:p>
    <w:p w14:paraId="566FAFB6">
      <w:pPr>
        <w:pStyle w:val="17"/>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七</w:t>
      </w:r>
      <w:r>
        <w:rPr>
          <w:rFonts w:hint="eastAsia" w:ascii="黑体" w:hAnsi="黑体" w:eastAsia="黑体" w:cs="华文黑体"/>
          <w:bCs/>
          <w:color w:val="auto"/>
          <w:sz w:val="28"/>
          <w:szCs w:val="28"/>
        </w:rPr>
        <w:t>、甲方的权利和义务</w:t>
      </w:r>
    </w:p>
    <w:p w14:paraId="5478C0A2">
      <w:pPr>
        <w:pStyle w:val="16"/>
        <w:spacing w:line="520" w:lineRule="exact"/>
        <w:ind w:firstLine="560" w:firstLineChars="200"/>
        <w:jc w:val="both"/>
        <w:rPr>
          <w:rFonts w:ascii="仿宋_GB2312" w:hAnsi="华文楷体" w:eastAsia="仿宋_GB2312" w:cs="华文楷体"/>
          <w:bCs/>
          <w:color w:val="auto"/>
          <w:sz w:val="28"/>
          <w:szCs w:val="28"/>
        </w:rPr>
      </w:pP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lang w:eastAsia="zh-CN" w:bidi="en-US"/>
        </w:rPr>
        <w:t>一</w:t>
      </w: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rPr>
        <w:t>甲方的权利</w:t>
      </w:r>
    </w:p>
    <w:p w14:paraId="301934F0">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1.要求乙方按合同约定支付股份分红；</w:t>
      </w:r>
    </w:p>
    <w:p w14:paraId="33C31C28">
      <w:pPr>
        <w:pStyle w:val="17"/>
        <w:spacing w:after="0" w:line="520" w:lineRule="exact"/>
        <w:ind w:firstLine="560" w:firstLineChars="200"/>
        <w:jc w:val="both"/>
        <w:rPr>
          <w:rFonts w:ascii="仿宋_GB2312" w:eastAsia="PMingLiU" w:cs="方正仿宋_GBK"/>
          <w:color w:val="FF0000"/>
          <w:sz w:val="28"/>
          <w:szCs w:val="28"/>
          <w:lang w:bidi="ar-SA"/>
        </w:rPr>
      </w:pPr>
      <w:r>
        <w:rPr>
          <w:rFonts w:hint="eastAsia" w:ascii="仿宋_GB2312" w:eastAsia="仿宋_GB2312" w:cs="方正仿宋_GBK"/>
          <w:color w:val="auto"/>
          <w:sz w:val="28"/>
          <w:szCs w:val="28"/>
          <w:lang w:eastAsia="zh-CN" w:bidi="ar-SA"/>
        </w:rPr>
        <w:t>2.按照合同约定和乙方章程规定行使成员或者股东权利；</w:t>
      </w:r>
    </w:p>
    <w:p w14:paraId="2268F8FD">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3.监督乙方按合同约定的用途依法合理利用和保护入股土地；</w:t>
      </w:r>
    </w:p>
    <w:p w14:paraId="4C7AFF4A">
      <w:pPr>
        <w:pStyle w:val="17"/>
        <w:spacing w:after="0" w:line="520" w:lineRule="exact"/>
        <w:ind w:firstLine="560" w:firstLineChars="200"/>
        <w:jc w:val="both"/>
        <w:rPr>
          <w:rFonts w:ascii="仿宋_GB2312" w:eastAsia="仿宋_GB2312" w:cs="方正仿宋_GBK"/>
          <w:color w:val="auto"/>
          <w:sz w:val="28"/>
          <w:szCs w:val="28"/>
          <w:lang w:val="en-US" w:eastAsia="zh-CN" w:bidi="ar-SA"/>
        </w:rPr>
      </w:pPr>
      <w:r>
        <w:rPr>
          <w:rFonts w:ascii="仿宋_GB2312" w:eastAsia="仿宋_GB2312" w:cs="方正仿宋_GBK"/>
          <w:color w:val="auto"/>
          <w:sz w:val="28"/>
          <w:szCs w:val="28"/>
          <w:lang w:val="en-US" w:eastAsia="zh-CN" w:bidi="ar-SA"/>
        </w:rPr>
        <w:t>4.制止乙</w:t>
      </w:r>
      <w:r>
        <w:rPr>
          <w:rFonts w:hint="eastAsia" w:ascii="仿宋_GB2312" w:eastAsia="仿宋_GB2312" w:cs="方正仿宋_GBK"/>
          <w:color w:val="auto"/>
          <w:sz w:val="28"/>
          <w:szCs w:val="28"/>
          <w:lang w:val="en-US" w:eastAsia="zh-CN" w:bidi="ar-SA"/>
        </w:rPr>
        <w:t>方损害入股土地和农业资源的行为；</w:t>
      </w:r>
    </w:p>
    <w:p w14:paraId="20436463">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5.入股期限届满后收回土地经营权；</w:t>
      </w:r>
    </w:p>
    <w:p w14:paraId="225E1478">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6.其他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w:t>
      </w:r>
    </w:p>
    <w:p w14:paraId="1B1BB2DA">
      <w:pPr>
        <w:pStyle w:val="16"/>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（二）甲方的义务</w:t>
      </w:r>
    </w:p>
    <w:p w14:paraId="33AFE86C">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val="en-US" w:eastAsia="zh-CN" w:bidi="ar-SA"/>
        </w:rPr>
        <w:t>1.按照合同约定交付入股土地；</w:t>
      </w:r>
    </w:p>
    <w:p w14:paraId="50665440">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2.合同生效后</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日内依据《中华人民共和国农村土地承包法》第三十六条的规定向发包方备案；</w:t>
      </w:r>
    </w:p>
    <w:p w14:paraId="5C4CB836">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3.不得干涉和妨碍乙方依法进行的农业生产经营活动；</w:t>
      </w:r>
    </w:p>
    <w:p w14:paraId="63DBDFDC">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4.其他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w:t>
      </w:r>
    </w:p>
    <w:p w14:paraId="6ABECDE5">
      <w:pPr>
        <w:pStyle w:val="17"/>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八</w:t>
      </w:r>
      <w:r>
        <w:rPr>
          <w:rFonts w:hint="eastAsia" w:ascii="黑体" w:hAnsi="黑体" w:eastAsia="黑体" w:cs="华文黑体"/>
          <w:bCs/>
          <w:color w:val="auto"/>
          <w:sz w:val="28"/>
          <w:szCs w:val="28"/>
        </w:rPr>
        <w:t>、乙方的权利和义务</w:t>
      </w:r>
    </w:p>
    <w:p w14:paraId="4CA94BB3">
      <w:pPr>
        <w:pStyle w:val="16"/>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（一）乙方的权利</w:t>
      </w:r>
    </w:p>
    <w:p w14:paraId="696E40FA">
      <w:pPr>
        <w:pStyle w:val="17"/>
        <w:spacing w:after="0" w:line="520" w:lineRule="exact"/>
        <w:ind w:firstLine="560" w:firstLineChars="200"/>
        <w:jc w:val="both"/>
        <w:rPr>
          <w:rFonts w:ascii="仿宋_GB2312" w:eastAsia="PMingLiU" w:cs="方正仿宋_GBK"/>
          <w:color w:val="auto"/>
          <w:sz w:val="28"/>
          <w:szCs w:val="28"/>
          <w:lang w:bidi="ar-SA"/>
        </w:rPr>
      </w:pPr>
      <w:r>
        <w:rPr>
          <w:rFonts w:hint="eastAsia" w:ascii="仿宋_GB2312" w:eastAsia="仿宋_GB2312" w:cs="方正仿宋_GBK"/>
          <w:color w:val="auto"/>
          <w:sz w:val="28"/>
          <w:szCs w:val="28"/>
          <w:lang w:eastAsia="zh-CN" w:bidi="ar-SA"/>
        </w:rPr>
        <w:t>1.要求甲方按照合同约定交付入股土地；</w:t>
      </w:r>
    </w:p>
    <w:p w14:paraId="75957BE1">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2.在合同约定的期限内占有农村土地，自主开展农业生产经营并取得收益；</w:t>
      </w:r>
    </w:p>
    <w:p w14:paraId="488FD85F">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3.经甲方同意，乙方依法投资改良土壤，建设农业生产附属、配套设施，</w:t>
      </w:r>
      <w:bookmarkStart w:id="0" w:name="_Hlk79071719"/>
      <w:r>
        <w:rPr>
          <w:rFonts w:hint="eastAsia" w:ascii="仿宋_GB2312" w:eastAsia="仿宋_GB2312" w:cs="方正仿宋_GBK"/>
          <w:color w:val="auto"/>
          <w:sz w:val="28"/>
          <w:szCs w:val="28"/>
          <w:lang w:eastAsia="zh-CN" w:bidi="ar-SA"/>
        </w:rPr>
        <w:t>并有权按照合同约定对其投资部分获得合理补偿</w:t>
      </w:r>
      <w:bookmarkEnd w:id="0"/>
      <w:r>
        <w:rPr>
          <w:rFonts w:hint="eastAsia" w:ascii="仿宋_GB2312" w:eastAsia="仿宋_GB2312" w:cs="方正仿宋_GBK"/>
          <w:color w:val="auto"/>
          <w:sz w:val="28"/>
          <w:szCs w:val="28"/>
          <w:lang w:eastAsia="zh-CN" w:bidi="ar-SA"/>
        </w:rPr>
        <w:t>；</w:t>
      </w:r>
    </w:p>
    <w:p w14:paraId="49C2F944">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4</w:t>
      </w:r>
      <w:r>
        <w:rPr>
          <w:rFonts w:hint="eastAsia" w:ascii="仿宋_GB2312" w:eastAsia="仿宋_GB2312" w:cs="方正仿宋_GBK"/>
          <w:color w:val="auto"/>
          <w:sz w:val="28"/>
          <w:szCs w:val="28"/>
          <w:lang w:eastAsia="zh-CN" w:bidi="ar-SA"/>
        </w:rPr>
        <w:t>.入股期限届满，有权在同等条件下优先续约</w:t>
      </w:r>
      <w:r>
        <w:rPr>
          <w:rFonts w:ascii="仿宋_GB2312" w:eastAsia="仿宋_GB2312" w:cs="方正仿宋_GBK"/>
          <w:color w:val="auto"/>
          <w:sz w:val="28"/>
          <w:szCs w:val="28"/>
          <w:lang w:eastAsia="zh-CN" w:bidi="ar-SA"/>
        </w:rPr>
        <w:t>；</w:t>
      </w:r>
    </w:p>
    <w:p w14:paraId="4A127DAC">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5</w:t>
      </w:r>
      <w:r>
        <w:rPr>
          <w:rFonts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w:t>
      </w:r>
    </w:p>
    <w:p w14:paraId="41DCD36A">
      <w:pPr>
        <w:pStyle w:val="16"/>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（二）乙方的义务</w:t>
      </w:r>
    </w:p>
    <w:p w14:paraId="370C834B">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1.按照合同约定及时接受入股</w:t>
      </w:r>
      <w:r>
        <w:rPr>
          <w:rFonts w:ascii="仿宋_GB2312" w:eastAsia="仿宋_GB2312" w:cs="方正仿宋_GBK"/>
          <w:color w:val="auto"/>
          <w:sz w:val="28"/>
          <w:szCs w:val="28"/>
          <w:lang w:eastAsia="zh-CN" w:bidi="ar-SA"/>
        </w:rPr>
        <w:t>土地并</w:t>
      </w:r>
      <w:r>
        <w:rPr>
          <w:rFonts w:hint="eastAsia" w:ascii="仿宋_GB2312" w:eastAsia="仿宋_GB2312" w:cs="方正仿宋_GBK"/>
          <w:color w:val="auto"/>
          <w:sz w:val="28"/>
          <w:szCs w:val="28"/>
          <w:lang w:eastAsia="zh-CN" w:bidi="ar-SA"/>
        </w:rPr>
        <w:t>按照约定向</w:t>
      </w:r>
      <w:r>
        <w:rPr>
          <w:rFonts w:ascii="仿宋_GB2312" w:eastAsia="仿宋_GB2312" w:cs="方正仿宋_GBK"/>
          <w:color w:val="auto"/>
          <w:sz w:val="28"/>
          <w:szCs w:val="28"/>
          <w:lang w:eastAsia="zh-CN" w:bidi="ar-SA"/>
        </w:rPr>
        <w:t>甲方</w:t>
      </w:r>
      <w:r>
        <w:rPr>
          <w:rFonts w:hint="eastAsia" w:ascii="仿宋_GB2312" w:eastAsia="仿宋_GB2312" w:cs="方正仿宋_GBK"/>
          <w:color w:val="auto"/>
          <w:sz w:val="28"/>
          <w:szCs w:val="28"/>
          <w:lang w:eastAsia="zh-CN" w:bidi="ar-SA"/>
        </w:rPr>
        <w:t>支付股份分红；</w:t>
      </w:r>
    </w:p>
    <w:p w14:paraId="6C415669">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2.保障甲方按照合同约定和章程规定行使成员或者股东权利；</w:t>
      </w:r>
    </w:p>
    <w:p w14:paraId="4CB37640">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3</w:t>
      </w:r>
      <w:r>
        <w:rPr>
          <w:rFonts w:hint="eastAsia" w:ascii="仿宋_GB2312" w:eastAsia="仿宋_GB2312" w:cs="方正仿宋_GBK"/>
          <w:color w:val="auto"/>
          <w:sz w:val="28"/>
          <w:szCs w:val="28"/>
          <w:lang w:eastAsia="zh-CN" w:bidi="ar-SA"/>
        </w:rPr>
        <w:t>.在法律法规政策规定和合同约定允许范围内合理利用入股土地，确保农地农用，符合当地粮食生产等产业规划，不得弃耕抛荒，不得破坏农业综合生产能力和农业生态环境；</w:t>
      </w:r>
    </w:p>
    <w:p w14:paraId="5F0CFE50">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4</w:t>
      </w:r>
      <w:r>
        <w:rPr>
          <w:rFonts w:hint="eastAsia" w:ascii="仿宋_GB2312" w:eastAsia="仿宋_GB2312" w:cs="方正仿宋_GBK"/>
          <w:color w:val="auto"/>
          <w:sz w:val="28"/>
          <w:szCs w:val="28"/>
          <w:lang w:eastAsia="zh-CN" w:bidi="ar-SA"/>
        </w:rPr>
        <w:t>.依据有关法律法规保护入股土地，禁止改变入股土地的农业用途，禁止占用入股土地建窑、建坟或者擅自在入股土地上建房、挖砂、采石、采矿、取土等，禁止占用入股的永久基本农田发展林果业和挖塘养鱼；</w:t>
      </w:r>
    </w:p>
    <w:p w14:paraId="68345670">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val="en-US" w:eastAsia="zh-CN" w:bidi="ar-SA"/>
        </w:rPr>
        <w:t>5</w:t>
      </w:r>
      <w:r>
        <w:rPr>
          <w:rFonts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288B037C">
      <w:pPr>
        <w:pStyle w:val="17"/>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九</w:t>
      </w:r>
      <w:r>
        <w:rPr>
          <w:rFonts w:hint="eastAsia" w:ascii="黑体" w:hAnsi="黑体" w:eastAsia="黑体" w:cs="华文黑体"/>
          <w:bCs/>
          <w:color w:val="auto"/>
          <w:sz w:val="28"/>
          <w:szCs w:val="28"/>
        </w:rPr>
        <w:t>、其他约定</w:t>
      </w:r>
    </w:p>
    <w:p w14:paraId="2F68D4A4">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（一）甲方同意乙方依法</w:t>
      </w:r>
    </w:p>
    <w:p w14:paraId="0EB68925">
      <w:pPr>
        <w:pStyle w:val="17"/>
        <w:spacing w:after="0" w:line="520" w:lineRule="exact"/>
        <w:ind w:firstLine="420" w:firstLineChars="15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 xml:space="preserve"> □投资改良土壤</w:t>
      </w:r>
      <w:r>
        <w:rPr>
          <w:rFonts w:ascii="仿宋_GB2312" w:eastAsia="仿宋_GB2312" w:cs="方正仿宋_GBK"/>
          <w:color w:val="auto"/>
          <w:sz w:val="28"/>
          <w:szCs w:val="28"/>
          <w:lang w:eastAsia="zh-CN" w:bidi="ar-SA"/>
        </w:rPr>
        <w:tab/>
      </w:r>
      <w:r>
        <w:rPr>
          <w:rFonts w:ascii="仿宋_GB2312" w:eastAsia="仿宋_GB2312" w:cs="方正仿宋_GBK"/>
          <w:color w:val="auto"/>
          <w:sz w:val="28"/>
          <w:szCs w:val="28"/>
          <w:lang w:val="en-US" w:eastAsia="zh-CN" w:bidi="ar-SA"/>
        </w:rPr>
        <w:t xml:space="preserve"> </w:t>
      </w:r>
      <w:r>
        <w:rPr>
          <w:rFonts w:hint="eastAsia" w:ascii="仿宋_GB2312" w:eastAsia="仿宋_GB2312" w:cs="方正仿宋_GBK"/>
          <w:color w:val="auto"/>
          <w:sz w:val="28"/>
          <w:szCs w:val="28"/>
          <w:lang w:eastAsia="zh-CN" w:bidi="ar-SA"/>
        </w:rPr>
        <w:t>□建设农业生产附属、配套设施</w:t>
      </w:r>
      <w:r>
        <w:rPr>
          <w:rFonts w:ascii="仿宋_GB2312" w:eastAsia="仿宋_GB2312" w:cs="方正仿宋_GBK"/>
          <w:color w:val="auto"/>
          <w:sz w:val="28"/>
          <w:szCs w:val="28"/>
          <w:lang w:eastAsia="zh-CN" w:bidi="ar-SA"/>
        </w:rPr>
        <w:tab/>
      </w:r>
    </w:p>
    <w:p w14:paraId="7209CACD">
      <w:pPr>
        <w:pStyle w:val="17"/>
        <w:spacing w:after="0" w:line="520" w:lineRule="exact"/>
        <w:ind w:firstLine="560" w:firstLineChars="200"/>
        <w:jc w:val="both"/>
        <w:rPr>
          <w:rFonts w:ascii="仿宋_GB2312" w:eastAsia="PMingLiU" w:cs="方正仿宋_GBK"/>
          <w:color w:val="auto"/>
          <w:sz w:val="28"/>
          <w:szCs w:val="28"/>
          <w:lang w:bidi="ar-SA"/>
        </w:rPr>
      </w:pPr>
      <w:r>
        <w:rPr>
          <w:rFonts w:hint="eastAsia" w:ascii="仿宋_GB2312" w:eastAsia="仿宋_GB2312" w:cs="方正仿宋_GBK"/>
          <w:color w:val="auto"/>
          <w:sz w:val="28"/>
          <w:szCs w:val="28"/>
          <w:lang w:eastAsia="zh-CN" w:bidi="ar-SA"/>
        </w:rPr>
        <w:t>□以土地经营权融资担保</w:t>
      </w:r>
      <w:r>
        <w:rPr>
          <w:rFonts w:ascii="仿宋_GB2312" w:eastAsia="仿宋_GB2312" w:cs="方正仿宋_GBK"/>
          <w:color w:val="auto"/>
          <w:sz w:val="28"/>
          <w:szCs w:val="28"/>
          <w:lang w:val="en-US" w:eastAsia="zh-CN" w:bidi="ar-SA"/>
        </w:rPr>
        <w:t xml:space="preserve"> </w:t>
      </w:r>
      <w:r>
        <w:rPr>
          <w:rFonts w:hint="eastAsia" w:ascii="仿宋_GB2312" w:eastAsia="仿宋_GB2312" w:cs="方正仿宋_GBK"/>
          <w:color w:val="auto"/>
          <w:sz w:val="28"/>
          <w:szCs w:val="28"/>
          <w:lang w:eastAsia="zh-CN" w:bidi="ar-SA"/>
        </w:rPr>
        <w:t>□再流转土地经营权</w:t>
      </w:r>
      <w:r>
        <w:rPr>
          <w:rFonts w:ascii="仿宋_GB2312" w:eastAsia="仿宋_GB2312" w:cs="方正仿宋_GBK"/>
          <w:color w:val="auto"/>
          <w:sz w:val="28"/>
          <w:szCs w:val="28"/>
          <w:lang w:eastAsia="zh-CN" w:bidi="ar-SA"/>
        </w:rPr>
        <w:tab/>
      </w:r>
    </w:p>
    <w:p w14:paraId="707ED2B4">
      <w:pPr>
        <w:pStyle w:val="17"/>
        <w:spacing w:after="0"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hint="eastAsia" w:ascii="仿宋_GB2312" w:hAnsi="仿宋_GB2312" w:eastAsia="仿宋_GB2312" w:cs="仿宋_GB2312"/>
          <w:color w:val="auto"/>
          <w:sz w:val="28"/>
          <w:szCs w:val="28"/>
          <w:lang w:eastAsia="zh-CN" w:bidi="ar-SA"/>
        </w:rPr>
        <w:t>。</w:t>
      </w:r>
    </w:p>
    <w:p w14:paraId="174F79A4">
      <w:pPr>
        <w:pStyle w:val="17"/>
        <w:spacing w:after="0" w:line="520" w:lineRule="exact"/>
        <w:ind w:firstLine="560" w:firstLineChars="200"/>
        <w:jc w:val="both"/>
        <w:rPr>
          <w:rFonts w:ascii="仿宋_GB2312" w:eastAsia="PMingLiU" w:cs="方正仿宋_GBK"/>
          <w:color w:val="auto"/>
          <w:sz w:val="28"/>
          <w:szCs w:val="28"/>
          <w:u w:val="single"/>
          <w:lang w:bidi="ar-SA"/>
        </w:rPr>
      </w:pPr>
      <w:r>
        <w:rPr>
          <w:rFonts w:hint="eastAsia" w:ascii="仿宋_GB2312" w:eastAsia="仿宋_GB2312" w:cs="方正仿宋_GBK"/>
          <w:color w:val="auto"/>
          <w:sz w:val="28"/>
          <w:szCs w:val="28"/>
          <w:lang w:eastAsia="zh-CN" w:bidi="ar-SA"/>
        </w:rPr>
        <w:t>（二）该入股土地的财政补贴等归属</w:t>
      </w:r>
      <w:r>
        <w:rPr>
          <w:rFonts w:ascii="仿宋_GB2312" w:eastAsia="仿宋_GB2312" w:cs="方正仿宋_GBK"/>
          <w:color w:val="auto"/>
          <w:sz w:val="28"/>
          <w:szCs w:val="28"/>
          <w:lang w:eastAsia="zh-CN" w:bidi="ar-SA"/>
        </w:rPr>
        <w:t>：</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ascii="仿宋_GB2312" w:eastAsia="仿宋_GB2312" w:cs="方正仿宋_GBK"/>
          <w:color w:val="auto"/>
          <w:sz w:val="28"/>
          <w:szCs w:val="28"/>
          <w:lang w:eastAsia="zh-CN" w:bidi="ar-SA"/>
        </w:rPr>
        <w:t>。</w:t>
      </w:r>
    </w:p>
    <w:p w14:paraId="709841FB">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（三）乙方向</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 xml:space="preserve"> □缴纳</w:t>
      </w:r>
      <w:r>
        <w:rPr>
          <w:rFonts w:ascii="仿宋_GB2312" w:eastAsia="仿宋_GB2312" w:cs="方正仿宋_GBK"/>
          <w:color w:val="auto"/>
          <w:sz w:val="28"/>
          <w:szCs w:val="28"/>
          <w:lang w:val="en-US" w:eastAsia="zh-CN" w:bidi="ar-SA"/>
        </w:rPr>
        <w:t xml:space="preserve"> </w:t>
      </w:r>
      <w:r>
        <w:rPr>
          <w:rFonts w:hint="eastAsia" w:ascii="仿宋_GB2312" w:eastAsia="仿宋_GB2312" w:cs="方正仿宋_GBK"/>
          <w:color w:val="auto"/>
          <w:sz w:val="28"/>
          <w:szCs w:val="28"/>
          <w:lang w:eastAsia="zh-CN" w:bidi="ar-SA"/>
        </w:rPr>
        <w:t>□不缴纳</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风险保障金</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元（大写：</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），合同到期后的处理</w:t>
      </w:r>
      <w:r>
        <w:rPr>
          <w:rFonts w:ascii="仿宋_GB2312" w:eastAsia="仿宋_GB2312" w:cs="方正仿宋_GBK"/>
          <w:color w:val="auto"/>
          <w:sz w:val="28"/>
          <w:szCs w:val="28"/>
          <w:lang w:eastAsia="zh-CN" w:bidi="ar-SA"/>
        </w:rPr>
        <w:t>：</w:t>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w:t>
      </w:r>
    </w:p>
    <w:p w14:paraId="10EBEAA9">
      <w:pPr>
        <w:pStyle w:val="17"/>
        <w:spacing w:after="0" w:line="520" w:lineRule="exact"/>
        <w:ind w:firstLine="560" w:firstLineChars="200"/>
        <w:jc w:val="both"/>
        <w:rPr>
          <w:rFonts w:ascii="仿宋_GB2312" w:eastAsia="仿宋_GB2312" w:cs="方正仿宋_GBK"/>
          <w:color w:val="auto"/>
          <w:sz w:val="28"/>
          <w:szCs w:val="28"/>
          <w:lang w:val="en-US" w:eastAsia="zh-CN" w:bidi="ar-SA"/>
        </w:rPr>
      </w:pPr>
      <w:r>
        <w:rPr>
          <w:rFonts w:hint="eastAsia" w:ascii="仿宋_GB2312" w:eastAsia="仿宋_GB2312" w:cs="方正仿宋_GBK"/>
          <w:color w:val="auto"/>
          <w:sz w:val="28"/>
          <w:szCs w:val="28"/>
          <w:lang w:eastAsia="zh-CN" w:bidi="ar-SA"/>
        </w:rPr>
        <w:t>（四）本合同期限内，入股土地被依法征收、征用、占用时，有关地上附着物及青苗补偿费的归属：</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val="en-US" w:eastAsia="zh-CN" w:bidi="ar-SA"/>
        </w:rPr>
        <w:t>。</w:t>
      </w:r>
    </w:p>
    <w:p w14:paraId="65F9BB93">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（五）其他</w:t>
      </w:r>
      <w:r>
        <w:rPr>
          <w:rFonts w:hint="eastAsia" w:ascii="仿宋_GB2312" w:eastAsia="仿宋_GB2312" w:cs="方正仿宋_GBK"/>
          <w:color w:val="auto"/>
          <w:sz w:val="28"/>
          <w:szCs w:val="28"/>
          <w:lang w:val="en-US" w:eastAsia="zh-CN" w:bidi="ar-SA"/>
        </w:rPr>
        <w:t>事</w:t>
      </w:r>
      <w:r>
        <w:rPr>
          <w:rFonts w:hint="eastAsia" w:ascii="仿宋_GB2312" w:eastAsia="仿宋_GB2312" w:cs="方正仿宋_GBK"/>
          <w:color w:val="auto"/>
          <w:sz w:val="28"/>
          <w:szCs w:val="28"/>
          <w:lang w:eastAsia="zh-CN" w:bidi="ar-SA"/>
        </w:rPr>
        <w:t>项：</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hint="eastAsia" w:ascii="仿宋_GB2312" w:hAnsi="仿宋_GB2312" w:eastAsia="仿宋_GB2312" w:cs="仿宋_GB2312"/>
          <w:color w:val="auto"/>
          <w:sz w:val="28"/>
          <w:szCs w:val="28"/>
          <w:lang w:val="en-US" w:eastAsia="zh-CN" w:bidi="ar-SA"/>
        </w:rPr>
        <w:t>。</w:t>
      </w:r>
    </w:p>
    <w:p w14:paraId="743FD3F5">
      <w:pPr>
        <w:pStyle w:val="17"/>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十、合同变更、解除和终止</w:t>
      </w:r>
    </w:p>
    <w:p w14:paraId="4D421E30">
      <w:pPr>
        <w:pStyle w:val="17"/>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合同有效期间，因不可抗力因素致使合同全部不能履行时，本合同自动终止，甲方将合同终止日至入股到期日的期限内已收取的股份分红退还给乙方；致使合同部分不能履行的，其他部分继续履行，股份分红可以作相应调整。</w:t>
      </w:r>
      <w:r>
        <w:rPr>
          <w:rFonts w:ascii="仿宋_GB2312" w:eastAsia="仿宋_GB2312" w:cs="方正仿宋_GBK"/>
          <w:color w:val="auto"/>
          <w:sz w:val="28"/>
          <w:szCs w:val="28"/>
          <w:lang w:eastAsia="zh-CN" w:bidi="ar-SA"/>
        </w:rPr>
        <w:t xml:space="preserve"> </w:t>
      </w:r>
    </w:p>
    <w:p w14:paraId="0AA024E7">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（二）如乙方在合同期满后需要继续经营该入股土地，必须在合同期满前</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日内书面向甲方提出申请。如乙方不再继续经营的，必须在合同期满前</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日内书面通知甲方，并在合同期满后</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日内将原入股的土地交还给甲方。</w:t>
      </w:r>
    </w:p>
    <w:p w14:paraId="1F1A520F">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（三）</w:t>
      </w:r>
      <w:bookmarkStart w:id="1" w:name="_Hlk79141334"/>
      <w:r>
        <w:rPr>
          <w:rFonts w:hint="eastAsia" w:ascii="仿宋_GB2312" w:eastAsia="仿宋_GB2312" w:cs="方正仿宋_GBK"/>
          <w:color w:val="auto"/>
          <w:sz w:val="28"/>
          <w:szCs w:val="28"/>
          <w:lang w:eastAsia="zh-CN" w:bidi="ar-SA"/>
        </w:rPr>
        <w:t>合同到期或者未到期由甲方依法提前收回入股土地时，乙方依法</w:t>
      </w:r>
      <w:bookmarkEnd w:id="1"/>
      <w:r>
        <w:rPr>
          <w:rFonts w:hint="eastAsia" w:ascii="仿宋_GB2312" w:eastAsia="仿宋_GB2312" w:cs="方正仿宋_GBK"/>
          <w:color w:val="auto"/>
          <w:sz w:val="28"/>
          <w:szCs w:val="28"/>
          <w:lang w:eastAsia="zh-CN" w:bidi="ar-SA"/>
        </w:rPr>
        <w:t>投资建设的农业生产附属、配套设施处置方式：</w:t>
      </w:r>
    </w:p>
    <w:p w14:paraId="41CBF48E">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□由甲方无偿处置。</w:t>
      </w:r>
      <w:r>
        <w:rPr>
          <w:rFonts w:ascii="仿宋_GB2312" w:eastAsia="仿宋_GB2312" w:cs="方正仿宋_GBK"/>
          <w:color w:val="auto"/>
          <w:sz w:val="28"/>
          <w:szCs w:val="28"/>
          <w:lang w:eastAsia="zh-CN" w:bidi="ar-SA"/>
        </w:rPr>
        <w:t xml:space="preserve"> </w:t>
      </w:r>
    </w:p>
    <w:p w14:paraId="5688E4FD">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□经有资质的第三方评估后，由甲方支付价款购买。</w:t>
      </w:r>
    </w:p>
    <w:p w14:paraId="63C3B1EA">
      <w:pPr>
        <w:pStyle w:val="17"/>
        <w:spacing w:after="0" w:line="480" w:lineRule="exact"/>
        <w:ind w:firstLine="560" w:firstLineChars="200"/>
        <w:jc w:val="both"/>
        <w:rPr>
          <w:rFonts w:ascii="仿宋_GB2312" w:eastAsia="PMingLiU" w:cs="方正仿宋_GBK"/>
          <w:color w:val="auto"/>
          <w:sz w:val="28"/>
          <w:szCs w:val="28"/>
          <w:lang w:bidi="ar-SA"/>
        </w:rPr>
      </w:pPr>
      <w:r>
        <w:rPr>
          <w:rFonts w:hint="eastAsia" w:ascii="仿宋_GB2312" w:eastAsia="仿宋_GB2312" w:cs="方正仿宋_GBK"/>
          <w:color w:val="auto"/>
          <w:sz w:val="28"/>
          <w:szCs w:val="28"/>
          <w:lang w:eastAsia="zh-CN" w:bidi="ar-SA"/>
        </w:rPr>
        <w:t>□经双方协商后，由甲方支付价款购买。</w:t>
      </w:r>
      <w:r>
        <w:rPr>
          <w:rFonts w:ascii="仿宋_GB2312" w:eastAsia="仿宋_GB2312" w:cs="方正仿宋_GBK"/>
          <w:color w:val="auto"/>
          <w:sz w:val="28"/>
          <w:szCs w:val="28"/>
          <w:lang w:eastAsia="zh-CN" w:bidi="ar-SA"/>
        </w:rPr>
        <w:t xml:space="preserve"> </w:t>
      </w:r>
    </w:p>
    <w:p w14:paraId="46C8C32D">
      <w:pPr>
        <w:pStyle w:val="17"/>
        <w:spacing w:after="0" w:line="480" w:lineRule="exact"/>
        <w:ind w:firstLine="560" w:firstLineChars="200"/>
        <w:jc w:val="both"/>
        <w:rPr>
          <w:rFonts w:ascii="仿宋_GB2312" w:eastAsia="仿宋_GB2312" w:cs="方正仿宋_GBK"/>
          <w:color w:val="auto"/>
          <w:sz w:val="28"/>
          <w:szCs w:val="28"/>
          <w:lang w:eastAsia="zh-CN" w:bidi="ar-SA"/>
        </w:rPr>
      </w:pPr>
      <w:bookmarkStart w:id="2" w:name="_Hlk79141386"/>
      <w:bookmarkStart w:id="3" w:name="_Hlk79141378"/>
      <w:r>
        <w:rPr>
          <w:rFonts w:hint="eastAsia" w:ascii="仿宋_GB2312" w:eastAsia="仿宋_GB2312" w:cs="方正仿宋_GBK"/>
          <w:color w:val="auto"/>
          <w:sz w:val="28"/>
          <w:szCs w:val="28"/>
          <w:lang w:eastAsia="zh-CN" w:bidi="ar-SA"/>
        </w:rPr>
        <w:t>□由乙方恢复原状。</w:t>
      </w:r>
      <w:bookmarkEnd w:id="2"/>
    </w:p>
    <w:bookmarkEnd w:id="3"/>
    <w:p w14:paraId="5CD649A0">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ascii="仿宋_GB2312" w:hAnsi="仿宋_GB2312" w:eastAsia="仿宋_GB2312" w:cs="仿宋_GB2312"/>
          <w:color w:val="auto"/>
          <w:sz w:val="28"/>
          <w:szCs w:val="28"/>
          <w:u w:val="single"/>
          <w:lang w:eastAsia="zh-CN" w:bidi="ar-SA"/>
        </w:rPr>
        <w:t xml:space="preserve"> </w:t>
      </w:r>
      <w:r>
        <w:rPr>
          <w:rFonts w:hint="eastAsia" w:ascii="仿宋_GB2312" w:hAnsi="仿宋_GB2312" w:eastAsia="仿宋_GB2312" w:cs="仿宋_GB2312"/>
          <w:color w:val="auto"/>
          <w:sz w:val="28"/>
          <w:szCs w:val="28"/>
          <w:lang w:eastAsia="zh-CN" w:bidi="ar-SA"/>
        </w:rPr>
        <w:t>。</w:t>
      </w:r>
    </w:p>
    <w:p w14:paraId="6C4FF4FD">
      <w:pPr>
        <w:pStyle w:val="17"/>
        <w:spacing w:after="0" w:line="48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十一、违约责任</w:t>
      </w:r>
    </w:p>
    <w:p w14:paraId="4C21EEE1">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（一）任何一方违约给对方造成损失的，违约方应承担赔偿责任。</w:t>
      </w:r>
      <w:r>
        <w:rPr>
          <w:rFonts w:ascii="仿宋_GB2312" w:eastAsia="仿宋_GB2312" w:cs="方正仿宋_GBK"/>
          <w:color w:val="auto"/>
          <w:sz w:val="28"/>
          <w:szCs w:val="28"/>
          <w:lang w:eastAsia="zh-CN" w:bidi="ar-SA"/>
        </w:rPr>
        <w:t xml:space="preserve"> </w:t>
      </w:r>
    </w:p>
    <w:p w14:paraId="186F73AF">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（二）甲方应按合同规定按时向乙方交付土地，逾期一日应向乙方支付</w:t>
      </w:r>
      <w:r>
        <w:rPr>
          <w:rFonts w:ascii="仿宋_GB2312" w:eastAsia="仿宋_GB2312" w:cs="方正仿宋_GBK"/>
          <w:sz w:val="28"/>
          <w:szCs w:val="28"/>
          <w:u w:val="single"/>
        </w:rPr>
        <w:t xml:space="preserve">       </w:t>
      </w:r>
      <w:r>
        <w:rPr>
          <w:rFonts w:hint="eastAsia" w:ascii="仿宋_GB2312" w:eastAsia="仿宋_GB2312" w:cs="方正仿宋_GBK"/>
          <w:sz w:val="28"/>
          <w:szCs w:val="28"/>
        </w:rPr>
        <w:t>元(大写：</w:t>
      </w:r>
      <w:r>
        <w:rPr>
          <w:rFonts w:ascii="仿宋_GB2312" w:eastAsia="仿宋_GB2312" w:cs="方正仿宋_GBK"/>
          <w:sz w:val="28"/>
          <w:szCs w:val="28"/>
          <w:u w:val="single"/>
        </w:rPr>
        <w:t xml:space="preserve">     </w:t>
      </w:r>
      <w:r>
        <w:rPr>
          <w:rFonts w:ascii="仿宋_GB2312" w:eastAsia="PMingLiU" w:cs="方正仿宋_GBK"/>
          <w:sz w:val="28"/>
          <w:szCs w:val="28"/>
          <w:u w:val="single"/>
        </w:rPr>
        <w:t xml:space="preserve"> </w:t>
      </w:r>
      <w:r>
        <w:rPr>
          <w:rFonts w:ascii="仿宋_GB2312" w:eastAsia="仿宋_GB2312" w:cs="方正仿宋_GBK"/>
          <w:sz w:val="28"/>
          <w:szCs w:val="28"/>
          <w:u w:val="single"/>
        </w:rPr>
        <w:t xml:space="preserve">  </w:t>
      </w:r>
      <w:r>
        <w:rPr>
          <w:rFonts w:ascii="仿宋_GB2312" w:eastAsia="仿宋_GB2312" w:cs="方正仿宋_GBK"/>
          <w:sz w:val="28"/>
          <w:szCs w:val="28"/>
        </w:rPr>
        <w:t>)</w:t>
      </w:r>
      <w:r>
        <w:rPr>
          <w:rFonts w:hint="eastAsia" w:ascii="仿宋_GB2312" w:eastAsia="仿宋_GB2312" w:cs="方正仿宋_GBK"/>
          <w:color w:val="auto"/>
          <w:sz w:val="28"/>
          <w:szCs w:val="28"/>
          <w:lang w:eastAsia="zh-CN" w:bidi="ar-SA"/>
        </w:rPr>
        <w:t>违约金。逾期超过</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日，乙方有权解除合同，甲方应当赔偿损失。</w:t>
      </w:r>
    </w:p>
    <w:p w14:paraId="14FB6656">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（三）甲方入股的土地存在权属纠纷或经济纠纷，致使合同全部或部分不能履行的，甲方应当赔偿损失。</w:t>
      </w:r>
    </w:p>
    <w:p w14:paraId="26A7109D">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（四）甲方违反合同约定擅自干涉和破坏乙方的生产经营</w:t>
      </w:r>
      <w:r>
        <w:rPr>
          <w:rFonts w:ascii="仿宋_GB2312" w:eastAsia="仿宋_GB2312" w:cs="方正仿宋_GBK"/>
          <w:color w:val="auto"/>
          <w:sz w:val="28"/>
          <w:szCs w:val="28"/>
          <w:lang w:eastAsia="zh-CN" w:bidi="ar-SA"/>
        </w:rPr>
        <w:t>,</w:t>
      </w:r>
      <w:r>
        <w:rPr>
          <w:rFonts w:hint="eastAsia" w:ascii="仿宋_GB2312" w:eastAsia="仿宋_GB2312" w:cs="方正仿宋_GBK"/>
          <w:color w:val="auto"/>
          <w:sz w:val="28"/>
          <w:szCs w:val="28"/>
          <w:lang w:eastAsia="zh-CN" w:bidi="ar-SA"/>
        </w:rPr>
        <w:t>致使乙方无法进行正常的生产经营活动的，乙方有权解除合同，甲方应当赔偿损失。</w:t>
      </w:r>
      <w:r>
        <w:rPr>
          <w:rFonts w:ascii="仿宋_GB2312" w:eastAsia="仿宋_GB2312" w:cs="方正仿宋_GBK"/>
          <w:color w:val="auto"/>
          <w:sz w:val="28"/>
          <w:szCs w:val="28"/>
          <w:lang w:eastAsia="zh-CN" w:bidi="ar-SA"/>
        </w:rPr>
        <w:t xml:space="preserve"> </w:t>
      </w:r>
    </w:p>
    <w:p w14:paraId="64B2F000">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（五）乙方应按照合同规定按时足额向甲方支付股份分红，逾期一日应向甲方支付</w:t>
      </w:r>
      <w:r>
        <w:rPr>
          <w:rFonts w:ascii="仿宋_GB2312" w:eastAsia="仿宋_GB2312" w:cs="方正仿宋_GBK"/>
          <w:sz w:val="28"/>
          <w:szCs w:val="28"/>
          <w:u w:val="single"/>
        </w:rPr>
        <w:t xml:space="preserve">       </w:t>
      </w:r>
      <w:r>
        <w:rPr>
          <w:rFonts w:hint="eastAsia" w:ascii="仿宋_GB2312" w:eastAsia="仿宋_GB2312" w:cs="方正仿宋_GBK"/>
          <w:sz w:val="28"/>
          <w:szCs w:val="28"/>
        </w:rPr>
        <w:t>元(大写：</w:t>
      </w:r>
      <w:r>
        <w:rPr>
          <w:rFonts w:ascii="仿宋_GB2312" w:eastAsia="仿宋_GB2312" w:cs="方正仿宋_GBK"/>
          <w:sz w:val="28"/>
          <w:szCs w:val="28"/>
          <w:u w:val="single"/>
        </w:rPr>
        <w:t xml:space="preserve">      </w:t>
      </w:r>
      <w:r>
        <w:rPr>
          <w:rFonts w:ascii="仿宋_GB2312" w:eastAsia="仿宋_GB2312" w:cs="方正仿宋_GBK"/>
          <w:sz w:val="28"/>
          <w:szCs w:val="28"/>
        </w:rPr>
        <w:t>)</w:t>
      </w:r>
      <w:r>
        <w:rPr>
          <w:rFonts w:hint="eastAsia" w:ascii="仿宋_GB2312" w:eastAsia="仿宋_GB2312" w:cs="方正仿宋_GBK"/>
          <w:color w:val="auto"/>
          <w:sz w:val="28"/>
          <w:szCs w:val="28"/>
          <w:lang w:eastAsia="zh-CN" w:bidi="ar-SA"/>
        </w:rPr>
        <w:t>违约金。逾期超过</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日，甲方有权解除合同，乙方应当赔偿损失。</w:t>
      </w:r>
    </w:p>
    <w:p w14:paraId="3879D221">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（六）乙方擅自改变入股土地的农业用途、弃耕抛荒连续两年以上、给入股土地造成严重损害或者严重破坏土地生态环境的，甲方有权解除合同、收回该土地经营权，并要求乙方赔偿损失。</w:t>
      </w:r>
    </w:p>
    <w:p w14:paraId="376E50C5">
      <w:pPr>
        <w:pStyle w:val="17"/>
        <w:spacing w:after="0" w:line="480" w:lineRule="exact"/>
        <w:ind w:firstLine="560" w:firstLineChars="200"/>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eastAsia="zh-CN" w:bidi="ar-SA"/>
        </w:rPr>
        <w:t>（七）合同期限届满的，乙方应当按照合同约定将原入股土地交还给甲方，逾期一日应向甲方支付</w:t>
      </w:r>
      <w:r>
        <w:rPr>
          <w:rFonts w:ascii="仿宋_GB2312" w:eastAsia="仿宋_GB2312" w:cs="方正仿宋_GBK"/>
          <w:sz w:val="28"/>
          <w:szCs w:val="28"/>
          <w:u w:val="single"/>
        </w:rPr>
        <w:t xml:space="preserve">       </w:t>
      </w:r>
      <w:r>
        <w:rPr>
          <w:rFonts w:hint="eastAsia" w:ascii="仿宋_GB2312" w:eastAsia="仿宋_GB2312" w:cs="方正仿宋_GBK"/>
          <w:sz w:val="28"/>
          <w:szCs w:val="28"/>
        </w:rPr>
        <w:t>元(大写：</w:t>
      </w:r>
      <w:r>
        <w:rPr>
          <w:rFonts w:ascii="仿宋_GB2312" w:eastAsia="仿宋_GB2312" w:cs="方正仿宋_GBK"/>
          <w:sz w:val="28"/>
          <w:szCs w:val="28"/>
          <w:u w:val="single"/>
        </w:rPr>
        <w:t xml:space="preserve">     </w:t>
      </w:r>
      <w:r>
        <w:rPr>
          <w:rFonts w:ascii="仿宋_GB2312" w:eastAsia="PMingLiU" w:cs="方正仿宋_GBK"/>
          <w:sz w:val="28"/>
          <w:szCs w:val="28"/>
          <w:u w:val="single"/>
        </w:rPr>
        <w:t xml:space="preserve"> </w:t>
      </w:r>
      <w:r>
        <w:rPr>
          <w:rFonts w:ascii="仿宋_GB2312" w:eastAsia="仿宋_GB2312" w:cs="方正仿宋_GBK"/>
          <w:sz w:val="28"/>
          <w:szCs w:val="28"/>
          <w:u w:val="single"/>
        </w:rPr>
        <w:t xml:space="preserve">  </w:t>
      </w:r>
      <w:r>
        <w:rPr>
          <w:rFonts w:ascii="仿宋_GB2312" w:eastAsia="仿宋_GB2312" w:cs="方正仿宋_GBK"/>
          <w:sz w:val="28"/>
          <w:szCs w:val="28"/>
        </w:rPr>
        <w:t>)</w:t>
      </w:r>
      <w:r>
        <w:rPr>
          <w:rFonts w:hint="eastAsia" w:ascii="仿宋_GB2312" w:eastAsia="仿宋_GB2312" w:cs="方正仿宋_GBK"/>
          <w:color w:val="auto"/>
          <w:sz w:val="28"/>
          <w:szCs w:val="28"/>
          <w:lang w:eastAsia="zh-CN" w:bidi="ar-SA"/>
        </w:rPr>
        <w:t>违约金。</w:t>
      </w:r>
    </w:p>
    <w:p w14:paraId="66345BB5">
      <w:pPr>
        <w:pStyle w:val="17"/>
        <w:spacing w:after="0" w:line="48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十二、合同争议解决方式</w:t>
      </w:r>
    </w:p>
    <w:p w14:paraId="7B6671D9">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本合同发生争议的，甲乙双方可以协商解决，也可以请求村民委员会、乡（镇）人民政府等调解解决</w:t>
      </w:r>
      <w:r>
        <w:rPr>
          <w:rFonts w:ascii="仿宋_GB2312" w:eastAsia="仿宋_GB2312" w:cs="方正仿宋_GBK"/>
          <w:color w:val="auto"/>
          <w:sz w:val="28"/>
          <w:szCs w:val="28"/>
          <w:lang w:eastAsia="zh-CN" w:bidi="ar-SA"/>
        </w:rPr>
        <w:t>。</w:t>
      </w:r>
      <w:r>
        <w:rPr>
          <w:rFonts w:hint="eastAsia" w:ascii="仿宋_GB2312" w:eastAsia="仿宋_GB2312" w:cs="方正仿宋_GBK"/>
          <w:color w:val="auto"/>
          <w:sz w:val="28"/>
          <w:szCs w:val="28"/>
          <w:lang w:eastAsia="zh-CN" w:bidi="ar-SA"/>
        </w:rPr>
        <w:t>当事人不愿协商、调解或者协商、调解不成的，可以依据《中华人民共和国农村土地承包法》第五十五条的规定向农村土地承包仲裁委员会申请仲裁，也可以直接</w:t>
      </w:r>
      <w:r>
        <w:rPr>
          <w:rFonts w:ascii="仿宋_GB2312" w:eastAsia="仿宋_GB2312" w:cs="方正仿宋_GBK"/>
          <w:color w:val="auto"/>
          <w:sz w:val="28"/>
          <w:szCs w:val="28"/>
          <w:lang w:eastAsia="zh-CN" w:bidi="ar-SA"/>
        </w:rPr>
        <w:t>向</w:t>
      </w:r>
      <w:r>
        <w:rPr>
          <w:rFonts w:hint="eastAsia" w:ascii="仿宋_GB2312" w:eastAsia="仿宋_GB2312" w:cs="方正仿宋_GBK"/>
          <w:color w:val="auto"/>
          <w:sz w:val="28"/>
          <w:szCs w:val="28"/>
          <w:lang w:eastAsia="zh-CN" w:bidi="ar-SA"/>
        </w:rPr>
        <w:t>人民法院起诉。</w:t>
      </w:r>
    </w:p>
    <w:p w14:paraId="06F895AD">
      <w:pPr>
        <w:pStyle w:val="17"/>
        <w:spacing w:after="0" w:line="48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十三、附则</w:t>
      </w:r>
      <w:r>
        <w:rPr>
          <w:rFonts w:ascii="黑体" w:hAnsi="黑体" w:eastAsia="黑体" w:cs="华文黑体"/>
          <w:bCs/>
          <w:color w:val="auto"/>
          <w:sz w:val="28"/>
          <w:szCs w:val="28"/>
          <w:lang w:eastAsia="zh-CN"/>
        </w:rPr>
        <w:t xml:space="preserve"> </w:t>
      </w:r>
    </w:p>
    <w:p w14:paraId="6D6180BD">
      <w:pPr>
        <w:pStyle w:val="17"/>
        <w:spacing w:after="0" w:line="48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（一）本合同未尽事宜，经甲方、乙方协商一致后可签订补充协议。补充协议与本合同具有同等法律效力。</w:t>
      </w:r>
      <w:r>
        <w:rPr>
          <w:rFonts w:ascii="仿宋_GB2312" w:eastAsia="仿宋_GB2312" w:cs="方正仿宋_GBK"/>
          <w:color w:val="auto"/>
          <w:sz w:val="28"/>
          <w:szCs w:val="28"/>
          <w:lang w:eastAsia="zh-CN" w:bidi="ar-SA"/>
        </w:rPr>
        <w:t xml:space="preserve"> </w:t>
      </w:r>
    </w:p>
    <w:p w14:paraId="023BC523">
      <w:pPr>
        <w:pStyle w:val="17"/>
        <w:spacing w:after="0" w:line="480" w:lineRule="exact"/>
        <w:ind w:firstLine="560" w:firstLineChars="200"/>
        <w:jc w:val="both"/>
        <w:rPr>
          <w:rFonts w:ascii="仿宋_GB2312" w:eastAsia="PMingLiU" w:cs="方正仿宋_GBK"/>
          <w:color w:val="auto"/>
          <w:sz w:val="28"/>
          <w:szCs w:val="28"/>
          <w:u w:val="single"/>
          <w:lang w:bidi="ar-SA"/>
        </w:rPr>
      </w:pPr>
      <w:r>
        <w:rPr>
          <w:rFonts w:hint="eastAsia" w:ascii="仿宋_GB2312" w:eastAsia="仿宋_GB2312" w:cs="方正仿宋_GBK"/>
          <w:color w:val="auto"/>
          <w:sz w:val="28"/>
          <w:szCs w:val="28"/>
          <w:lang w:eastAsia="zh-CN" w:bidi="ar-SA"/>
        </w:rPr>
        <w:t>补充条款（可另附件）：</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hint="eastAsia" w:cs="方正仿宋_GBK" w:asciiTheme="minorEastAsia" w:hAnsiTheme="minorEastAsia" w:eastAsiaTheme="minorEastAsia"/>
          <w:color w:val="auto"/>
          <w:sz w:val="28"/>
          <w:szCs w:val="28"/>
          <w:lang w:eastAsia="zh-CN" w:bidi="ar-SA"/>
        </w:rPr>
        <w:t>。</w:t>
      </w:r>
      <w:r>
        <w:rPr>
          <w:rFonts w:ascii="仿宋_GB2312" w:eastAsia="PMingLiU" w:cs="方正仿宋_GBK"/>
          <w:color w:val="auto"/>
          <w:sz w:val="28"/>
          <w:szCs w:val="28"/>
          <w:u w:val="single"/>
          <w:lang w:bidi="ar-SA"/>
        </w:rPr>
        <w:t xml:space="preserve">                  </w:t>
      </w:r>
    </w:p>
    <w:p w14:paraId="2CB6F0AA">
      <w:pPr>
        <w:pStyle w:val="17"/>
        <w:spacing w:after="0" w:line="480" w:lineRule="exact"/>
        <w:ind w:firstLine="560" w:firstLineChars="200"/>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eastAsia="zh-CN" w:bidi="ar-SA"/>
        </w:rPr>
        <w:t>（二）本合同自甲乙双方签字、盖章或者按指印之日起生效。本合同一式</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份，由甲方、乙方、农村集体经济组织、乡（镇）人民政府农村土地承包管理部门、</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，各执一份。</w:t>
      </w:r>
    </w:p>
    <w:p w14:paraId="27CCAE2D">
      <w:pPr>
        <w:pStyle w:val="17"/>
        <w:spacing w:after="0" w:line="480" w:lineRule="exact"/>
        <w:ind w:firstLine="640" w:firstLineChars="200"/>
        <w:rPr>
          <w:rFonts w:ascii="仿宋_GB2312" w:eastAsia="PMingLiU" w:cs="方正仿宋_GBK"/>
          <w:color w:val="auto"/>
          <w:sz w:val="32"/>
          <w:szCs w:val="32"/>
          <w:lang w:bidi="ar-SA"/>
        </w:rPr>
      </w:pPr>
    </w:p>
    <w:p w14:paraId="73094F1D">
      <w:pPr>
        <w:pStyle w:val="17"/>
        <w:spacing w:after="0" w:line="480" w:lineRule="exact"/>
        <w:ind w:firstLine="640" w:firstLineChars="200"/>
        <w:rPr>
          <w:rFonts w:ascii="仿宋_GB2312" w:eastAsia="PMingLiU" w:cs="方正仿宋_GBK"/>
          <w:color w:val="auto"/>
          <w:sz w:val="32"/>
          <w:szCs w:val="32"/>
          <w:lang w:bidi="ar-SA"/>
        </w:rPr>
      </w:pPr>
    </w:p>
    <w:p w14:paraId="7104CB59">
      <w:pPr>
        <w:pStyle w:val="17"/>
        <w:spacing w:after="0" w:line="480" w:lineRule="exact"/>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bidi="ar-SA"/>
        </w:rPr>
        <w:t>甲方：</w:t>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PMingLiU" w:cs="方正仿宋_GBK"/>
          <w:color w:val="auto"/>
          <w:sz w:val="28"/>
          <w:szCs w:val="28"/>
          <w:lang w:bidi="ar-SA"/>
        </w:rPr>
        <w:t xml:space="preserve">   </w:t>
      </w:r>
      <w:r>
        <w:rPr>
          <w:rFonts w:ascii="仿宋_GB2312" w:eastAsia="仿宋_GB2312" w:cs="方正仿宋_GBK"/>
          <w:color w:val="auto"/>
          <w:sz w:val="28"/>
          <w:szCs w:val="28"/>
          <w:lang w:val="en-US" w:eastAsia="zh-CN" w:bidi="ar-SA"/>
        </w:rPr>
        <w:t xml:space="preserve">   </w:t>
      </w:r>
      <w:r>
        <w:rPr>
          <w:rFonts w:hint="eastAsia" w:ascii="仿宋_GB2312" w:eastAsia="仿宋_GB2312" w:cs="方正仿宋_GBK"/>
          <w:color w:val="auto"/>
          <w:sz w:val="28"/>
          <w:szCs w:val="28"/>
          <w:lang w:val="en-US" w:eastAsia="zh-CN" w:bidi="ar-SA"/>
        </w:rPr>
        <w:t xml:space="preserve">  </w:t>
      </w:r>
      <w:r>
        <w:rPr>
          <w:rFonts w:ascii="仿宋_GB2312" w:eastAsia="仿宋_GB2312" w:cs="方正仿宋_GBK"/>
          <w:color w:val="auto"/>
          <w:sz w:val="28"/>
          <w:szCs w:val="28"/>
          <w:lang w:bidi="ar-SA"/>
        </w:rPr>
        <w:t>乙方：</w:t>
      </w:r>
    </w:p>
    <w:p w14:paraId="7AA7B819">
      <w:pPr>
        <w:pStyle w:val="17"/>
        <w:spacing w:after="0" w:line="480" w:lineRule="exact"/>
        <w:rPr>
          <w:rFonts w:ascii="仿宋_GB2312" w:eastAsia="仿宋_GB2312" w:cs="方正仿宋_GBK"/>
          <w:color w:val="auto"/>
          <w:sz w:val="28"/>
          <w:szCs w:val="28"/>
          <w:lang w:eastAsia="zh-CN" w:bidi="ar-SA"/>
        </w:rPr>
      </w:pPr>
    </w:p>
    <w:p w14:paraId="76D5E22D">
      <w:pPr>
        <w:pStyle w:val="17"/>
        <w:spacing w:after="0" w:line="480" w:lineRule="exact"/>
        <w:rPr>
          <w:rFonts w:ascii="仿宋_GB2312" w:eastAsia="仿宋_GB2312" w:cs="方正仿宋_GBK"/>
          <w:color w:val="auto"/>
          <w:w w:val="80"/>
          <w:sz w:val="22"/>
          <w:szCs w:val="28"/>
          <w:lang w:eastAsia="zh-CN" w:bidi="ar-SA"/>
        </w:rPr>
      </w:pPr>
      <w:r>
        <w:rPr>
          <w:rFonts w:hint="eastAsia" w:ascii="仿宋_GB2312" w:eastAsia="仿宋_GB2312" w:cs="方正仿宋_GBK"/>
          <w:color w:val="auto"/>
          <w:w w:val="80"/>
          <w:sz w:val="24"/>
          <w:szCs w:val="24"/>
          <w:lang w:eastAsia="zh-CN" w:bidi="ar-SA"/>
        </w:rPr>
        <w:t>法定代表人（负责人/农户代表人）签字：          法定代表人（负责人）签字：</w:t>
      </w:r>
    </w:p>
    <w:p w14:paraId="46606DEC">
      <w:pPr>
        <w:pStyle w:val="17"/>
        <w:spacing w:after="0" w:line="480" w:lineRule="exact"/>
        <w:rPr>
          <w:rFonts w:ascii="仿宋_GB2312" w:eastAsia="仿宋_GB2312" w:cs="方正仿宋_GBK"/>
          <w:color w:val="auto"/>
          <w:sz w:val="28"/>
          <w:szCs w:val="28"/>
          <w:lang w:eastAsia="zh-CN" w:bidi="ar-SA"/>
        </w:rPr>
      </w:pPr>
    </w:p>
    <w:p w14:paraId="2DA640C7">
      <w:pPr>
        <w:pStyle w:val="17"/>
        <w:spacing w:after="0" w:line="500" w:lineRule="exact"/>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签订时间：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w:t>
      </w:r>
      <w:r>
        <w:rPr>
          <w:rFonts w:ascii="仿宋_GB2312" w:eastAsia="仿宋_GB2312" w:cs="方正仿宋_GBK"/>
          <w:color w:val="auto"/>
          <w:sz w:val="28"/>
          <w:szCs w:val="28"/>
          <w:lang w:eastAsia="zh-CN" w:bidi="ar-SA"/>
        </w:rPr>
        <w:tab/>
      </w:r>
      <w:r>
        <w:rPr>
          <w:rFonts w:hint="eastAsia" w:ascii="仿宋_GB2312" w:eastAsia="仿宋_GB2312" w:cs="方正仿宋_GBK"/>
          <w:color w:val="auto"/>
          <w:sz w:val="28"/>
          <w:szCs w:val="28"/>
          <w:lang w:eastAsia="zh-CN" w:bidi="ar-SA"/>
        </w:rPr>
        <w:t xml:space="preserve">     签订时间：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w:t>
      </w:r>
    </w:p>
    <w:p w14:paraId="2422E451">
      <w:pPr>
        <w:pStyle w:val="17"/>
        <w:spacing w:after="0" w:line="500" w:lineRule="exact"/>
        <w:rPr>
          <w:rFonts w:ascii="仿宋_GB2312" w:cs="方正仿宋_GBK" w:eastAsiaTheme="minorEastAsia"/>
          <w:color w:val="auto"/>
          <w:sz w:val="28"/>
          <w:szCs w:val="28"/>
          <w:u w:val="single"/>
          <w:lang w:eastAsia="zh-CN" w:bidi="ar-SA"/>
        </w:rPr>
      </w:pPr>
      <w:r>
        <w:rPr>
          <w:rFonts w:hint="eastAsia" w:ascii="仿宋_GB2312" w:eastAsia="仿宋_GB2312" w:cs="方正仿宋_GBK"/>
          <w:color w:val="auto"/>
          <w:sz w:val="28"/>
          <w:szCs w:val="28"/>
          <w:lang w:eastAsia="zh-CN" w:bidi="ar-SA"/>
        </w:rPr>
        <w:t>签订地点：</w:t>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eastAsia="zh-CN" w:bidi="ar-SA"/>
        </w:rPr>
        <w:tab/>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ab/>
      </w:r>
      <w:r>
        <w:rPr>
          <w:rFonts w:hint="eastAsia" w:ascii="仿宋_GB2312" w:eastAsia="仿宋_GB2312" w:cs="方正仿宋_GBK"/>
          <w:color w:val="auto"/>
          <w:sz w:val="28"/>
          <w:szCs w:val="28"/>
          <w:lang w:eastAsia="zh-CN" w:bidi="ar-SA"/>
        </w:rPr>
        <w:t xml:space="preserve">     签订地点：</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cs="方正仿宋_GBK" w:eastAsiaTheme="minorEastAsia"/>
          <w:color w:val="auto"/>
          <w:sz w:val="28"/>
          <w:szCs w:val="28"/>
          <w:u w:val="single"/>
          <w:lang w:eastAsia="zh-CN" w:bidi="ar-SA"/>
        </w:rPr>
        <w:t xml:space="preserve"> </w:t>
      </w:r>
    </w:p>
    <w:p w14:paraId="4ADC86C4">
      <w:pPr>
        <w:widowControl/>
        <w:rPr>
          <w:rFonts w:ascii="仿宋_GB2312" w:hAnsi="MingLiU" w:eastAsia="仿宋_GB2312" w:cs="方正仿宋_GBK"/>
          <w:color w:val="auto"/>
          <w:sz w:val="28"/>
          <w:szCs w:val="28"/>
          <w:lang w:val="zh-TW" w:eastAsia="zh-TW" w:bidi="ar-SA"/>
        </w:rPr>
      </w:pPr>
      <w:r>
        <w:rPr>
          <w:rFonts w:ascii="仿宋_GB2312" w:eastAsia="仿宋_GB2312" w:cs="方正仿宋_GBK"/>
          <w:color w:val="auto"/>
          <w:sz w:val="28"/>
          <w:szCs w:val="28"/>
          <w:lang w:eastAsia="zh-CN" w:bidi="ar-SA"/>
        </w:rPr>
        <w:br w:type="page"/>
      </w:r>
    </w:p>
    <w:p w14:paraId="57B39452">
      <w:pPr>
        <w:pStyle w:val="17"/>
        <w:spacing w:after="0" w:line="520" w:lineRule="exact"/>
        <w:rPr>
          <w:rFonts w:ascii="黑体" w:hAnsi="黑体" w:eastAsia="黑体" w:cs="华文黑体"/>
          <w:color w:val="auto"/>
          <w:sz w:val="32"/>
          <w:szCs w:val="32"/>
          <w:lang w:eastAsia="zh-CN"/>
        </w:rPr>
        <w:sectPr>
          <w:footerReference r:id="rId4" w:type="default"/>
          <w:pgSz w:w="11900" w:h="16840"/>
          <w:pgMar w:top="1643" w:right="1833" w:bottom="1798" w:left="1796" w:header="1215" w:footer="1370" w:gutter="0"/>
          <w:cols w:space="720" w:num="1"/>
          <w:docGrid w:linePitch="360" w:charSpace="0"/>
        </w:sectPr>
      </w:pPr>
      <w:r>
        <w:rPr>
          <w:rFonts w:hint="eastAsia" w:ascii="黑体" w:hAnsi="黑体" w:eastAsia="黑体" w:cs="华文黑体"/>
          <w:color w:val="auto"/>
          <w:sz w:val="32"/>
          <w:szCs w:val="32"/>
          <w:lang w:eastAsia="zh-CN"/>
        </w:rPr>
        <w:t>附件清单：</w:t>
      </w:r>
    </w:p>
    <w:tbl>
      <w:tblPr>
        <w:tblStyle w:val="11"/>
        <w:tblW w:w="822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685"/>
        <w:gridCol w:w="1559"/>
        <w:gridCol w:w="993"/>
        <w:gridCol w:w="992"/>
      </w:tblGrid>
      <w:tr w14:paraId="353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19B7EB2">
            <w:pPr>
              <w:pStyle w:val="22"/>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序号</w:t>
            </w:r>
          </w:p>
        </w:tc>
        <w:tc>
          <w:tcPr>
            <w:tcW w:w="3685" w:type="dxa"/>
            <w:vAlign w:val="center"/>
          </w:tcPr>
          <w:p w14:paraId="667DCACF">
            <w:pPr>
              <w:pStyle w:val="22"/>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附件名称</w:t>
            </w:r>
          </w:p>
        </w:tc>
        <w:tc>
          <w:tcPr>
            <w:tcW w:w="1559" w:type="dxa"/>
            <w:vAlign w:val="center"/>
          </w:tcPr>
          <w:p w14:paraId="1A305B2A">
            <w:pPr>
              <w:pStyle w:val="22"/>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是否具备</w:t>
            </w:r>
          </w:p>
        </w:tc>
        <w:tc>
          <w:tcPr>
            <w:tcW w:w="993" w:type="dxa"/>
            <w:vAlign w:val="center"/>
          </w:tcPr>
          <w:p w14:paraId="413D7570">
            <w:pPr>
              <w:pStyle w:val="22"/>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页数</w:t>
            </w:r>
          </w:p>
        </w:tc>
        <w:tc>
          <w:tcPr>
            <w:tcW w:w="992" w:type="dxa"/>
            <w:vAlign w:val="center"/>
          </w:tcPr>
          <w:p w14:paraId="598A81C9">
            <w:pPr>
              <w:pStyle w:val="22"/>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备注</w:t>
            </w:r>
          </w:p>
        </w:tc>
      </w:tr>
      <w:tr w14:paraId="03F4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76E5F8F">
            <w:pPr>
              <w:pStyle w:val="16"/>
              <w:tabs>
                <w:tab w:val="left" w:pos="764"/>
              </w:tabs>
              <w:spacing w:line="520" w:lineRule="exact"/>
              <w:ind w:firstLine="0"/>
              <w:jc w:val="center"/>
              <w:rPr>
                <w:rFonts w:ascii="仿宋_GB2312" w:eastAsia="仿宋_GB2312"/>
                <w:color w:val="auto"/>
                <w:sz w:val="28"/>
                <w:szCs w:val="28"/>
                <w:lang w:eastAsia="zh-CN"/>
              </w:rPr>
            </w:pPr>
            <w:r>
              <w:rPr>
                <w:rFonts w:ascii="仿宋_GB2312" w:eastAsia="仿宋_GB2312"/>
                <w:color w:val="auto"/>
                <w:sz w:val="28"/>
                <w:szCs w:val="28"/>
                <w:lang w:eastAsia="zh-CN"/>
              </w:rPr>
              <w:t>1</w:t>
            </w:r>
          </w:p>
        </w:tc>
        <w:tc>
          <w:tcPr>
            <w:tcW w:w="3685" w:type="dxa"/>
            <w:vAlign w:val="center"/>
          </w:tcPr>
          <w:p w14:paraId="51E51F71">
            <w:pPr>
              <w:pStyle w:val="22"/>
              <w:spacing w:line="520" w:lineRule="exact"/>
              <w:jc w:val="left"/>
              <w:rPr>
                <w:rFonts w:ascii="仿宋_GB2312" w:eastAsia="仿宋_GB2312"/>
                <w:color w:val="auto"/>
                <w:sz w:val="28"/>
                <w:szCs w:val="28"/>
              </w:rPr>
            </w:pPr>
            <w:r>
              <w:rPr>
                <w:rFonts w:hint="eastAsia" w:ascii="仿宋_GB2312" w:eastAsia="仿宋_GB2312"/>
                <w:color w:val="auto"/>
                <w:sz w:val="28"/>
                <w:szCs w:val="28"/>
              </w:rPr>
              <w:t>甲方、乙方的证件复印件</w:t>
            </w:r>
          </w:p>
        </w:tc>
        <w:tc>
          <w:tcPr>
            <w:tcW w:w="1559" w:type="dxa"/>
          </w:tcPr>
          <w:p w14:paraId="78A23190">
            <w:pPr>
              <w:pStyle w:val="16"/>
              <w:tabs>
                <w:tab w:val="left" w:pos="764"/>
              </w:tabs>
              <w:spacing w:line="520" w:lineRule="exact"/>
              <w:ind w:firstLine="0"/>
              <w:jc w:val="left"/>
              <w:rPr>
                <w:color w:val="auto"/>
                <w:sz w:val="28"/>
                <w:szCs w:val="28"/>
              </w:rPr>
            </w:pPr>
          </w:p>
        </w:tc>
        <w:tc>
          <w:tcPr>
            <w:tcW w:w="993" w:type="dxa"/>
          </w:tcPr>
          <w:p w14:paraId="6D55C483">
            <w:pPr>
              <w:pStyle w:val="16"/>
              <w:tabs>
                <w:tab w:val="left" w:pos="764"/>
              </w:tabs>
              <w:spacing w:line="520" w:lineRule="exact"/>
              <w:ind w:firstLine="0"/>
              <w:jc w:val="left"/>
              <w:rPr>
                <w:color w:val="auto"/>
                <w:sz w:val="28"/>
                <w:szCs w:val="28"/>
              </w:rPr>
            </w:pPr>
          </w:p>
        </w:tc>
        <w:tc>
          <w:tcPr>
            <w:tcW w:w="992" w:type="dxa"/>
          </w:tcPr>
          <w:p w14:paraId="54875E9A">
            <w:pPr>
              <w:pStyle w:val="16"/>
              <w:tabs>
                <w:tab w:val="left" w:pos="764"/>
              </w:tabs>
              <w:spacing w:line="520" w:lineRule="exact"/>
              <w:ind w:firstLine="0"/>
              <w:jc w:val="left"/>
              <w:rPr>
                <w:color w:val="auto"/>
                <w:sz w:val="28"/>
                <w:szCs w:val="28"/>
              </w:rPr>
            </w:pPr>
          </w:p>
        </w:tc>
      </w:tr>
      <w:tr w14:paraId="79C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3FE415B">
            <w:pPr>
              <w:pStyle w:val="16"/>
              <w:tabs>
                <w:tab w:val="left" w:pos="764"/>
              </w:tabs>
              <w:spacing w:line="520" w:lineRule="exact"/>
              <w:ind w:firstLine="0"/>
              <w:jc w:val="center"/>
              <w:rPr>
                <w:rFonts w:ascii="仿宋_GB2312" w:eastAsiaTheme="minorEastAsia"/>
                <w:color w:val="auto"/>
                <w:sz w:val="28"/>
                <w:szCs w:val="28"/>
                <w:lang w:eastAsia="zh-CN"/>
              </w:rPr>
            </w:pPr>
            <w:r>
              <w:rPr>
                <w:rFonts w:ascii="仿宋_GB2312" w:eastAsiaTheme="minorEastAsia"/>
                <w:color w:val="auto"/>
                <w:sz w:val="28"/>
                <w:szCs w:val="28"/>
                <w:lang w:eastAsia="zh-CN"/>
              </w:rPr>
              <w:t>2</w:t>
            </w:r>
          </w:p>
        </w:tc>
        <w:tc>
          <w:tcPr>
            <w:tcW w:w="3685" w:type="dxa"/>
            <w:vAlign w:val="center"/>
          </w:tcPr>
          <w:p w14:paraId="0AC927D8">
            <w:pPr>
              <w:pStyle w:val="22"/>
              <w:spacing w:line="520" w:lineRule="exact"/>
              <w:jc w:val="left"/>
              <w:rPr>
                <w:rFonts w:ascii="仿宋_GB2312" w:eastAsia="仿宋_GB2312"/>
                <w:color w:val="auto"/>
                <w:sz w:val="28"/>
                <w:szCs w:val="28"/>
              </w:rPr>
            </w:pPr>
            <w:r>
              <w:rPr>
                <w:rFonts w:hint="eastAsia" w:ascii="仿宋_GB2312" w:eastAsia="仿宋_GB2312"/>
                <w:color w:val="auto"/>
                <w:sz w:val="28"/>
                <w:szCs w:val="28"/>
              </w:rPr>
              <w:t>入股土地的权属证明</w:t>
            </w:r>
          </w:p>
        </w:tc>
        <w:tc>
          <w:tcPr>
            <w:tcW w:w="1559" w:type="dxa"/>
          </w:tcPr>
          <w:p w14:paraId="17ABBEB3">
            <w:pPr>
              <w:pStyle w:val="16"/>
              <w:tabs>
                <w:tab w:val="left" w:pos="764"/>
              </w:tabs>
              <w:spacing w:line="520" w:lineRule="exact"/>
              <w:ind w:firstLine="0"/>
              <w:jc w:val="left"/>
              <w:rPr>
                <w:color w:val="auto"/>
                <w:sz w:val="28"/>
                <w:szCs w:val="28"/>
              </w:rPr>
            </w:pPr>
          </w:p>
        </w:tc>
        <w:tc>
          <w:tcPr>
            <w:tcW w:w="993" w:type="dxa"/>
          </w:tcPr>
          <w:p w14:paraId="507A002F">
            <w:pPr>
              <w:pStyle w:val="16"/>
              <w:tabs>
                <w:tab w:val="left" w:pos="764"/>
              </w:tabs>
              <w:spacing w:line="520" w:lineRule="exact"/>
              <w:ind w:firstLine="0"/>
              <w:jc w:val="left"/>
              <w:rPr>
                <w:color w:val="auto"/>
                <w:sz w:val="28"/>
                <w:szCs w:val="28"/>
              </w:rPr>
            </w:pPr>
          </w:p>
        </w:tc>
        <w:tc>
          <w:tcPr>
            <w:tcW w:w="992" w:type="dxa"/>
          </w:tcPr>
          <w:p w14:paraId="72FA91FF">
            <w:pPr>
              <w:pStyle w:val="16"/>
              <w:tabs>
                <w:tab w:val="left" w:pos="764"/>
              </w:tabs>
              <w:spacing w:line="520" w:lineRule="exact"/>
              <w:ind w:firstLine="0"/>
              <w:jc w:val="left"/>
              <w:rPr>
                <w:color w:val="auto"/>
                <w:sz w:val="28"/>
                <w:szCs w:val="28"/>
              </w:rPr>
            </w:pPr>
          </w:p>
        </w:tc>
      </w:tr>
      <w:tr w14:paraId="7D7A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0EB4560">
            <w:pPr>
              <w:pStyle w:val="16"/>
              <w:tabs>
                <w:tab w:val="left" w:pos="764"/>
                <w:tab w:val="center" w:pos="4153"/>
                <w:tab w:val="right" w:pos="8306"/>
              </w:tabs>
              <w:snapToGrid w:val="0"/>
              <w:spacing w:line="520" w:lineRule="exact"/>
              <w:ind w:firstLine="0"/>
              <w:jc w:val="center"/>
              <w:rPr>
                <w:rFonts w:ascii="仿宋_GB2312" w:eastAsia="PMingLiU"/>
                <w:color w:val="auto"/>
                <w:sz w:val="28"/>
                <w:szCs w:val="28"/>
              </w:rPr>
            </w:pPr>
            <w:r>
              <w:rPr>
                <w:rFonts w:ascii="仿宋_GB2312" w:eastAsia="仿宋_GB2312"/>
                <w:color w:val="auto"/>
                <w:sz w:val="28"/>
                <w:szCs w:val="28"/>
                <w:lang w:eastAsia="zh-CN"/>
              </w:rPr>
              <w:t>3</w:t>
            </w:r>
          </w:p>
        </w:tc>
        <w:tc>
          <w:tcPr>
            <w:tcW w:w="3685" w:type="dxa"/>
            <w:vAlign w:val="center"/>
          </w:tcPr>
          <w:p w14:paraId="674017EB">
            <w:pPr>
              <w:pStyle w:val="22"/>
              <w:tabs>
                <w:tab w:val="center" w:pos="4153"/>
                <w:tab w:val="right" w:pos="8306"/>
              </w:tabs>
              <w:snapToGrid w:val="0"/>
              <w:spacing w:line="520" w:lineRule="exact"/>
              <w:jc w:val="left"/>
              <w:rPr>
                <w:rFonts w:ascii="仿宋_GB2312" w:eastAsia="仿宋_GB2312"/>
                <w:color w:val="auto"/>
                <w:sz w:val="28"/>
                <w:szCs w:val="28"/>
              </w:rPr>
            </w:pPr>
            <w:r>
              <w:rPr>
                <w:rFonts w:hint="eastAsia" w:ascii="仿宋_GB2312" w:eastAsia="仿宋_GB2312"/>
                <w:color w:val="auto"/>
                <w:sz w:val="28"/>
                <w:szCs w:val="28"/>
              </w:rPr>
              <w:t>入股土地四至范围附图</w:t>
            </w:r>
          </w:p>
        </w:tc>
        <w:tc>
          <w:tcPr>
            <w:tcW w:w="1559" w:type="dxa"/>
          </w:tcPr>
          <w:p w14:paraId="718BFBE7">
            <w:pPr>
              <w:pStyle w:val="16"/>
              <w:tabs>
                <w:tab w:val="left" w:pos="764"/>
              </w:tabs>
              <w:spacing w:line="520" w:lineRule="exact"/>
              <w:ind w:firstLine="0"/>
              <w:jc w:val="left"/>
              <w:rPr>
                <w:color w:val="auto"/>
                <w:sz w:val="28"/>
                <w:szCs w:val="28"/>
              </w:rPr>
            </w:pPr>
          </w:p>
        </w:tc>
        <w:tc>
          <w:tcPr>
            <w:tcW w:w="993" w:type="dxa"/>
          </w:tcPr>
          <w:p w14:paraId="386350CF">
            <w:pPr>
              <w:pStyle w:val="16"/>
              <w:tabs>
                <w:tab w:val="left" w:pos="764"/>
              </w:tabs>
              <w:spacing w:line="520" w:lineRule="exact"/>
              <w:ind w:firstLine="0"/>
              <w:jc w:val="left"/>
              <w:rPr>
                <w:color w:val="auto"/>
                <w:sz w:val="28"/>
                <w:szCs w:val="28"/>
              </w:rPr>
            </w:pPr>
          </w:p>
        </w:tc>
        <w:tc>
          <w:tcPr>
            <w:tcW w:w="992" w:type="dxa"/>
          </w:tcPr>
          <w:p w14:paraId="1BFA90C5">
            <w:pPr>
              <w:pStyle w:val="16"/>
              <w:tabs>
                <w:tab w:val="left" w:pos="764"/>
              </w:tabs>
              <w:spacing w:line="520" w:lineRule="exact"/>
              <w:ind w:firstLine="0"/>
              <w:jc w:val="left"/>
              <w:rPr>
                <w:color w:val="auto"/>
                <w:sz w:val="28"/>
                <w:szCs w:val="28"/>
              </w:rPr>
            </w:pPr>
          </w:p>
        </w:tc>
      </w:tr>
      <w:tr w14:paraId="4471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72E654A">
            <w:pPr>
              <w:pStyle w:val="16"/>
              <w:tabs>
                <w:tab w:val="left" w:pos="764"/>
              </w:tabs>
              <w:spacing w:line="520" w:lineRule="exact"/>
              <w:ind w:firstLine="0"/>
              <w:jc w:val="center"/>
              <w:rPr>
                <w:rFonts w:ascii="仿宋_GB2312" w:eastAsia="仿宋_GB2312"/>
                <w:color w:val="auto"/>
                <w:sz w:val="28"/>
                <w:szCs w:val="28"/>
                <w:lang w:val="en-US" w:eastAsia="zh-CN"/>
              </w:rPr>
            </w:pPr>
            <w:r>
              <w:rPr>
                <w:rFonts w:ascii="仿宋_GB2312" w:eastAsia="仿宋_GB2312"/>
                <w:color w:val="auto"/>
                <w:sz w:val="28"/>
                <w:szCs w:val="28"/>
                <w:lang w:val="en-US" w:eastAsia="zh-CN"/>
              </w:rPr>
              <w:t>4</w:t>
            </w:r>
          </w:p>
        </w:tc>
        <w:tc>
          <w:tcPr>
            <w:tcW w:w="3685" w:type="dxa"/>
            <w:vAlign w:val="center"/>
          </w:tcPr>
          <w:p w14:paraId="5C5AA1F3">
            <w:pPr>
              <w:pStyle w:val="22"/>
              <w:spacing w:line="520" w:lineRule="exact"/>
              <w:jc w:val="left"/>
              <w:rPr>
                <w:rFonts w:ascii="仿宋_GB2312" w:eastAsia="仿宋_GB2312"/>
                <w:color w:val="auto"/>
                <w:sz w:val="28"/>
                <w:szCs w:val="28"/>
              </w:rPr>
            </w:pPr>
            <w:r>
              <w:rPr>
                <w:rFonts w:hint="eastAsia" w:ascii="仿宋_GB2312" w:eastAsia="仿宋_GB2312"/>
                <w:color w:val="auto"/>
                <w:sz w:val="28"/>
                <w:szCs w:val="28"/>
              </w:rPr>
              <w:t>其他（例如：附属建筑及设施清单、村民会议决议书及公示材料、代办授权委托书和证件复印件等）</w:t>
            </w:r>
          </w:p>
        </w:tc>
        <w:tc>
          <w:tcPr>
            <w:tcW w:w="1559" w:type="dxa"/>
          </w:tcPr>
          <w:p w14:paraId="17702C48">
            <w:pPr>
              <w:pStyle w:val="16"/>
              <w:tabs>
                <w:tab w:val="left" w:pos="764"/>
              </w:tabs>
              <w:spacing w:line="520" w:lineRule="exact"/>
              <w:ind w:firstLine="0"/>
              <w:jc w:val="left"/>
              <w:rPr>
                <w:color w:val="auto"/>
                <w:sz w:val="28"/>
                <w:szCs w:val="28"/>
              </w:rPr>
            </w:pPr>
          </w:p>
        </w:tc>
        <w:tc>
          <w:tcPr>
            <w:tcW w:w="993" w:type="dxa"/>
          </w:tcPr>
          <w:p w14:paraId="0AB15DA8">
            <w:pPr>
              <w:pStyle w:val="16"/>
              <w:tabs>
                <w:tab w:val="left" w:pos="764"/>
              </w:tabs>
              <w:spacing w:line="520" w:lineRule="exact"/>
              <w:ind w:firstLine="0"/>
              <w:jc w:val="left"/>
              <w:rPr>
                <w:color w:val="auto"/>
                <w:sz w:val="28"/>
                <w:szCs w:val="28"/>
              </w:rPr>
            </w:pPr>
          </w:p>
        </w:tc>
        <w:tc>
          <w:tcPr>
            <w:tcW w:w="992" w:type="dxa"/>
          </w:tcPr>
          <w:p w14:paraId="481451DD">
            <w:pPr>
              <w:pStyle w:val="16"/>
              <w:tabs>
                <w:tab w:val="left" w:pos="764"/>
              </w:tabs>
              <w:spacing w:line="520" w:lineRule="exact"/>
              <w:ind w:firstLine="0"/>
              <w:jc w:val="left"/>
              <w:rPr>
                <w:color w:val="auto"/>
                <w:sz w:val="28"/>
                <w:szCs w:val="28"/>
              </w:rPr>
            </w:pPr>
          </w:p>
        </w:tc>
      </w:tr>
      <w:tr w14:paraId="5F74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35E67CE">
            <w:pPr>
              <w:pStyle w:val="16"/>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14:paraId="39C6B349">
            <w:pPr>
              <w:pStyle w:val="22"/>
              <w:spacing w:line="520" w:lineRule="exact"/>
              <w:jc w:val="center"/>
              <w:rPr>
                <w:rFonts w:ascii="仿宋_GB2312" w:eastAsia="仿宋_GB2312"/>
                <w:color w:val="auto"/>
                <w:sz w:val="28"/>
                <w:szCs w:val="28"/>
              </w:rPr>
            </w:pPr>
          </w:p>
        </w:tc>
        <w:tc>
          <w:tcPr>
            <w:tcW w:w="1559" w:type="dxa"/>
          </w:tcPr>
          <w:p w14:paraId="111144EA">
            <w:pPr>
              <w:pStyle w:val="16"/>
              <w:tabs>
                <w:tab w:val="left" w:pos="764"/>
              </w:tabs>
              <w:spacing w:line="520" w:lineRule="exact"/>
              <w:ind w:firstLine="0"/>
              <w:jc w:val="left"/>
              <w:rPr>
                <w:color w:val="auto"/>
                <w:sz w:val="28"/>
                <w:szCs w:val="28"/>
              </w:rPr>
            </w:pPr>
          </w:p>
        </w:tc>
        <w:tc>
          <w:tcPr>
            <w:tcW w:w="993" w:type="dxa"/>
          </w:tcPr>
          <w:p w14:paraId="04D44371">
            <w:pPr>
              <w:pStyle w:val="16"/>
              <w:tabs>
                <w:tab w:val="left" w:pos="764"/>
              </w:tabs>
              <w:spacing w:line="520" w:lineRule="exact"/>
              <w:ind w:firstLine="0"/>
              <w:jc w:val="left"/>
              <w:rPr>
                <w:color w:val="auto"/>
                <w:sz w:val="28"/>
                <w:szCs w:val="28"/>
              </w:rPr>
            </w:pPr>
          </w:p>
        </w:tc>
        <w:tc>
          <w:tcPr>
            <w:tcW w:w="992" w:type="dxa"/>
          </w:tcPr>
          <w:p w14:paraId="3E526D5A">
            <w:pPr>
              <w:pStyle w:val="16"/>
              <w:tabs>
                <w:tab w:val="left" w:pos="764"/>
              </w:tabs>
              <w:spacing w:line="520" w:lineRule="exact"/>
              <w:ind w:firstLine="0"/>
              <w:jc w:val="left"/>
              <w:rPr>
                <w:color w:val="auto"/>
                <w:sz w:val="28"/>
                <w:szCs w:val="28"/>
              </w:rPr>
            </w:pPr>
          </w:p>
        </w:tc>
      </w:tr>
      <w:tr w14:paraId="225E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B3B3884">
            <w:pPr>
              <w:pStyle w:val="16"/>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14:paraId="0FF57AF2">
            <w:pPr>
              <w:pStyle w:val="22"/>
              <w:spacing w:line="520" w:lineRule="exact"/>
              <w:jc w:val="center"/>
              <w:rPr>
                <w:rFonts w:ascii="仿宋_GB2312" w:eastAsia="仿宋_GB2312"/>
                <w:color w:val="auto"/>
                <w:sz w:val="28"/>
                <w:szCs w:val="28"/>
              </w:rPr>
            </w:pPr>
          </w:p>
        </w:tc>
        <w:tc>
          <w:tcPr>
            <w:tcW w:w="1559" w:type="dxa"/>
          </w:tcPr>
          <w:p w14:paraId="273E4332">
            <w:pPr>
              <w:pStyle w:val="16"/>
              <w:tabs>
                <w:tab w:val="left" w:pos="764"/>
              </w:tabs>
              <w:spacing w:line="520" w:lineRule="exact"/>
              <w:ind w:firstLine="0"/>
              <w:jc w:val="left"/>
              <w:rPr>
                <w:color w:val="auto"/>
                <w:sz w:val="28"/>
                <w:szCs w:val="28"/>
              </w:rPr>
            </w:pPr>
          </w:p>
        </w:tc>
        <w:tc>
          <w:tcPr>
            <w:tcW w:w="993" w:type="dxa"/>
          </w:tcPr>
          <w:p w14:paraId="0E860F69">
            <w:pPr>
              <w:pStyle w:val="16"/>
              <w:tabs>
                <w:tab w:val="left" w:pos="764"/>
              </w:tabs>
              <w:spacing w:line="520" w:lineRule="exact"/>
              <w:ind w:firstLine="0"/>
              <w:jc w:val="left"/>
              <w:rPr>
                <w:color w:val="auto"/>
                <w:sz w:val="28"/>
                <w:szCs w:val="28"/>
              </w:rPr>
            </w:pPr>
          </w:p>
        </w:tc>
        <w:tc>
          <w:tcPr>
            <w:tcW w:w="992" w:type="dxa"/>
          </w:tcPr>
          <w:p w14:paraId="2ED28B85">
            <w:pPr>
              <w:pStyle w:val="16"/>
              <w:tabs>
                <w:tab w:val="left" w:pos="764"/>
              </w:tabs>
              <w:spacing w:line="520" w:lineRule="exact"/>
              <w:ind w:firstLine="0"/>
              <w:jc w:val="left"/>
              <w:rPr>
                <w:color w:val="auto"/>
                <w:sz w:val="28"/>
                <w:szCs w:val="28"/>
              </w:rPr>
            </w:pPr>
          </w:p>
        </w:tc>
      </w:tr>
      <w:tr w14:paraId="267A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Align w:val="center"/>
          </w:tcPr>
          <w:p w14:paraId="28AEB951">
            <w:pPr>
              <w:pStyle w:val="16"/>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14:paraId="0659002F">
            <w:pPr>
              <w:pStyle w:val="22"/>
              <w:spacing w:line="520" w:lineRule="exact"/>
              <w:jc w:val="center"/>
              <w:rPr>
                <w:rFonts w:ascii="仿宋_GB2312" w:eastAsia="仿宋_GB2312"/>
                <w:color w:val="auto"/>
                <w:sz w:val="28"/>
                <w:szCs w:val="28"/>
              </w:rPr>
            </w:pPr>
          </w:p>
        </w:tc>
        <w:tc>
          <w:tcPr>
            <w:tcW w:w="1559" w:type="dxa"/>
          </w:tcPr>
          <w:p w14:paraId="72FE602D">
            <w:pPr>
              <w:pStyle w:val="16"/>
              <w:tabs>
                <w:tab w:val="left" w:pos="764"/>
              </w:tabs>
              <w:spacing w:line="520" w:lineRule="exact"/>
              <w:ind w:firstLine="0"/>
              <w:jc w:val="left"/>
              <w:rPr>
                <w:color w:val="auto"/>
                <w:sz w:val="28"/>
                <w:szCs w:val="28"/>
              </w:rPr>
            </w:pPr>
          </w:p>
        </w:tc>
        <w:tc>
          <w:tcPr>
            <w:tcW w:w="993" w:type="dxa"/>
          </w:tcPr>
          <w:p w14:paraId="5D425FE8">
            <w:pPr>
              <w:pStyle w:val="16"/>
              <w:tabs>
                <w:tab w:val="left" w:pos="764"/>
              </w:tabs>
              <w:spacing w:line="520" w:lineRule="exact"/>
              <w:ind w:firstLine="0"/>
              <w:jc w:val="left"/>
              <w:rPr>
                <w:color w:val="auto"/>
                <w:sz w:val="28"/>
                <w:szCs w:val="28"/>
              </w:rPr>
            </w:pPr>
          </w:p>
        </w:tc>
        <w:tc>
          <w:tcPr>
            <w:tcW w:w="992" w:type="dxa"/>
          </w:tcPr>
          <w:p w14:paraId="373F6339">
            <w:pPr>
              <w:pStyle w:val="16"/>
              <w:tabs>
                <w:tab w:val="left" w:pos="764"/>
              </w:tabs>
              <w:spacing w:line="520" w:lineRule="exact"/>
              <w:ind w:firstLine="0"/>
              <w:jc w:val="left"/>
              <w:rPr>
                <w:color w:val="auto"/>
                <w:sz w:val="28"/>
                <w:szCs w:val="28"/>
              </w:rPr>
            </w:pPr>
          </w:p>
        </w:tc>
      </w:tr>
      <w:tr w14:paraId="24DE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8C713AC">
            <w:pPr>
              <w:pStyle w:val="16"/>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14:paraId="66E6BC59">
            <w:pPr>
              <w:pStyle w:val="22"/>
              <w:spacing w:line="520" w:lineRule="exact"/>
              <w:jc w:val="center"/>
              <w:rPr>
                <w:rFonts w:ascii="仿宋_GB2312" w:eastAsia="仿宋_GB2312"/>
                <w:color w:val="auto"/>
                <w:sz w:val="28"/>
                <w:szCs w:val="28"/>
              </w:rPr>
            </w:pPr>
          </w:p>
        </w:tc>
        <w:tc>
          <w:tcPr>
            <w:tcW w:w="1559" w:type="dxa"/>
          </w:tcPr>
          <w:p w14:paraId="580F93FF">
            <w:pPr>
              <w:pStyle w:val="16"/>
              <w:tabs>
                <w:tab w:val="left" w:pos="764"/>
              </w:tabs>
              <w:spacing w:line="520" w:lineRule="exact"/>
              <w:ind w:firstLine="0"/>
              <w:jc w:val="left"/>
              <w:rPr>
                <w:color w:val="auto"/>
                <w:sz w:val="28"/>
                <w:szCs w:val="28"/>
              </w:rPr>
            </w:pPr>
          </w:p>
        </w:tc>
        <w:tc>
          <w:tcPr>
            <w:tcW w:w="993" w:type="dxa"/>
          </w:tcPr>
          <w:p w14:paraId="528F5019">
            <w:pPr>
              <w:pStyle w:val="16"/>
              <w:tabs>
                <w:tab w:val="left" w:pos="764"/>
              </w:tabs>
              <w:spacing w:line="520" w:lineRule="exact"/>
              <w:ind w:firstLine="0"/>
              <w:jc w:val="left"/>
              <w:rPr>
                <w:color w:val="auto"/>
                <w:sz w:val="28"/>
                <w:szCs w:val="28"/>
              </w:rPr>
            </w:pPr>
          </w:p>
        </w:tc>
        <w:tc>
          <w:tcPr>
            <w:tcW w:w="992" w:type="dxa"/>
          </w:tcPr>
          <w:p w14:paraId="276F12F0">
            <w:pPr>
              <w:pStyle w:val="16"/>
              <w:tabs>
                <w:tab w:val="left" w:pos="764"/>
              </w:tabs>
              <w:spacing w:line="520" w:lineRule="exact"/>
              <w:ind w:firstLine="0"/>
              <w:jc w:val="left"/>
              <w:rPr>
                <w:color w:val="auto"/>
                <w:sz w:val="28"/>
                <w:szCs w:val="28"/>
              </w:rPr>
            </w:pPr>
          </w:p>
        </w:tc>
      </w:tr>
      <w:tr w14:paraId="02D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76A6383">
            <w:pPr>
              <w:pStyle w:val="16"/>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14:paraId="0306B7A3">
            <w:pPr>
              <w:pStyle w:val="22"/>
              <w:spacing w:line="520" w:lineRule="exact"/>
              <w:jc w:val="center"/>
              <w:rPr>
                <w:rFonts w:ascii="仿宋_GB2312" w:eastAsia="仿宋_GB2312"/>
                <w:color w:val="auto"/>
                <w:sz w:val="28"/>
                <w:szCs w:val="28"/>
              </w:rPr>
            </w:pPr>
          </w:p>
        </w:tc>
        <w:tc>
          <w:tcPr>
            <w:tcW w:w="1559" w:type="dxa"/>
          </w:tcPr>
          <w:p w14:paraId="0A1834F3">
            <w:pPr>
              <w:pStyle w:val="16"/>
              <w:tabs>
                <w:tab w:val="left" w:pos="764"/>
              </w:tabs>
              <w:spacing w:line="520" w:lineRule="exact"/>
              <w:ind w:firstLine="0"/>
              <w:jc w:val="left"/>
              <w:rPr>
                <w:color w:val="auto"/>
                <w:sz w:val="28"/>
                <w:szCs w:val="28"/>
              </w:rPr>
            </w:pPr>
          </w:p>
        </w:tc>
        <w:tc>
          <w:tcPr>
            <w:tcW w:w="993" w:type="dxa"/>
          </w:tcPr>
          <w:p w14:paraId="0241E1AD">
            <w:pPr>
              <w:pStyle w:val="16"/>
              <w:tabs>
                <w:tab w:val="left" w:pos="764"/>
              </w:tabs>
              <w:spacing w:line="520" w:lineRule="exact"/>
              <w:ind w:firstLine="0"/>
              <w:jc w:val="left"/>
              <w:rPr>
                <w:color w:val="auto"/>
                <w:sz w:val="28"/>
                <w:szCs w:val="28"/>
              </w:rPr>
            </w:pPr>
          </w:p>
        </w:tc>
        <w:tc>
          <w:tcPr>
            <w:tcW w:w="992" w:type="dxa"/>
          </w:tcPr>
          <w:p w14:paraId="0930F7C0">
            <w:pPr>
              <w:pStyle w:val="16"/>
              <w:tabs>
                <w:tab w:val="left" w:pos="764"/>
              </w:tabs>
              <w:spacing w:line="520" w:lineRule="exact"/>
              <w:ind w:firstLine="0"/>
              <w:jc w:val="left"/>
              <w:rPr>
                <w:color w:val="auto"/>
                <w:sz w:val="28"/>
                <w:szCs w:val="28"/>
              </w:rPr>
            </w:pPr>
          </w:p>
        </w:tc>
      </w:tr>
      <w:tr w14:paraId="10F9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D8B45D1">
            <w:pPr>
              <w:pStyle w:val="16"/>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14:paraId="78EE1038">
            <w:pPr>
              <w:pStyle w:val="22"/>
              <w:spacing w:line="520" w:lineRule="exact"/>
              <w:jc w:val="center"/>
              <w:rPr>
                <w:rFonts w:ascii="仿宋_GB2312" w:eastAsia="仿宋_GB2312"/>
                <w:color w:val="auto"/>
                <w:sz w:val="28"/>
                <w:szCs w:val="28"/>
              </w:rPr>
            </w:pPr>
          </w:p>
        </w:tc>
        <w:tc>
          <w:tcPr>
            <w:tcW w:w="1559" w:type="dxa"/>
          </w:tcPr>
          <w:p w14:paraId="1266CC96">
            <w:pPr>
              <w:pStyle w:val="16"/>
              <w:tabs>
                <w:tab w:val="left" w:pos="764"/>
              </w:tabs>
              <w:spacing w:line="520" w:lineRule="exact"/>
              <w:ind w:firstLine="0"/>
              <w:jc w:val="left"/>
              <w:rPr>
                <w:color w:val="auto"/>
                <w:sz w:val="28"/>
                <w:szCs w:val="28"/>
              </w:rPr>
            </w:pPr>
          </w:p>
        </w:tc>
        <w:tc>
          <w:tcPr>
            <w:tcW w:w="993" w:type="dxa"/>
          </w:tcPr>
          <w:p w14:paraId="7D1AE485">
            <w:pPr>
              <w:pStyle w:val="16"/>
              <w:tabs>
                <w:tab w:val="left" w:pos="764"/>
              </w:tabs>
              <w:spacing w:line="520" w:lineRule="exact"/>
              <w:ind w:firstLine="0"/>
              <w:jc w:val="left"/>
              <w:rPr>
                <w:color w:val="auto"/>
                <w:sz w:val="28"/>
                <w:szCs w:val="28"/>
              </w:rPr>
            </w:pPr>
          </w:p>
        </w:tc>
        <w:tc>
          <w:tcPr>
            <w:tcW w:w="992" w:type="dxa"/>
          </w:tcPr>
          <w:p w14:paraId="6BE465DD">
            <w:pPr>
              <w:pStyle w:val="16"/>
              <w:tabs>
                <w:tab w:val="left" w:pos="764"/>
              </w:tabs>
              <w:spacing w:line="520" w:lineRule="exact"/>
              <w:ind w:firstLine="0"/>
              <w:jc w:val="left"/>
              <w:rPr>
                <w:color w:val="auto"/>
                <w:sz w:val="28"/>
                <w:szCs w:val="28"/>
              </w:rPr>
            </w:pPr>
          </w:p>
        </w:tc>
      </w:tr>
      <w:tr w14:paraId="126B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99C2207">
            <w:pPr>
              <w:pStyle w:val="16"/>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685" w:type="dxa"/>
            <w:vAlign w:val="center"/>
          </w:tcPr>
          <w:p w14:paraId="1FC39772">
            <w:pPr>
              <w:pStyle w:val="22"/>
              <w:keepNext/>
              <w:keepLines/>
              <w:spacing w:before="260" w:after="260" w:line="520" w:lineRule="exact"/>
              <w:jc w:val="center"/>
              <w:rPr>
                <w:rFonts w:ascii="仿宋_GB2312" w:eastAsia="仿宋_GB2312"/>
                <w:color w:val="auto"/>
                <w:sz w:val="28"/>
                <w:szCs w:val="28"/>
              </w:rPr>
            </w:pPr>
          </w:p>
        </w:tc>
        <w:tc>
          <w:tcPr>
            <w:tcW w:w="1559" w:type="dxa"/>
          </w:tcPr>
          <w:p w14:paraId="3555DB97">
            <w:pPr>
              <w:pStyle w:val="16"/>
              <w:keepNext/>
              <w:keepLines/>
              <w:tabs>
                <w:tab w:val="left" w:pos="764"/>
              </w:tabs>
              <w:spacing w:before="260" w:after="260" w:line="520" w:lineRule="exact"/>
              <w:ind w:firstLine="0"/>
              <w:jc w:val="left"/>
              <w:rPr>
                <w:color w:val="auto"/>
                <w:sz w:val="28"/>
                <w:szCs w:val="28"/>
              </w:rPr>
            </w:pPr>
          </w:p>
        </w:tc>
        <w:tc>
          <w:tcPr>
            <w:tcW w:w="993" w:type="dxa"/>
          </w:tcPr>
          <w:p w14:paraId="11415580">
            <w:pPr>
              <w:pStyle w:val="16"/>
              <w:keepNext/>
              <w:keepLines/>
              <w:tabs>
                <w:tab w:val="left" w:pos="764"/>
              </w:tabs>
              <w:spacing w:before="260" w:after="260" w:line="520" w:lineRule="exact"/>
              <w:ind w:firstLine="0"/>
              <w:jc w:val="left"/>
              <w:rPr>
                <w:color w:val="auto"/>
                <w:sz w:val="28"/>
                <w:szCs w:val="28"/>
              </w:rPr>
            </w:pPr>
          </w:p>
        </w:tc>
        <w:tc>
          <w:tcPr>
            <w:tcW w:w="992" w:type="dxa"/>
          </w:tcPr>
          <w:p w14:paraId="0624C243">
            <w:pPr>
              <w:pStyle w:val="16"/>
              <w:keepNext/>
              <w:keepLines/>
              <w:tabs>
                <w:tab w:val="left" w:pos="764"/>
              </w:tabs>
              <w:spacing w:before="260" w:after="260" w:line="520" w:lineRule="exact"/>
              <w:ind w:firstLine="0"/>
              <w:jc w:val="left"/>
              <w:rPr>
                <w:color w:val="auto"/>
                <w:sz w:val="28"/>
                <w:szCs w:val="28"/>
              </w:rPr>
            </w:pPr>
          </w:p>
        </w:tc>
      </w:tr>
      <w:tr w14:paraId="758D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4BE6E58">
            <w:pPr>
              <w:pStyle w:val="16"/>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14:paraId="5A1B8C78">
            <w:pPr>
              <w:pStyle w:val="22"/>
              <w:spacing w:line="520" w:lineRule="exact"/>
              <w:jc w:val="center"/>
              <w:rPr>
                <w:rFonts w:ascii="仿宋_GB2312" w:eastAsia="仿宋_GB2312"/>
                <w:color w:val="auto"/>
                <w:sz w:val="28"/>
                <w:szCs w:val="28"/>
              </w:rPr>
            </w:pPr>
          </w:p>
        </w:tc>
        <w:tc>
          <w:tcPr>
            <w:tcW w:w="1559" w:type="dxa"/>
          </w:tcPr>
          <w:p w14:paraId="303A4243">
            <w:pPr>
              <w:pStyle w:val="16"/>
              <w:tabs>
                <w:tab w:val="left" w:pos="764"/>
              </w:tabs>
              <w:spacing w:line="520" w:lineRule="exact"/>
              <w:ind w:firstLine="0"/>
              <w:jc w:val="left"/>
              <w:rPr>
                <w:color w:val="auto"/>
                <w:sz w:val="28"/>
                <w:szCs w:val="28"/>
              </w:rPr>
            </w:pPr>
          </w:p>
        </w:tc>
        <w:tc>
          <w:tcPr>
            <w:tcW w:w="993" w:type="dxa"/>
          </w:tcPr>
          <w:p w14:paraId="35A687AC">
            <w:pPr>
              <w:pStyle w:val="16"/>
              <w:tabs>
                <w:tab w:val="left" w:pos="764"/>
              </w:tabs>
              <w:spacing w:line="520" w:lineRule="exact"/>
              <w:ind w:firstLine="0"/>
              <w:jc w:val="left"/>
              <w:rPr>
                <w:color w:val="auto"/>
                <w:sz w:val="28"/>
                <w:szCs w:val="28"/>
              </w:rPr>
            </w:pPr>
          </w:p>
        </w:tc>
        <w:tc>
          <w:tcPr>
            <w:tcW w:w="992" w:type="dxa"/>
          </w:tcPr>
          <w:p w14:paraId="54A6C425">
            <w:pPr>
              <w:pStyle w:val="16"/>
              <w:tabs>
                <w:tab w:val="left" w:pos="764"/>
              </w:tabs>
              <w:spacing w:line="520" w:lineRule="exact"/>
              <w:ind w:firstLine="0"/>
              <w:jc w:val="left"/>
              <w:rPr>
                <w:color w:val="auto"/>
                <w:sz w:val="28"/>
                <w:szCs w:val="28"/>
              </w:rPr>
            </w:pPr>
          </w:p>
        </w:tc>
      </w:tr>
      <w:tr w14:paraId="434D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5"/>
            <w:vAlign w:val="center"/>
          </w:tcPr>
          <w:p w14:paraId="585889D6">
            <w:pPr>
              <w:pStyle w:val="16"/>
              <w:tabs>
                <w:tab w:val="left" w:pos="764"/>
              </w:tabs>
              <w:spacing w:line="520" w:lineRule="exact"/>
              <w:ind w:firstLine="980"/>
              <w:jc w:val="center"/>
              <w:rPr>
                <w:color w:val="auto"/>
                <w:sz w:val="28"/>
                <w:szCs w:val="28"/>
              </w:rPr>
            </w:pPr>
            <w:r>
              <w:rPr>
                <w:rFonts w:hint="eastAsia" w:ascii="仿宋_GB2312" w:eastAsia="仿宋_GB2312"/>
                <w:color w:val="auto"/>
                <w:sz w:val="28"/>
                <w:szCs w:val="28"/>
              </w:rPr>
              <w:t xml:space="preserve">共计   </w:t>
            </w:r>
            <w:r>
              <w:rPr>
                <w:rFonts w:ascii="仿宋_GB2312" w:eastAsia="仿宋_GB2312"/>
                <w:color w:val="auto"/>
                <w:sz w:val="28"/>
                <w:szCs w:val="28"/>
                <w:lang w:eastAsia="zh-CN"/>
              </w:rPr>
              <w:t xml:space="preserve">  </w:t>
            </w:r>
            <w:r>
              <w:rPr>
                <w:rFonts w:hint="eastAsia" w:ascii="仿宋_GB2312" w:eastAsia="仿宋_GB2312"/>
                <w:color w:val="auto"/>
                <w:sz w:val="28"/>
                <w:szCs w:val="28"/>
              </w:rPr>
              <w:t>份，</w:t>
            </w:r>
            <w:r>
              <w:rPr>
                <w:rFonts w:ascii="仿宋_GB2312" w:eastAsia="仿宋_GB2312"/>
                <w:color w:val="auto"/>
                <w:sz w:val="28"/>
                <w:szCs w:val="28"/>
              </w:rPr>
              <w:t xml:space="preserve"> </w:t>
            </w:r>
            <w:r>
              <w:rPr>
                <w:rFonts w:ascii="仿宋_GB2312" w:eastAsia="仿宋_GB2312"/>
                <w:color w:val="auto"/>
                <w:sz w:val="28"/>
                <w:szCs w:val="28"/>
                <w:lang w:eastAsia="zh-CN"/>
              </w:rPr>
              <w:t xml:space="preserve">   </w:t>
            </w:r>
            <w:r>
              <w:rPr>
                <w:rFonts w:hint="eastAsia" w:ascii="仿宋_GB2312" w:eastAsia="仿宋_GB2312"/>
                <w:color w:val="auto"/>
                <w:sz w:val="28"/>
                <w:szCs w:val="28"/>
              </w:rPr>
              <w:t>页。</w:t>
            </w:r>
          </w:p>
        </w:tc>
      </w:tr>
    </w:tbl>
    <w:p w14:paraId="29A07A5C">
      <w:pPr>
        <w:pStyle w:val="16"/>
        <w:tabs>
          <w:tab w:val="left" w:pos="764"/>
        </w:tabs>
        <w:spacing w:line="520" w:lineRule="exact"/>
        <w:ind w:firstLine="0"/>
        <w:rPr>
          <w:rFonts w:eastAsia="仿宋_GB2312"/>
          <w:color w:val="auto"/>
          <w:sz w:val="32"/>
          <w:szCs w:val="32"/>
          <w:lang w:eastAsia="zh-CN"/>
        </w:rPr>
      </w:pPr>
    </w:p>
    <w:sectPr>
      <w:type w:val="continuous"/>
      <w:pgSz w:w="11900" w:h="16840"/>
      <w:pgMar w:top="1668" w:right="3289" w:bottom="1668" w:left="2269" w:header="0" w:footer="3" w:gutter="0"/>
      <w:cols w:space="255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swiss"/>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黑体">
    <w:altName w:val="黑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wiss"/>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487"/>
      <w:docPartObj>
        <w:docPartGallery w:val="autotext"/>
      </w:docPartObj>
    </w:sdtPr>
    <w:sdtContent>
      <w:p w14:paraId="3E7ADFB5">
        <w:pPr>
          <w:pStyle w:val="5"/>
          <w:jc w:val="center"/>
        </w:pPr>
        <w:r>
          <w:fldChar w:fldCharType="begin"/>
        </w:r>
        <w:r>
          <w:instrText xml:space="preserve"> PAGE   \* MERGEFORMAT </w:instrText>
        </w:r>
        <w:r>
          <w:fldChar w:fldCharType="separate"/>
        </w:r>
        <w:r>
          <w:rPr>
            <w:lang w:val="zh-CN"/>
          </w:rPr>
          <w:t>1</w:t>
        </w:r>
        <w:r>
          <w:fldChar w:fldCharType="end"/>
        </w:r>
      </w:p>
    </w:sdtContent>
  </w:sdt>
  <w:p w14:paraId="3C811B1F">
    <w:pPr>
      <w:pStyle w:val="5"/>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488"/>
      <w:docPartObj>
        <w:docPartGallery w:val="autotext"/>
      </w:docPartObj>
    </w:sdtPr>
    <w:sdtContent>
      <w:p w14:paraId="241A32BC">
        <w:pPr>
          <w:pStyle w:val="5"/>
          <w:jc w:val="center"/>
        </w:pPr>
        <w:r>
          <w:fldChar w:fldCharType="begin"/>
        </w:r>
        <w:r>
          <w:instrText xml:space="preserve"> PAGE   \* MERGEFORMAT </w:instrText>
        </w:r>
        <w:r>
          <w:fldChar w:fldCharType="separate"/>
        </w:r>
        <w:r>
          <w:rPr>
            <w:lang w:val="zh-CN"/>
          </w:rPr>
          <w:t>10</w:t>
        </w:r>
        <w:r>
          <w:fldChar w:fldCharType="end"/>
        </w:r>
      </w:p>
    </w:sdtContent>
  </w:sdt>
  <w:p w14:paraId="3ED6CA28">
    <w:pPr>
      <w:pStyle w:val="5"/>
      <w:rPr>
        <w:rFonts w:eastAsiaTheme="minor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NlODk5OWU3M2FhNzY2OWNiYmYyZDFjMDA0ODk5NjUifQ=="/>
  </w:docVars>
  <w:rsids>
    <w:rsidRoot w:val="146D2E62"/>
    <w:rsid w:val="00001FAD"/>
    <w:rsid w:val="00003490"/>
    <w:rsid w:val="00003C1B"/>
    <w:rsid w:val="00004FD1"/>
    <w:rsid w:val="00014A61"/>
    <w:rsid w:val="00036200"/>
    <w:rsid w:val="00037FC8"/>
    <w:rsid w:val="00045347"/>
    <w:rsid w:val="000454E3"/>
    <w:rsid w:val="00053043"/>
    <w:rsid w:val="00054620"/>
    <w:rsid w:val="00057812"/>
    <w:rsid w:val="00060A4A"/>
    <w:rsid w:val="00060D67"/>
    <w:rsid w:val="00064C24"/>
    <w:rsid w:val="000657E0"/>
    <w:rsid w:val="00065E38"/>
    <w:rsid w:val="00065F52"/>
    <w:rsid w:val="00067804"/>
    <w:rsid w:val="00067D0E"/>
    <w:rsid w:val="000720D5"/>
    <w:rsid w:val="00073963"/>
    <w:rsid w:val="00083E05"/>
    <w:rsid w:val="000857D8"/>
    <w:rsid w:val="000901B4"/>
    <w:rsid w:val="00090A27"/>
    <w:rsid w:val="00093720"/>
    <w:rsid w:val="00094C77"/>
    <w:rsid w:val="00095E56"/>
    <w:rsid w:val="000A3B1B"/>
    <w:rsid w:val="000A496E"/>
    <w:rsid w:val="000B45CC"/>
    <w:rsid w:val="000C6C4A"/>
    <w:rsid w:val="000D33B6"/>
    <w:rsid w:val="000D3AAE"/>
    <w:rsid w:val="000E221F"/>
    <w:rsid w:val="000E2EEE"/>
    <w:rsid w:val="000E74A3"/>
    <w:rsid w:val="000F2B44"/>
    <w:rsid w:val="000F345B"/>
    <w:rsid w:val="000F5D5C"/>
    <w:rsid w:val="00102903"/>
    <w:rsid w:val="00105560"/>
    <w:rsid w:val="00107324"/>
    <w:rsid w:val="00112166"/>
    <w:rsid w:val="00112F4A"/>
    <w:rsid w:val="00114412"/>
    <w:rsid w:val="00115440"/>
    <w:rsid w:val="00115881"/>
    <w:rsid w:val="001209C9"/>
    <w:rsid w:val="001232B8"/>
    <w:rsid w:val="001246FD"/>
    <w:rsid w:val="00127220"/>
    <w:rsid w:val="001450F8"/>
    <w:rsid w:val="00152CF4"/>
    <w:rsid w:val="00152E89"/>
    <w:rsid w:val="0015667A"/>
    <w:rsid w:val="00167204"/>
    <w:rsid w:val="0017122C"/>
    <w:rsid w:val="00171BF0"/>
    <w:rsid w:val="00175C66"/>
    <w:rsid w:val="00181A93"/>
    <w:rsid w:val="0019137D"/>
    <w:rsid w:val="00196209"/>
    <w:rsid w:val="001A1734"/>
    <w:rsid w:val="001A5757"/>
    <w:rsid w:val="001B4D63"/>
    <w:rsid w:val="001B73ED"/>
    <w:rsid w:val="001C174E"/>
    <w:rsid w:val="001F0F43"/>
    <w:rsid w:val="001F3C8B"/>
    <w:rsid w:val="001F59AF"/>
    <w:rsid w:val="001F7788"/>
    <w:rsid w:val="002007CC"/>
    <w:rsid w:val="00201F55"/>
    <w:rsid w:val="00204C9E"/>
    <w:rsid w:val="00207D96"/>
    <w:rsid w:val="00211973"/>
    <w:rsid w:val="002140C9"/>
    <w:rsid w:val="0021627F"/>
    <w:rsid w:val="00220646"/>
    <w:rsid w:val="00234646"/>
    <w:rsid w:val="00235852"/>
    <w:rsid w:val="0024276E"/>
    <w:rsid w:val="00242E90"/>
    <w:rsid w:val="0025268F"/>
    <w:rsid w:val="00260011"/>
    <w:rsid w:val="00262548"/>
    <w:rsid w:val="00267697"/>
    <w:rsid w:val="00270C6C"/>
    <w:rsid w:val="00274AAA"/>
    <w:rsid w:val="00276164"/>
    <w:rsid w:val="00277D55"/>
    <w:rsid w:val="00277DF2"/>
    <w:rsid w:val="00283C88"/>
    <w:rsid w:val="002874D2"/>
    <w:rsid w:val="00292451"/>
    <w:rsid w:val="00293F7C"/>
    <w:rsid w:val="0029644B"/>
    <w:rsid w:val="0029669A"/>
    <w:rsid w:val="002A00DB"/>
    <w:rsid w:val="002A19B3"/>
    <w:rsid w:val="002A1B58"/>
    <w:rsid w:val="002A6012"/>
    <w:rsid w:val="002B041B"/>
    <w:rsid w:val="002B12A6"/>
    <w:rsid w:val="002B5BC0"/>
    <w:rsid w:val="002B7E7F"/>
    <w:rsid w:val="002C078B"/>
    <w:rsid w:val="002C2816"/>
    <w:rsid w:val="002C4AAD"/>
    <w:rsid w:val="002C739C"/>
    <w:rsid w:val="002D2D67"/>
    <w:rsid w:val="002D7ED8"/>
    <w:rsid w:val="002E0A9B"/>
    <w:rsid w:val="002E2E7A"/>
    <w:rsid w:val="002E3CCA"/>
    <w:rsid w:val="002F00B3"/>
    <w:rsid w:val="002F40A5"/>
    <w:rsid w:val="002F69BB"/>
    <w:rsid w:val="002F7509"/>
    <w:rsid w:val="0030084B"/>
    <w:rsid w:val="00301A15"/>
    <w:rsid w:val="00301A7D"/>
    <w:rsid w:val="00301BF1"/>
    <w:rsid w:val="00310ECF"/>
    <w:rsid w:val="003212B2"/>
    <w:rsid w:val="00321C37"/>
    <w:rsid w:val="00326701"/>
    <w:rsid w:val="003325BA"/>
    <w:rsid w:val="00334A60"/>
    <w:rsid w:val="00334E13"/>
    <w:rsid w:val="00335565"/>
    <w:rsid w:val="00340CD9"/>
    <w:rsid w:val="00343670"/>
    <w:rsid w:val="003469D9"/>
    <w:rsid w:val="003622F7"/>
    <w:rsid w:val="003624DB"/>
    <w:rsid w:val="0038102B"/>
    <w:rsid w:val="00384253"/>
    <w:rsid w:val="003859B4"/>
    <w:rsid w:val="003921D2"/>
    <w:rsid w:val="0039483C"/>
    <w:rsid w:val="0039608F"/>
    <w:rsid w:val="003974CD"/>
    <w:rsid w:val="003A2E9F"/>
    <w:rsid w:val="003A4E2E"/>
    <w:rsid w:val="003B4750"/>
    <w:rsid w:val="003B67F1"/>
    <w:rsid w:val="003C1374"/>
    <w:rsid w:val="003D41A6"/>
    <w:rsid w:val="003D569E"/>
    <w:rsid w:val="003E55BB"/>
    <w:rsid w:val="003E74C9"/>
    <w:rsid w:val="003F3765"/>
    <w:rsid w:val="003F5456"/>
    <w:rsid w:val="003F5584"/>
    <w:rsid w:val="00403EC9"/>
    <w:rsid w:val="00405E3B"/>
    <w:rsid w:val="0041227C"/>
    <w:rsid w:val="00432069"/>
    <w:rsid w:val="00433141"/>
    <w:rsid w:val="00433FDA"/>
    <w:rsid w:val="0043434C"/>
    <w:rsid w:val="004356FA"/>
    <w:rsid w:val="00435AED"/>
    <w:rsid w:val="00436BDA"/>
    <w:rsid w:val="00440131"/>
    <w:rsid w:val="0044241B"/>
    <w:rsid w:val="00447971"/>
    <w:rsid w:val="00455781"/>
    <w:rsid w:val="00455B82"/>
    <w:rsid w:val="00464202"/>
    <w:rsid w:val="0047391B"/>
    <w:rsid w:val="0047512B"/>
    <w:rsid w:val="0048025B"/>
    <w:rsid w:val="0049312D"/>
    <w:rsid w:val="00497413"/>
    <w:rsid w:val="004A277A"/>
    <w:rsid w:val="004A3E34"/>
    <w:rsid w:val="004A7545"/>
    <w:rsid w:val="004B2780"/>
    <w:rsid w:val="004B5552"/>
    <w:rsid w:val="004C12DC"/>
    <w:rsid w:val="004D3F05"/>
    <w:rsid w:val="004D6638"/>
    <w:rsid w:val="004E11FF"/>
    <w:rsid w:val="004E235F"/>
    <w:rsid w:val="004E5A17"/>
    <w:rsid w:val="004F172E"/>
    <w:rsid w:val="0050219D"/>
    <w:rsid w:val="00513012"/>
    <w:rsid w:val="00520DF0"/>
    <w:rsid w:val="0052106A"/>
    <w:rsid w:val="005220EB"/>
    <w:rsid w:val="00522A75"/>
    <w:rsid w:val="0052387D"/>
    <w:rsid w:val="005278EF"/>
    <w:rsid w:val="005320CF"/>
    <w:rsid w:val="0053318F"/>
    <w:rsid w:val="00542A7B"/>
    <w:rsid w:val="00544EBB"/>
    <w:rsid w:val="00553EC9"/>
    <w:rsid w:val="005542C7"/>
    <w:rsid w:val="005551DC"/>
    <w:rsid w:val="00555AD9"/>
    <w:rsid w:val="00570390"/>
    <w:rsid w:val="005706E6"/>
    <w:rsid w:val="00570D89"/>
    <w:rsid w:val="00574DCA"/>
    <w:rsid w:val="00575BC4"/>
    <w:rsid w:val="005813CD"/>
    <w:rsid w:val="005826DF"/>
    <w:rsid w:val="00582F78"/>
    <w:rsid w:val="00593A7D"/>
    <w:rsid w:val="00593B2E"/>
    <w:rsid w:val="00595E78"/>
    <w:rsid w:val="005964E5"/>
    <w:rsid w:val="00596A68"/>
    <w:rsid w:val="005B4E31"/>
    <w:rsid w:val="005C04C5"/>
    <w:rsid w:val="005C1015"/>
    <w:rsid w:val="005C4E48"/>
    <w:rsid w:val="005C7A50"/>
    <w:rsid w:val="005D003B"/>
    <w:rsid w:val="005D19C4"/>
    <w:rsid w:val="005D4E58"/>
    <w:rsid w:val="005F51FC"/>
    <w:rsid w:val="005F6A28"/>
    <w:rsid w:val="005F7A62"/>
    <w:rsid w:val="00600249"/>
    <w:rsid w:val="006136F0"/>
    <w:rsid w:val="00616D26"/>
    <w:rsid w:val="00617476"/>
    <w:rsid w:val="00626E24"/>
    <w:rsid w:val="00640BDD"/>
    <w:rsid w:val="00643C56"/>
    <w:rsid w:val="0064433F"/>
    <w:rsid w:val="00652658"/>
    <w:rsid w:val="00654D9D"/>
    <w:rsid w:val="006569AD"/>
    <w:rsid w:val="00661B37"/>
    <w:rsid w:val="006638AE"/>
    <w:rsid w:val="00663AC2"/>
    <w:rsid w:val="006706F2"/>
    <w:rsid w:val="00674BF6"/>
    <w:rsid w:val="00680263"/>
    <w:rsid w:val="00685D5A"/>
    <w:rsid w:val="0069053B"/>
    <w:rsid w:val="00690BB7"/>
    <w:rsid w:val="00690F6A"/>
    <w:rsid w:val="006A7B42"/>
    <w:rsid w:val="006B5145"/>
    <w:rsid w:val="006C0813"/>
    <w:rsid w:val="006C19B5"/>
    <w:rsid w:val="006C384D"/>
    <w:rsid w:val="006C3E24"/>
    <w:rsid w:val="006C4BF3"/>
    <w:rsid w:val="006C5826"/>
    <w:rsid w:val="006D5E72"/>
    <w:rsid w:val="006E095C"/>
    <w:rsid w:val="006F0C3F"/>
    <w:rsid w:val="006F5522"/>
    <w:rsid w:val="006F7C2B"/>
    <w:rsid w:val="00700754"/>
    <w:rsid w:val="00705F8E"/>
    <w:rsid w:val="00720110"/>
    <w:rsid w:val="00735BA4"/>
    <w:rsid w:val="00737A81"/>
    <w:rsid w:val="007442D4"/>
    <w:rsid w:val="0074792E"/>
    <w:rsid w:val="0075055A"/>
    <w:rsid w:val="00757957"/>
    <w:rsid w:val="00760A70"/>
    <w:rsid w:val="0076105B"/>
    <w:rsid w:val="00766766"/>
    <w:rsid w:val="00770218"/>
    <w:rsid w:val="00771FA9"/>
    <w:rsid w:val="00780984"/>
    <w:rsid w:val="00781CB1"/>
    <w:rsid w:val="007829F6"/>
    <w:rsid w:val="00783EBD"/>
    <w:rsid w:val="007851C5"/>
    <w:rsid w:val="0078667D"/>
    <w:rsid w:val="00792D2E"/>
    <w:rsid w:val="00794854"/>
    <w:rsid w:val="00795D9E"/>
    <w:rsid w:val="007969A8"/>
    <w:rsid w:val="00796E2D"/>
    <w:rsid w:val="00797BA7"/>
    <w:rsid w:val="007A0113"/>
    <w:rsid w:val="007A1AF1"/>
    <w:rsid w:val="007A6327"/>
    <w:rsid w:val="007A6C1A"/>
    <w:rsid w:val="007A7D0B"/>
    <w:rsid w:val="007B0A63"/>
    <w:rsid w:val="007B13EE"/>
    <w:rsid w:val="007B1D63"/>
    <w:rsid w:val="007C28DD"/>
    <w:rsid w:val="007D2BAC"/>
    <w:rsid w:val="007D5DF0"/>
    <w:rsid w:val="007D7C67"/>
    <w:rsid w:val="007E00BD"/>
    <w:rsid w:val="007F1C93"/>
    <w:rsid w:val="007F42A3"/>
    <w:rsid w:val="00801B18"/>
    <w:rsid w:val="00802487"/>
    <w:rsid w:val="00803824"/>
    <w:rsid w:val="00803E73"/>
    <w:rsid w:val="00806824"/>
    <w:rsid w:val="00806ECD"/>
    <w:rsid w:val="00813334"/>
    <w:rsid w:val="0081345F"/>
    <w:rsid w:val="00821478"/>
    <w:rsid w:val="00824792"/>
    <w:rsid w:val="00827B7C"/>
    <w:rsid w:val="00827E51"/>
    <w:rsid w:val="008440B8"/>
    <w:rsid w:val="008478AD"/>
    <w:rsid w:val="008621D8"/>
    <w:rsid w:val="00872DCD"/>
    <w:rsid w:val="008746AC"/>
    <w:rsid w:val="00882416"/>
    <w:rsid w:val="00890D7A"/>
    <w:rsid w:val="00894D4F"/>
    <w:rsid w:val="00895955"/>
    <w:rsid w:val="008A25E0"/>
    <w:rsid w:val="008A6347"/>
    <w:rsid w:val="008A77E1"/>
    <w:rsid w:val="008B3677"/>
    <w:rsid w:val="008B6578"/>
    <w:rsid w:val="008B71FD"/>
    <w:rsid w:val="008C20E8"/>
    <w:rsid w:val="008C50FB"/>
    <w:rsid w:val="008D360C"/>
    <w:rsid w:val="008E1F01"/>
    <w:rsid w:val="008E3ABA"/>
    <w:rsid w:val="008E44BF"/>
    <w:rsid w:val="008F7919"/>
    <w:rsid w:val="00901E30"/>
    <w:rsid w:val="00902C9B"/>
    <w:rsid w:val="009049AE"/>
    <w:rsid w:val="00905535"/>
    <w:rsid w:val="00905613"/>
    <w:rsid w:val="009107D5"/>
    <w:rsid w:val="00916B55"/>
    <w:rsid w:val="00926B8F"/>
    <w:rsid w:val="00934229"/>
    <w:rsid w:val="00941955"/>
    <w:rsid w:val="0094281A"/>
    <w:rsid w:val="00942D60"/>
    <w:rsid w:val="00944AAC"/>
    <w:rsid w:val="00950265"/>
    <w:rsid w:val="00953D0A"/>
    <w:rsid w:val="009654E4"/>
    <w:rsid w:val="00970E8E"/>
    <w:rsid w:val="00974C71"/>
    <w:rsid w:val="0098047D"/>
    <w:rsid w:val="009812FD"/>
    <w:rsid w:val="0098157D"/>
    <w:rsid w:val="00987380"/>
    <w:rsid w:val="00990360"/>
    <w:rsid w:val="009922FA"/>
    <w:rsid w:val="00994791"/>
    <w:rsid w:val="0099482D"/>
    <w:rsid w:val="00995404"/>
    <w:rsid w:val="00997581"/>
    <w:rsid w:val="009A2856"/>
    <w:rsid w:val="009A2DFF"/>
    <w:rsid w:val="009A31AA"/>
    <w:rsid w:val="009B1CD6"/>
    <w:rsid w:val="009E1333"/>
    <w:rsid w:val="009E502F"/>
    <w:rsid w:val="009E7A27"/>
    <w:rsid w:val="00A00B59"/>
    <w:rsid w:val="00A01C39"/>
    <w:rsid w:val="00A142C8"/>
    <w:rsid w:val="00A15BE9"/>
    <w:rsid w:val="00A33ED7"/>
    <w:rsid w:val="00A5423F"/>
    <w:rsid w:val="00A546F9"/>
    <w:rsid w:val="00A55BAD"/>
    <w:rsid w:val="00A57BAD"/>
    <w:rsid w:val="00A57C8B"/>
    <w:rsid w:val="00A60E44"/>
    <w:rsid w:val="00A673CD"/>
    <w:rsid w:val="00A74D85"/>
    <w:rsid w:val="00A7546B"/>
    <w:rsid w:val="00A763FC"/>
    <w:rsid w:val="00A76D9E"/>
    <w:rsid w:val="00A77A81"/>
    <w:rsid w:val="00A81B0C"/>
    <w:rsid w:val="00A81BC4"/>
    <w:rsid w:val="00A82C8E"/>
    <w:rsid w:val="00A834C0"/>
    <w:rsid w:val="00A91E50"/>
    <w:rsid w:val="00A9743D"/>
    <w:rsid w:val="00AA5541"/>
    <w:rsid w:val="00AB0523"/>
    <w:rsid w:val="00AB4045"/>
    <w:rsid w:val="00AD0588"/>
    <w:rsid w:val="00AD3157"/>
    <w:rsid w:val="00AD428C"/>
    <w:rsid w:val="00AD5CF5"/>
    <w:rsid w:val="00AE2831"/>
    <w:rsid w:val="00AE2D36"/>
    <w:rsid w:val="00AE51B5"/>
    <w:rsid w:val="00AE573B"/>
    <w:rsid w:val="00AE7CE1"/>
    <w:rsid w:val="00B0309F"/>
    <w:rsid w:val="00B070C7"/>
    <w:rsid w:val="00B1116B"/>
    <w:rsid w:val="00B153CC"/>
    <w:rsid w:val="00B2092C"/>
    <w:rsid w:val="00B24BCF"/>
    <w:rsid w:val="00B27405"/>
    <w:rsid w:val="00B34F65"/>
    <w:rsid w:val="00B52B74"/>
    <w:rsid w:val="00B531C6"/>
    <w:rsid w:val="00B55350"/>
    <w:rsid w:val="00B60B59"/>
    <w:rsid w:val="00B6150C"/>
    <w:rsid w:val="00B7310F"/>
    <w:rsid w:val="00B76D6F"/>
    <w:rsid w:val="00B82011"/>
    <w:rsid w:val="00B86230"/>
    <w:rsid w:val="00BA1F7A"/>
    <w:rsid w:val="00BB2B75"/>
    <w:rsid w:val="00BB3D7C"/>
    <w:rsid w:val="00BB6A9A"/>
    <w:rsid w:val="00BC0DAB"/>
    <w:rsid w:val="00BC550A"/>
    <w:rsid w:val="00BC7462"/>
    <w:rsid w:val="00BC7FBC"/>
    <w:rsid w:val="00BD6DE6"/>
    <w:rsid w:val="00BE059F"/>
    <w:rsid w:val="00BE05FE"/>
    <w:rsid w:val="00BE157B"/>
    <w:rsid w:val="00BF79ED"/>
    <w:rsid w:val="00C05BFA"/>
    <w:rsid w:val="00C072AD"/>
    <w:rsid w:val="00C1138A"/>
    <w:rsid w:val="00C13334"/>
    <w:rsid w:val="00C42E95"/>
    <w:rsid w:val="00C43587"/>
    <w:rsid w:val="00C4444A"/>
    <w:rsid w:val="00C465F4"/>
    <w:rsid w:val="00C540D9"/>
    <w:rsid w:val="00C55435"/>
    <w:rsid w:val="00C6527D"/>
    <w:rsid w:val="00C7080E"/>
    <w:rsid w:val="00C76BDB"/>
    <w:rsid w:val="00C77EA9"/>
    <w:rsid w:val="00C80DB1"/>
    <w:rsid w:val="00C83AA7"/>
    <w:rsid w:val="00C86652"/>
    <w:rsid w:val="00C94E15"/>
    <w:rsid w:val="00CA2B86"/>
    <w:rsid w:val="00CA3615"/>
    <w:rsid w:val="00CA5CFC"/>
    <w:rsid w:val="00CB1A65"/>
    <w:rsid w:val="00CB391B"/>
    <w:rsid w:val="00CB6678"/>
    <w:rsid w:val="00CC313A"/>
    <w:rsid w:val="00CD348C"/>
    <w:rsid w:val="00CE1060"/>
    <w:rsid w:val="00CE2366"/>
    <w:rsid w:val="00CE2A50"/>
    <w:rsid w:val="00CE67FB"/>
    <w:rsid w:val="00CE7FF9"/>
    <w:rsid w:val="00CF0C74"/>
    <w:rsid w:val="00CF21E7"/>
    <w:rsid w:val="00D03ED8"/>
    <w:rsid w:val="00D10FFD"/>
    <w:rsid w:val="00D2100E"/>
    <w:rsid w:val="00D2696E"/>
    <w:rsid w:val="00D36196"/>
    <w:rsid w:val="00D3741A"/>
    <w:rsid w:val="00D457BD"/>
    <w:rsid w:val="00D5011D"/>
    <w:rsid w:val="00D51466"/>
    <w:rsid w:val="00D721E4"/>
    <w:rsid w:val="00D828F6"/>
    <w:rsid w:val="00D83CD1"/>
    <w:rsid w:val="00D87E0E"/>
    <w:rsid w:val="00D90105"/>
    <w:rsid w:val="00D92D7D"/>
    <w:rsid w:val="00D93EBC"/>
    <w:rsid w:val="00D97AF7"/>
    <w:rsid w:val="00D97EBD"/>
    <w:rsid w:val="00DA2F70"/>
    <w:rsid w:val="00DB5056"/>
    <w:rsid w:val="00DC103A"/>
    <w:rsid w:val="00DC69B0"/>
    <w:rsid w:val="00DD002A"/>
    <w:rsid w:val="00DE0AE4"/>
    <w:rsid w:val="00DE0B36"/>
    <w:rsid w:val="00DE0FB9"/>
    <w:rsid w:val="00DE3713"/>
    <w:rsid w:val="00DE6401"/>
    <w:rsid w:val="00DE7267"/>
    <w:rsid w:val="00DF6277"/>
    <w:rsid w:val="00DF690C"/>
    <w:rsid w:val="00DF6AC2"/>
    <w:rsid w:val="00E00E54"/>
    <w:rsid w:val="00E043E9"/>
    <w:rsid w:val="00E07900"/>
    <w:rsid w:val="00E079C6"/>
    <w:rsid w:val="00E1331F"/>
    <w:rsid w:val="00E16EEA"/>
    <w:rsid w:val="00E23AA7"/>
    <w:rsid w:val="00E3407C"/>
    <w:rsid w:val="00E36291"/>
    <w:rsid w:val="00E41392"/>
    <w:rsid w:val="00E41782"/>
    <w:rsid w:val="00E45901"/>
    <w:rsid w:val="00E4641D"/>
    <w:rsid w:val="00E46DB0"/>
    <w:rsid w:val="00E50ADD"/>
    <w:rsid w:val="00E539F1"/>
    <w:rsid w:val="00E61CE0"/>
    <w:rsid w:val="00E61DF1"/>
    <w:rsid w:val="00E6308C"/>
    <w:rsid w:val="00E70FAF"/>
    <w:rsid w:val="00E75238"/>
    <w:rsid w:val="00E7669E"/>
    <w:rsid w:val="00E841F0"/>
    <w:rsid w:val="00E976B8"/>
    <w:rsid w:val="00EA1600"/>
    <w:rsid w:val="00EA6267"/>
    <w:rsid w:val="00EA7866"/>
    <w:rsid w:val="00EB198E"/>
    <w:rsid w:val="00EB451D"/>
    <w:rsid w:val="00EB48B8"/>
    <w:rsid w:val="00EB49FE"/>
    <w:rsid w:val="00EC7A83"/>
    <w:rsid w:val="00ED290C"/>
    <w:rsid w:val="00ED48F6"/>
    <w:rsid w:val="00ED682A"/>
    <w:rsid w:val="00ED6DE2"/>
    <w:rsid w:val="00EE0ECA"/>
    <w:rsid w:val="00EE197D"/>
    <w:rsid w:val="00EE36CF"/>
    <w:rsid w:val="00EE3C02"/>
    <w:rsid w:val="00EE5E75"/>
    <w:rsid w:val="00EF4AE6"/>
    <w:rsid w:val="00EF4E4E"/>
    <w:rsid w:val="00F02BB0"/>
    <w:rsid w:val="00F03C4A"/>
    <w:rsid w:val="00F04B86"/>
    <w:rsid w:val="00F07762"/>
    <w:rsid w:val="00F13AC3"/>
    <w:rsid w:val="00F16C4F"/>
    <w:rsid w:val="00F16D5B"/>
    <w:rsid w:val="00F2025C"/>
    <w:rsid w:val="00F412ED"/>
    <w:rsid w:val="00F4412F"/>
    <w:rsid w:val="00F4623C"/>
    <w:rsid w:val="00F6192C"/>
    <w:rsid w:val="00F702DD"/>
    <w:rsid w:val="00F82A8D"/>
    <w:rsid w:val="00F860A4"/>
    <w:rsid w:val="00F8636B"/>
    <w:rsid w:val="00F93799"/>
    <w:rsid w:val="00FA005E"/>
    <w:rsid w:val="00FA3CDC"/>
    <w:rsid w:val="00FB6A34"/>
    <w:rsid w:val="00FB7AE6"/>
    <w:rsid w:val="00FC1C30"/>
    <w:rsid w:val="00FC3D37"/>
    <w:rsid w:val="00FC44E7"/>
    <w:rsid w:val="00FD1118"/>
    <w:rsid w:val="00FD2815"/>
    <w:rsid w:val="00FE45B8"/>
    <w:rsid w:val="00FF42B2"/>
    <w:rsid w:val="00FF6CD9"/>
    <w:rsid w:val="05C44922"/>
    <w:rsid w:val="079F6FB0"/>
    <w:rsid w:val="0DDD7EFB"/>
    <w:rsid w:val="0FD257AC"/>
    <w:rsid w:val="10806768"/>
    <w:rsid w:val="116C60EB"/>
    <w:rsid w:val="11A301CF"/>
    <w:rsid w:val="125E01C9"/>
    <w:rsid w:val="146D2E62"/>
    <w:rsid w:val="17432ECD"/>
    <w:rsid w:val="1ABB6D88"/>
    <w:rsid w:val="1FFB3884"/>
    <w:rsid w:val="20184132"/>
    <w:rsid w:val="21013F36"/>
    <w:rsid w:val="21A22988"/>
    <w:rsid w:val="23AD747C"/>
    <w:rsid w:val="24F43BD5"/>
    <w:rsid w:val="263F46C6"/>
    <w:rsid w:val="27914F8E"/>
    <w:rsid w:val="2E526519"/>
    <w:rsid w:val="2FCE6BFF"/>
    <w:rsid w:val="34991836"/>
    <w:rsid w:val="36F92699"/>
    <w:rsid w:val="37605256"/>
    <w:rsid w:val="3923178E"/>
    <w:rsid w:val="3CF70FDB"/>
    <w:rsid w:val="3E1C3C47"/>
    <w:rsid w:val="3F131A07"/>
    <w:rsid w:val="42C10249"/>
    <w:rsid w:val="45651736"/>
    <w:rsid w:val="46BF5A92"/>
    <w:rsid w:val="47627F3A"/>
    <w:rsid w:val="4CC779F5"/>
    <w:rsid w:val="505C2916"/>
    <w:rsid w:val="51222A10"/>
    <w:rsid w:val="52610699"/>
    <w:rsid w:val="5761437B"/>
    <w:rsid w:val="57DC29D9"/>
    <w:rsid w:val="5BC24EED"/>
    <w:rsid w:val="5CBE705F"/>
    <w:rsid w:val="5ED5094F"/>
    <w:rsid w:val="6011256F"/>
    <w:rsid w:val="6057114A"/>
    <w:rsid w:val="6BE66361"/>
    <w:rsid w:val="752851A1"/>
    <w:rsid w:val="786602FC"/>
    <w:rsid w:val="7E2C3223"/>
    <w:rsid w:val="7E3954B6"/>
    <w:rsid w:val="7E426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qFormat/>
    <w:uiPriority w:val="0"/>
    <w:rPr>
      <w:lang w:eastAsia="zh-CN" w:bidi="ar-SA"/>
    </w:rPr>
  </w:style>
  <w:style w:type="paragraph" w:styleId="3">
    <w:name w:val="Date"/>
    <w:basedOn w:val="1"/>
    <w:next w:val="1"/>
    <w:link w:val="23"/>
    <w:qFormat/>
    <w:uiPriority w:val="0"/>
    <w:pPr>
      <w:ind w:left="100" w:leftChars="2500"/>
    </w:pPr>
  </w:style>
  <w:style w:type="paragraph" w:styleId="4">
    <w:name w:val="Balloon Text"/>
    <w:basedOn w:val="1"/>
    <w:link w:val="21"/>
    <w:qFormat/>
    <w:uiPriority w:val="0"/>
    <w:rPr>
      <w:sz w:val="18"/>
      <w:szCs w:val="18"/>
    </w:rPr>
  </w:style>
  <w:style w:type="paragraph" w:styleId="5">
    <w:name w:val="footer"/>
    <w:basedOn w:val="1"/>
    <w:link w:val="20"/>
    <w:qFormat/>
    <w:uiPriority w:val="99"/>
    <w:pPr>
      <w:tabs>
        <w:tab w:val="center" w:pos="4153"/>
        <w:tab w:val="right" w:pos="8306"/>
      </w:tabs>
      <w:snapToGrid w:val="0"/>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pPr>
    <w:rPr>
      <w:sz w:val="18"/>
      <w:szCs w:val="18"/>
    </w:rPr>
  </w:style>
  <w:style w:type="paragraph" w:styleId="8">
    <w:name w:val="Normal (Web)"/>
    <w:basedOn w:val="1"/>
    <w:qFormat/>
    <w:uiPriority w:val="0"/>
  </w:style>
  <w:style w:type="paragraph" w:styleId="9">
    <w:name w:val="annotation subject"/>
    <w:basedOn w:val="2"/>
    <w:next w:val="2"/>
    <w:link w:val="25"/>
    <w:semiHidden/>
    <w:unhideWhenUsed/>
    <w:qFormat/>
    <w:uiPriority w:val="0"/>
    <w:rPr>
      <w:b/>
      <w:bCs/>
      <w:lang w:eastAsia="en-US" w:bidi="en-U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styleId="14">
    <w:name w:val="footnote reference"/>
    <w:basedOn w:val="12"/>
    <w:qFormat/>
    <w:uiPriority w:val="0"/>
    <w:rPr>
      <w:vertAlign w:val="superscript"/>
    </w:rPr>
  </w:style>
  <w:style w:type="paragraph" w:customStyle="1" w:styleId="15">
    <w:name w:val="Picture caption|1"/>
    <w:basedOn w:val="1"/>
    <w:qFormat/>
    <w:uiPriority w:val="0"/>
    <w:pPr>
      <w:spacing w:line="216" w:lineRule="exact"/>
    </w:pPr>
    <w:rPr>
      <w:rFonts w:ascii="MingLiU" w:hAnsi="MingLiU" w:eastAsia="MingLiU"/>
      <w:color w:val="323232"/>
      <w:sz w:val="14"/>
      <w:szCs w:val="14"/>
      <w:lang w:eastAsia="zh-CN" w:bidi="ar-SA"/>
    </w:rPr>
  </w:style>
  <w:style w:type="paragraph" w:customStyle="1" w:styleId="16">
    <w:name w:val="Body text|1"/>
    <w:basedOn w:val="1"/>
    <w:qFormat/>
    <w:uiPriority w:val="0"/>
    <w:pPr>
      <w:spacing w:line="319" w:lineRule="auto"/>
      <w:ind w:firstLine="400"/>
    </w:pPr>
    <w:rPr>
      <w:rFonts w:ascii="MingLiU" w:hAnsi="MingLiU" w:eastAsia="MingLiU" w:cs="MingLiU"/>
      <w:color w:val="3F3C4A"/>
      <w:sz w:val="19"/>
      <w:szCs w:val="19"/>
      <w:lang w:val="zh-TW" w:eastAsia="zh-TW" w:bidi="zh-TW"/>
    </w:rPr>
  </w:style>
  <w:style w:type="paragraph" w:customStyle="1" w:styleId="17">
    <w:name w:val="Table caption|1"/>
    <w:basedOn w:val="1"/>
    <w:qFormat/>
    <w:uiPriority w:val="0"/>
    <w:pPr>
      <w:spacing w:after="60"/>
    </w:pPr>
    <w:rPr>
      <w:rFonts w:ascii="MingLiU" w:hAnsi="MingLiU" w:eastAsia="MingLiU" w:cs="MingLiU"/>
      <w:color w:val="3F3C4A"/>
      <w:sz w:val="19"/>
      <w:szCs w:val="19"/>
      <w:lang w:val="zh-TW" w:eastAsia="zh-TW" w:bidi="zh-TW"/>
    </w:rPr>
  </w:style>
  <w:style w:type="paragraph" w:customStyle="1" w:styleId="18">
    <w:name w:val="Other|1"/>
    <w:basedOn w:val="1"/>
    <w:qFormat/>
    <w:uiPriority w:val="0"/>
    <w:pPr>
      <w:spacing w:line="319" w:lineRule="auto"/>
      <w:ind w:firstLine="400"/>
    </w:pPr>
    <w:rPr>
      <w:rFonts w:ascii="MingLiU" w:hAnsi="MingLiU" w:eastAsia="MingLiU" w:cs="MingLiU"/>
      <w:color w:val="3F3C4A"/>
      <w:sz w:val="19"/>
      <w:szCs w:val="19"/>
      <w:lang w:val="zh-TW" w:eastAsia="zh-TW" w:bidi="zh-TW"/>
    </w:rPr>
  </w:style>
  <w:style w:type="character" w:customStyle="1" w:styleId="19">
    <w:name w:val="页眉 Char"/>
    <w:basedOn w:val="12"/>
    <w:link w:val="6"/>
    <w:qFormat/>
    <w:uiPriority w:val="0"/>
    <w:rPr>
      <w:rFonts w:eastAsia="Times New Roman"/>
      <w:color w:val="000000"/>
      <w:sz w:val="18"/>
      <w:szCs w:val="18"/>
      <w:lang w:eastAsia="en-US" w:bidi="en-US"/>
    </w:rPr>
  </w:style>
  <w:style w:type="character" w:customStyle="1" w:styleId="20">
    <w:name w:val="页脚 Char"/>
    <w:basedOn w:val="12"/>
    <w:link w:val="5"/>
    <w:qFormat/>
    <w:uiPriority w:val="99"/>
    <w:rPr>
      <w:rFonts w:eastAsia="Times New Roman"/>
      <w:color w:val="000000"/>
      <w:sz w:val="18"/>
      <w:szCs w:val="18"/>
      <w:lang w:eastAsia="en-US" w:bidi="en-US"/>
    </w:rPr>
  </w:style>
  <w:style w:type="character" w:customStyle="1" w:styleId="21">
    <w:name w:val="批注框文本 Char"/>
    <w:basedOn w:val="12"/>
    <w:link w:val="4"/>
    <w:qFormat/>
    <w:uiPriority w:val="0"/>
    <w:rPr>
      <w:rFonts w:eastAsia="Times New Roman"/>
      <w:color w:val="000000"/>
      <w:sz w:val="18"/>
      <w:szCs w:val="18"/>
      <w:lang w:eastAsia="en-US" w:bidi="en-US"/>
    </w:rPr>
  </w:style>
  <w:style w:type="paragraph" w:customStyle="1" w:styleId="22">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character" w:customStyle="1" w:styleId="23">
    <w:name w:val="日期 Char"/>
    <w:basedOn w:val="12"/>
    <w:link w:val="3"/>
    <w:qFormat/>
    <w:uiPriority w:val="0"/>
    <w:rPr>
      <w:rFonts w:eastAsia="Times New Roman"/>
      <w:color w:val="000000"/>
      <w:sz w:val="24"/>
      <w:szCs w:val="24"/>
      <w:lang w:eastAsia="en-US" w:bidi="en-US"/>
    </w:rPr>
  </w:style>
  <w:style w:type="character" w:customStyle="1" w:styleId="24">
    <w:name w:val="批注文字 Char"/>
    <w:basedOn w:val="12"/>
    <w:link w:val="2"/>
    <w:qFormat/>
    <w:uiPriority w:val="0"/>
    <w:rPr>
      <w:rFonts w:eastAsia="Times New Roman"/>
      <w:color w:val="000000"/>
      <w:sz w:val="24"/>
      <w:szCs w:val="24"/>
    </w:rPr>
  </w:style>
  <w:style w:type="character" w:customStyle="1" w:styleId="25">
    <w:name w:val="批注主题 Char"/>
    <w:basedOn w:val="24"/>
    <w:link w:val="9"/>
    <w:semiHidden/>
    <w:qFormat/>
    <w:uiPriority w:val="0"/>
    <w:rPr>
      <w:rFonts w:eastAsia="Times New Roman"/>
      <w:b/>
      <w:bCs/>
      <w:color w:val="000000"/>
      <w:sz w:val="24"/>
      <w:szCs w:val="24"/>
      <w:lang w:eastAsia="en-US" w:bidi="en-US"/>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FB8EF-5E7C-4B3E-8987-F497B649092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3392</Words>
  <Characters>3432</Characters>
  <Lines>38</Lines>
  <Paragraphs>10</Paragraphs>
  <TotalTime>1</TotalTime>
  <ScaleCrop>false</ScaleCrop>
  <LinksUpToDate>false</LinksUpToDate>
  <CharactersWithSpaces>5074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2021-09-16T01:27:00Z</dcterms:created>
  <dc:creator>lenovo</dc:creator>
  <cp:lastModifiedBy>鱼丸粗面</cp:lastModifiedBy>
  <cp:lastPrinted>2021-09-23T01:46:00Z</cp:lastPrinted>
  <dcterms:modified xsi:type="dcterms:W3CDTF">2025-09-29T02:25:41Z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A4506F56A8F046079824EE064B979FD0</vt:lpwstr>
  </property>
  <property fmtid="{D5CDD505-2E9C-101B-9397-08002B2CF9AE}" pid="4" name="KSOTemplateDocerSaveRecord">
    <vt:lpwstr>eyJoZGlkIjoiODc1ODY5ODY1OWNiMDA5MjJhOTU4YjVlZTY0N2MwMTkiLCJ1c2VySWQiOiIyNzUyNTk2MTIifQ==</vt:lpwstr>
  </property>
</Properties>
</file>