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20" w:lineRule="exact"/>
        <w:jc w:val="both"/>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3</w:t>
      </w:r>
      <w:bookmarkStart w:id="11" w:name="_GoBack"/>
      <w:bookmarkEnd w:id="11"/>
    </w:p>
    <w:tbl>
      <w:tblPr>
        <w:tblStyle w:val="5"/>
        <w:tblpPr w:leftFromText="180" w:rightFromText="180" w:vertAnchor="page" w:horzAnchor="page" w:tblpX="6831" w:tblpY="2176"/>
        <w:tblOverlap w:val="never"/>
        <w:tblW w:w="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
        <w:gridCol w:w="244"/>
        <w:gridCol w:w="244"/>
        <w:gridCol w:w="244"/>
        <w:gridCol w:w="244"/>
        <w:gridCol w:w="244"/>
        <w:gridCol w:w="244"/>
        <w:gridCol w:w="244"/>
        <w:gridCol w:w="244"/>
        <w:gridCol w:w="244"/>
        <w:gridCol w:w="244"/>
        <w:gridCol w:w="244"/>
        <w:gridCol w:w="244"/>
        <w:gridCol w:w="244"/>
        <w:gridCol w:w="244"/>
        <w:gridCol w:w="244"/>
        <w:gridCol w:w="244"/>
        <w:gridCol w:w="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c>
          <w:tcPr>
            <w:tcW w:w="244" w:type="dxa"/>
            <w:tcBorders>
              <w:top w:val="single" w:color="000000" w:sz="8" w:space="0"/>
              <w:left w:val="single" w:color="000000" w:sz="8" w:space="0"/>
              <w:bottom w:val="single" w:color="000000" w:sz="8" w:space="0"/>
              <w:right w:val="single" w:color="000000" w:sz="8" w:space="0"/>
            </w:tcBorders>
            <w:shd w:val="clear" w:color="auto" w:fill="FFFFFF"/>
          </w:tcPr>
          <w:p>
            <w:pPr>
              <w:pStyle w:val="9"/>
              <w:spacing w:line="520" w:lineRule="exact"/>
              <w:rPr>
                <w:color w:val="auto"/>
                <w:sz w:val="18"/>
              </w:rPr>
            </w:pPr>
          </w:p>
        </w:tc>
      </w:tr>
    </w:tbl>
    <w:p>
      <w:pPr>
        <w:pStyle w:val="9"/>
        <w:spacing w:line="520" w:lineRule="exact"/>
        <w:rPr>
          <w:rFonts w:cs="MingLiU" w:eastAsiaTheme="minorEastAsia"/>
          <w:color w:val="auto"/>
          <w:sz w:val="18"/>
        </w:rPr>
      </w:pPr>
      <w:r>
        <w:rPr>
          <w:rFonts w:ascii="Times New Roman" w:hAnsi="Times New Roman" w:eastAsia="黑体"/>
          <w:color w:val="auto"/>
          <w:sz w:val="32"/>
          <w:szCs w:val="32"/>
        </w:rPr>
        <w:t>GF-2021-2606</w:t>
      </w:r>
      <w:r>
        <w:rPr>
          <w:rFonts w:hint="eastAsia" w:ascii="Times New Roman" w:hAnsi="Times New Roman" w:eastAsia="黑体"/>
          <w:color w:val="auto"/>
          <w:sz w:val="32"/>
          <w:szCs w:val="32"/>
        </w:rPr>
        <w:t xml:space="preserve">          </w:t>
      </w:r>
      <w:r>
        <w:rPr>
          <w:rFonts w:hint="eastAsia" w:ascii="仿宋_GB2312" w:hAnsi="仿宋_GB2312" w:eastAsia="仿宋_GB2312" w:cs="仿宋_GB2312"/>
          <w:color w:val="auto"/>
          <w:sz w:val="28"/>
          <w:szCs w:val="28"/>
        </w:rPr>
        <w:t>合同编号</w:t>
      </w:r>
      <w:r>
        <w:rPr>
          <w:rFonts w:hint="eastAsia" w:ascii="仿宋_GB2312" w:hAnsi="仿宋_GB2312" w:eastAsia="仿宋_GB2312" w:cs="仿宋_GB2312"/>
          <w:color w:val="auto"/>
          <w:sz w:val="18"/>
        </w:rPr>
        <w:t>：</w:t>
      </w:r>
    </w:p>
    <w:p>
      <w:pPr>
        <w:pStyle w:val="9"/>
        <w:spacing w:line="520" w:lineRule="exact"/>
        <w:rPr>
          <w:rFonts w:cs="MingLiU" w:eastAsiaTheme="minorEastAsia"/>
          <w:color w:val="auto"/>
          <w:sz w:val="18"/>
        </w:rPr>
      </w:pPr>
      <w:r>
        <w:rPr>
          <w:rFonts w:hint="eastAsia" w:ascii="Times New Roman" w:hAnsi="Times New Roman" w:eastAsia="黑体"/>
          <w:color w:val="auto"/>
          <w:sz w:val="32"/>
          <w:szCs w:val="32"/>
        </w:rPr>
        <w:t xml:space="preserve">        </w:t>
      </w:r>
    </w:p>
    <w:p>
      <w:pPr>
        <w:pStyle w:val="9"/>
        <w:spacing w:line="520" w:lineRule="exact"/>
        <w:rPr>
          <w:rFonts w:cs="MingLiU"/>
          <w:color w:val="auto"/>
          <w:sz w:val="18"/>
        </w:rPr>
      </w:pPr>
    </w:p>
    <w:p>
      <w:pPr>
        <w:pStyle w:val="9"/>
        <w:spacing w:line="520" w:lineRule="exact"/>
        <w:rPr>
          <w:rFonts w:cs="MingLiU" w:eastAsiaTheme="minorEastAsia"/>
          <w:color w:val="auto"/>
          <w:sz w:val="18"/>
        </w:rPr>
      </w:pPr>
    </w:p>
    <w:p>
      <w:pPr>
        <w:pStyle w:val="9"/>
        <w:spacing w:line="520" w:lineRule="exact"/>
        <w:rPr>
          <w:rFonts w:cs="MingLiU" w:eastAsiaTheme="minorEastAsia"/>
          <w:color w:val="auto"/>
          <w:sz w:val="18"/>
        </w:rPr>
      </w:pPr>
    </w:p>
    <w:p>
      <w:pPr>
        <w:pStyle w:val="9"/>
        <w:spacing w:line="520" w:lineRule="exact"/>
        <w:rPr>
          <w:rFonts w:cs="MingLiU" w:eastAsiaTheme="minorEastAsia"/>
          <w:color w:val="auto"/>
          <w:sz w:val="18"/>
        </w:rPr>
      </w:pPr>
    </w:p>
    <w:p>
      <w:pPr>
        <w:pStyle w:val="9"/>
        <w:spacing w:line="520" w:lineRule="exact"/>
        <w:rPr>
          <w:rFonts w:cs="MingLiU"/>
          <w:color w:val="auto"/>
          <w:sz w:val="18"/>
        </w:rPr>
      </w:pPr>
    </w:p>
    <w:p>
      <w:pPr>
        <w:pStyle w:val="9"/>
        <w:spacing w:after="120" w:afterLines="50" w:line="520" w:lineRule="exact"/>
        <w:jc w:val="center"/>
        <w:rPr>
          <w:rFonts w:ascii="华文黑体" w:hAnsi="华文黑体" w:eastAsia="黑体" w:cs="华文黑体"/>
          <w:bCs/>
          <w:color w:val="auto"/>
          <w:sz w:val="44"/>
          <w:szCs w:val="32"/>
        </w:rPr>
      </w:pPr>
      <w:r>
        <w:rPr>
          <w:rFonts w:hint="eastAsia" w:ascii="华文黑体" w:hAnsi="华文黑体" w:eastAsia="黑体" w:cs="华文黑体"/>
          <w:bCs/>
          <w:color w:val="auto"/>
          <w:sz w:val="44"/>
          <w:szCs w:val="32"/>
        </w:rPr>
        <w:t>农村土地经营权出租合同</w:t>
      </w:r>
    </w:p>
    <w:p>
      <w:pPr>
        <w:pStyle w:val="9"/>
        <w:spacing w:line="520" w:lineRule="exact"/>
        <w:jc w:val="center"/>
        <w:rPr>
          <w:rFonts w:ascii="华文黑体" w:hAnsi="华文黑体" w:eastAsia="黑体" w:cs="华文黑体"/>
          <w:bCs/>
          <w:color w:val="auto"/>
          <w:sz w:val="44"/>
          <w:szCs w:val="32"/>
        </w:rPr>
      </w:pPr>
      <w:r>
        <w:rPr>
          <w:rFonts w:hint="eastAsia" w:ascii="华文黑体" w:hAnsi="华文黑体" w:eastAsia="黑体" w:cs="华文黑体"/>
          <w:bCs/>
          <w:color w:val="auto"/>
          <w:sz w:val="44"/>
          <w:szCs w:val="32"/>
        </w:rPr>
        <w:t>（示范文本）</w:t>
      </w:r>
    </w:p>
    <w:p>
      <w:pPr>
        <w:pStyle w:val="9"/>
        <w:spacing w:line="520" w:lineRule="exact"/>
        <w:jc w:val="center"/>
        <w:rPr>
          <w:rFonts w:ascii="华文楷体" w:hAnsi="华文楷体" w:eastAsia="华文楷体" w:cs="华文楷体"/>
          <w:color w:val="auto"/>
          <w:sz w:val="36"/>
          <w:szCs w:val="24"/>
        </w:rPr>
      </w:pPr>
    </w:p>
    <w:p>
      <w:pPr>
        <w:pStyle w:val="9"/>
        <w:spacing w:line="520" w:lineRule="exact"/>
        <w:jc w:val="center"/>
        <w:rPr>
          <w:rFonts w:ascii="华文楷体" w:hAnsi="华文楷体" w:eastAsia="华文楷体" w:cs="华文楷体"/>
          <w:color w:val="auto"/>
          <w:sz w:val="36"/>
          <w:szCs w:val="24"/>
        </w:rPr>
      </w:pPr>
    </w:p>
    <w:p>
      <w:pPr>
        <w:pStyle w:val="9"/>
        <w:spacing w:line="520" w:lineRule="exact"/>
        <w:jc w:val="center"/>
        <w:rPr>
          <w:rFonts w:ascii="华文楷体" w:hAnsi="华文楷体" w:eastAsia="华文楷体" w:cs="华文楷体"/>
          <w:color w:val="auto"/>
          <w:sz w:val="36"/>
          <w:szCs w:val="24"/>
        </w:rPr>
      </w:pPr>
    </w:p>
    <w:p>
      <w:pPr>
        <w:pStyle w:val="9"/>
        <w:spacing w:line="520" w:lineRule="exact"/>
        <w:jc w:val="center"/>
        <w:rPr>
          <w:rFonts w:ascii="华文楷体" w:hAnsi="华文楷体" w:eastAsia="华文楷体" w:cs="华文楷体"/>
          <w:color w:val="auto"/>
          <w:sz w:val="36"/>
          <w:szCs w:val="24"/>
        </w:rPr>
      </w:pPr>
    </w:p>
    <w:p>
      <w:pPr>
        <w:pStyle w:val="9"/>
        <w:spacing w:line="520" w:lineRule="exact"/>
        <w:jc w:val="center"/>
        <w:rPr>
          <w:rFonts w:ascii="华文楷体" w:hAnsi="华文楷体" w:eastAsia="华文楷体" w:cs="华文楷体"/>
          <w:color w:val="auto"/>
          <w:sz w:val="36"/>
          <w:szCs w:val="24"/>
        </w:rPr>
      </w:pPr>
    </w:p>
    <w:p>
      <w:pPr>
        <w:pStyle w:val="9"/>
        <w:spacing w:line="520" w:lineRule="exact"/>
        <w:jc w:val="center"/>
        <w:rPr>
          <w:rFonts w:ascii="华文楷体" w:hAnsi="华文楷体" w:eastAsia="华文楷体" w:cs="华文楷体"/>
          <w:color w:val="auto"/>
          <w:sz w:val="36"/>
          <w:szCs w:val="24"/>
        </w:rPr>
      </w:pPr>
    </w:p>
    <w:p>
      <w:pPr>
        <w:pStyle w:val="9"/>
        <w:spacing w:line="520" w:lineRule="exact"/>
        <w:jc w:val="center"/>
        <w:rPr>
          <w:rFonts w:ascii="华文楷体" w:hAnsi="华文楷体" w:eastAsia="华文楷体" w:cs="华文楷体"/>
          <w:color w:val="auto"/>
          <w:sz w:val="36"/>
          <w:szCs w:val="24"/>
        </w:rPr>
      </w:pPr>
    </w:p>
    <w:p>
      <w:pPr>
        <w:pStyle w:val="9"/>
        <w:spacing w:line="520" w:lineRule="exact"/>
        <w:jc w:val="center"/>
        <w:rPr>
          <w:rFonts w:ascii="华文楷体" w:hAnsi="华文楷体" w:eastAsia="华文楷体" w:cs="华文楷体"/>
          <w:color w:val="auto"/>
          <w:sz w:val="36"/>
          <w:szCs w:val="24"/>
        </w:rPr>
      </w:pPr>
    </w:p>
    <w:p>
      <w:pPr>
        <w:pStyle w:val="9"/>
        <w:spacing w:line="520" w:lineRule="exact"/>
        <w:jc w:val="center"/>
        <w:rPr>
          <w:rFonts w:ascii="华文楷体" w:hAnsi="华文楷体" w:eastAsia="华文楷体" w:cs="华文楷体"/>
          <w:color w:val="auto"/>
          <w:sz w:val="36"/>
          <w:szCs w:val="24"/>
        </w:rPr>
      </w:pPr>
    </w:p>
    <w:p>
      <w:pPr>
        <w:pStyle w:val="9"/>
        <w:spacing w:line="520" w:lineRule="exact"/>
        <w:jc w:val="center"/>
        <w:rPr>
          <w:rFonts w:ascii="华文楷体" w:hAnsi="华文楷体" w:eastAsia="华文楷体" w:cs="华文楷体"/>
          <w:color w:val="auto"/>
          <w:sz w:val="36"/>
          <w:szCs w:val="24"/>
        </w:rPr>
      </w:pPr>
    </w:p>
    <w:p>
      <w:pPr>
        <w:pStyle w:val="9"/>
        <w:spacing w:line="200" w:lineRule="exact"/>
        <w:jc w:val="center"/>
        <w:rPr>
          <w:rFonts w:ascii="华文楷体" w:hAnsi="华文楷体" w:eastAsia="华文楷体" w:cs="华文楷体"/>
          <w:color w:val="auto"/>
          <w:sz w:val="36"/>
          <w:szCs w:val="24"/>
        </w:rPr>
      </w:pPr>
    </w:p>
    <w:p>
      <w:pPr>
        <w:pStyle w:val="9"/>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华文楷体" w:hAnsi="华文楷体" w:eastAsia="华文楷体" w:cs="华文楷体"/>
          <w:color w:val="auto"/>
          <w:spacing w:val="8"/>
          <w:sz w:val="24"/>
          <w:szCs w:val="24"/>
        </w:rPr>
      </w:pPr>
      <w:r>
        <w:rPr>
          <w:rFonts w:hint="eastAsia" w:ascii="宋体" w:hAnsi="宋体" w:eastAsia="宋体" w:cs="宋体"/>
          <w:color w:val="auto"/>
          <w:spacing w:val="8"/>
          <w:sz w:val="24"/>
          <w:szCs w:val="24"/>
        </w:rPr>
        <w:t>农</w:t>
      </w:r>
      <w:r>
        <w:rPr>
          <w:rFonts w:ascii="华文楷体" w:hAnsi="华文楷体" w:eastAsia="华文楷体" w:cs="华文楷体"/>
          <w:color w:val="auto"/>
          <w:spacing w:val="8"/>
          <w:sz w:val="24"/>
          <w:szCs w:val="24"/>
        </w:rPr>
        <w:t xml:space="preserve">  </w:t>
      </w:r>
      <w:r>
        <w:rPr>
          <w:rFonts w:hint="eastAsia" w:ascii="宋体" w:hAnsi="宋体" w:eastAsia="宋体" w:cs="宋体"/>
          <w:color w:val="auto"/>
          <w:spacing w:val="8"/>
          <w:sz w:val="24"/>
          <w:szCs w:val="24"/>
        </w:rPr>
        <w:t>业</w:t>
      </w:r>
      <w:r>
        <w:rPr>
          <w:rFonts w:ascii="华文楷体" w:hAnsi="华文楷体" w:eastAsia="华文楷体" w:cs="华文楷体"/>
          <w:color w:val="auto"/>
          <w:spacing w:val="8"/>
          <w:sz w:val="24"/>
          <w:szCs w:val="24"/>
        </w:rPr>
        <w:t xml:space="preserve">  </w:t>
      </w:r>
      <w:r>
        <w:rPr>
          <w:rFonts w:hint="eastAsia" w:ascii="宋体" w:hAnsi="宋体" w:eastAsia="宋体" w:cs="宋体"/>
          <w:color w:val="auto"/>
          <w:spacing w:val="8"/>
          <w:sz w:val="24"/>
          <w:szCs w:val="24"/>
        </w:rPr>
        <w:t>农</w:t>
      </w:r>
      <w:r>
        <w:rPr>
          <w:rFonts w:ascii="华文楷体" w:hAnsi="华文楷体" w:eastAsia="华文楷体" w:cs="华文楷体"/>
          <w:color w:val="auto"/>
          <w:spacing w:val="8"/>
          <w:sz w:val="24"/>
          <w:szCs w:val="24"/>
        </w:rPr>
        <w:t xml:space="preserve">  </w:t>
      </w:r>
      <w:r>
        <w:rPr>
          <w:rFonts w:hint="eastAsia" w:ascii="宋体" w:hAnsi="宋体" w:eastAsia="宋体" w:cs="宋体"/>
          <w:color w:val="auto"/>
          <w:spacing w:val="8"/>
          <w:sz w:val="24"/>
          <w:szCs w:val="24"/>
        </w:rPr>
        <w:t>村</w:t>
      </w:r>
      <w:r>
        <w:rPr>
          <w:rFonts w:ascii="华文楷体" w:hAnsi="华文楷体" w:eastAsia="华文楷体" w:cs="华文楷体"/>
          <w:color w:val="auto"/>
          <w:spacing w:val="8"/>
          <w:sz w:val="24"/>
          <w:szCs w:val="24"/>
        </w:rPr>
        <w:t xml:space="preserve">  </w:t>
      </w:r>
      <w:r>
        <w:rPr>
          <w:rFonts w:hint="eastAsia" w:ascii="宋体" w:hAnsi="宋体" w:eastAsia="宋体" w:cs="宋体"/>
          <w:color w:val="auto"/>
          <w:spacing w:val="8"/>
          <w:sz w:val="24"/>
          <w:szCs w:val="24"/>
        </w:rPr>
        <w:t>部</w:t>
      </w:r>
    </w:p>
    <w:p>
      <w:pPr>
        <w:pStyle w:val="9"/>
        <w:keepNext w:val="0"/>
        <w:keepLines w:val="0"/>
        <w:pageBreakBefore w:val="0"/>
        <w:widowControl w:val="0"/>
        <w:kinsoku/>
        <w:wordWrap/>
        <w:overflowPunct/>
        <w:topLinePunct w:val="0"/>
        <w:autoSpaceDE/>
        <w:autoSpaceDN/>
        <w:bidi w:val="0"/>
        <w:adjustRightInd/>
        <w:snapToGrid/>
        <w:spacing w:line="240" w:lineRule="exact"/>
        <w:ind w:left="3500" w:firstLine="500"/>
        <w:jc w:val="center"/>
        <w:textAlignment w:val="auto"/>
        <w:rPr>
          <w:rFonts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hint="eastAsia" w:ascii="宋体" w:hAnsi="宋体" w:eastAsia="宋体" w:cs="宋体"/>
          <w:color w:val="auto"/>
          <w:sz w:val="24"/>
          <w:szCs w:val="24"/>
        </w:rPr>
        <w:t>制定</w:t>
      </w:r>
    </w:p>
    <w:p>
      <w:pPr>
        <w:pStyle w:val="9"/>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华文楷体" w:hAnsi="华文楷体" w:eastAsia="华文楷体" w:cs="华文楷体"/>
          <w:color w:val="auto"/>
          <w:sz w:val="24"/>
          <w:szCs w:val="24"/>
        </w:rPr>
      </w:pPr>
      <w:r>
        <w:rPr>
          <w:rFonts w:hint="eastAsia" w:ascii="宋体" w:hAnsi="宋体" w:eastAsia="宋体" w:cs="宋体"/>
          <w:color w:val="auto"/>
          <w:sz w:val="24"/>
          <w:szCs w:val="24"/>
        </w:rPr>
        <w:t>国家市场监督管理总局</w:t>
      </w:r>
    </w:p>
    <w:p>
      <w:pPr>
        <w:pStyle w:val="9"/>
        <w:spacing w:line="200" w:lineRule="exact"/>
        <w:jc w:val="center"/>
        <w:rPr>
          <w:rFonts w:ascii="华文楷体" w:hAnsi="华文楷体" w:eastAsia="华文楷体" w:cs="华文楷体"/>
          <w:color w:val="auto"/>
          <w:sz w:val="24"/>
          <w:szCs w:val="24"/>
        </w:rPr>
      </w:pPr>
    </w:p>
    <w:p>
      <w:pPr>
        <w:pStyle w:val="10"/>
        <w:spacing w:before="220" w:after="360" w:line="240" w:lineRule="auto"/>
        <w:ind w:firstLine="2976" w:firstLineChars="1063"/>
        <w:rPr>
          <w:rFonts w:ascii="楷体_GB2312" w:hAnsi="华文楷体" w:eastAsia="楷体_GB2312" w:cs="华文楷体"/>
          <w:color w:val="auto"/>
          <w:sz w:val="28"/>
          <w:szCs w:val="28"/>
          <w:lang w:eastAsia="zh-CN"/>
        </w:rPr>
      </w:pPr>
      <w:r>
        <w:rPr>
          <w:rFonts w:hint="eastAsia" w:ascii="楷体_GB2312" w:hAnsi="华文楷体" w:eastAsia="楷体_GB2312" w:cs="华文楷体"/>
          <w:color w:val="auto"/>
          <w:sz w:val="28"/>
          <w:szCs w:val="28"/>
          <w:lang w:eastAsia="zh-CN"/>
        </w:rPr>
        <w:t>二</w:t>
      </w:r>
      <w:r>
        <w:rPr>
          <w:rFonts w:hint="eastAsia" w:ascii="宋体" w:hAnsi="宋体" w:eastAsia="宋体" w:cs="宋体"/>
          <w:color w:val="auto"/>
          <w:sz w:val="28"/>
          <w:szCs w:val="28"/>
          <w:lang w:eastAsia="zh-CN"/>
        </w:rPr>
        <w:t>〇</w:t>
      </w:r>
      <w:r>
        <w:rPr>
          <w:rFonts w:hint="eastAsia" w:ascii="楷体_GB2312" w:hAnsi="华文楷体" w:eastAsia="楷体_GB2312" w:cs="华文楷体"/>
          <w:color w:val="auto"/>
          <w:sz w:val="28"/>
          <w:szCs w:val="28"/>
          <w:lang w:eastAsia="zh-CN"/>
        </w:rPr>
        <w:t xml:space="preserve">二一 </w:t>
      </w:r>
      <w:r>
        <w:rPr>
          <w:rFonts w:ascii="楷体_GB2312" w:hAnsi="华文楷体" w:eastAsia="楷体_GB2312" w:cs="华文楷体"/>
          <w:color w:val="auto"/>
          <w:sz w:val="28"/>
          <w:szCs w:val="28"/>
          <w:lang w:eastAsia="zh-CN"/>
        </w:rPr>
        <w:t>年</w:t>
      </w:r>
      <w:r>
        <w:rPr>
          <w:rFonts w:hint="eastAsia" w:ascii="楷体_GB2312" w:hAnsi="华文楷体" w:eastAsia="楷体_GB2312" w:cs="华文楷体"/>
          <w:color w:val="auto"/>
          <w:sz w:val="28"/>
          <w:szCs w:val="28"/>
          <w:lang w:eastAsia="zh-CN"/>
        </w:rPr>
        <w:t xml:space="preserve"> </w:t>
      </w:r>
      <w:r>
        <w:rPr>
          <w:rFonts w:hint="eastAsia" w:ascii="楷体_GB2312" w:eastAsia="楷体_GB2312" w:cs="华文楷体" w:hAnsiTheme="minorEastAsia"/>
          <w:color w:val="auto"/>
          <w:sz w:val="28"/>
          <w:szCs w:val="28"/>
          <w:lang w:eastAsia="zh-CN"/>
        </w:rPr>
        <w:t xml:space="preserve">九 </w:t>
      </w:r>
      <w:r>
        <w:rPr>
          <w:rFonts w:ascii="楷体_GB2312" w:hAnsi="华文楷体" w:eastAsia="楷体_GB2312" w:cs="华文楷体"/>
          <w:color w:val="auto"/>
          <w:sz w:val="28"/>
          <w:szCs w:val="28"/>
          <w:lang w:eastAsia="zh-CN"/>
        </w:rPr>
        <w:t>月</w:t>
      </w:r>
    </w:p>
    <w:p>
      <w:pPr>
        <w:pStyle w:val="10"/>
        <w:ind w:firstLine="560" w:firstLineChars="200"/>
        <w:jc w:val="center"/>
        <w:rPr>
          <w:rFonts w:ascii="华文楷体" w:hAnsi="华文楷体" w:eastAsia="华文楷体" w:cs="华文楷体"/>
          <w:color w:val="auto"/>
          <w:sz w:val="28"/>
          <w:szCs w:val="28"/>
          <w:lang w:eastAsia="zh-CN"/>
        </w:rPr>
      </w:pPr>
    </w:p>
    <w:p>
      <w:pPr>
        <w:pStyle w:val="13"/>
        <w:spacing w:line="520" w:lineRule="exact"/>
        <w:jc w:val="center"/>
        <w:rPr>
          <w:rFonts w:ascii="黑体" w:hAnsi="黑体" w:eastAsia="黑体"/>
          <w:b/>
          <w:color w:val="auto"/>
          <w:sz w:val="30"/>
          <w:szCs w:val="30"/>
        </w:rPr>
      </w:pPr>
      <w:r>
        <w:rPr>
          <w:rFonts w:hint="eastAsia" w:ascii="黑体" w:hAnsi="黑体" w:eastAsia="黑体"/>
          <w:b/>
          <w:color w:val="auto"/>
          <w:sz w:val="30"/>
          <w:szCs w:val="30"/>
        </w:rPr>
        <w:t>使 用 说 明</w:t>
      </w:r>
    </w:p>
    <w:p>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一、本合同为示范文本，由农业农村部与国家市场监督管理总局联合制定，供农村土地（耕地）经营权出租（含转包）的当事人签订合同时参照使用。 </w:t>
      </w:r>
    </w:p>
    <w:p>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三、合同签订前，工商企业等社会资本通过出租取得土地经营权的，</w:t>
      </w:r>
      <w:bookmarkStart w:id="0" w:name="_Hlk78568259"/>
      <w:r>
        <w:rPr>
          <w:rFonts w:hint="eastAsia" w:ascii="仿宋_GB2312" w:eastAsia="仿宋_GB2312" w:cs="方正仿宋_GBK"/>
          <w:color w:val="auto"/>
          <w:sz w:val="30"/>
          <w:szCs w:val="30"/>
        </w:rPr>
        <w:t>应当依法履行资格审查、项目审核和风险防范等相关程序。</w:t>
      </w:r>
      <w:bookmarkEnd w:id="0"/>
    </w:p>
    <w:p>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五、双方当事人应当结合具体情况选择本合同协议条款中所提供的选择项，同意的在选择项前的□打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，不同意的打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 xml:space="preserve">。 </w:t>
      </w:r>
    </w:p>
    <w:p>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六、本合同文本中涉及到的选择、填写内容以手写项为优先。 </w:t>
      </w:r>
    </w:p>
    <w:p>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七、当事人订立合同的，应当在合同书上签字、盖章或者按指印。 </w:t>
      </w:r>
    </w:p>
    <w:p>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八、本合同文本“当事人”部分，自然人填写身份证号码，</w:t>
      </w:r>
      <w:bookmarkStart w:id="1" w:name="_Hlk77060475"/>
      <w:r>
        <w:rPr>
          <w:rFonts w:hint="eastAsia" w:ascii="仿宋_GB2312" w:eastAsia="仿宋_GB2312" w:cs="方正仿宋_GBK"/>
          <w:color w:val="auto"/>
          <w:sz w:val="30"/>
          <w:szCs w:val="30"/>
        </w:rPr>
        <w:t>农村集体经济组织填写农业农村部门赋予的统一社会信用代码，其他市场主体填写市场监督管理部门赋予的统一社会信用代码。</w:t>
      </w:r>
      <w:bookmarkEnd w:id="1"/>
    </w:p>
    <w:p>
      <w:pPr>
        <w:pStyle w:val="13"/>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九、本合同编号由县级以上农业农村部门或农村经营管理部门指导乡（镇）人民政府农村土地承包管理部门按统一规则填写。</w:t>
      </w:r>
    </w:p>
    <w:p>
      <w:pPr>
        <w:pStyle w:val="10"/>
        <w:spacing w:before="220" w:after="360" w:line="520" w:lineRule="exact"/>
        <w:ind w:firstLine="560" w:firstLineChars="200"/>
        <w:rPr>
          <w:rFonts w:ascii="华文楷体" w:hAnsi="华文楷体" w:eastAsia="华文楷体" w:cs="华文楷体"/>
          <w:color w:val="auto"/>
          <w:sz w:val="28"/>
          <w:szCs w:val="28"/>
        </w:rPr>
        <w:sectPr>
          <w:headerReference r:id="rId4" w:type="first"/>
          <w:footerReference r:id="rId7" w:type="first"/>
          <w:footerReference r:id="rId5" w:type="default"/>
          <w:headerReference r:id="rId3" w:type="even"/>
          <w:footerReference r:id="rId6" w:type="even"/>
          <w:pgSz w:w="11900" w:h="16840"/>
          <w:pgMar w:top="1134" w:right="1833" w:bottom="1797" w:left="1796" w:header="1215" w:footer="1372" w:gutter="0"/>
          <w:pgNumType w:start="1"/>
          <w:cols w:space="0" w:num="1"/>
          <w:docGrid w:linePitch="360" w:charSpace="0"/>
        </w:sectPr>
      </w:pPr>
    </w:p>
    <w:p>
      <w:pPr>
        <w:pStyle w:val="10"/>
        <w:spacing w:before="220" w:after="360" w:line="520" w:lineRule="exact"/>
        <w:ind w:firstLine="560" w:firstLineChars="200"/>
        <w:rPr>
          <w:rFonts w:ascii="华文楷体" w:hAnsi="华文楷体" w:eastAsia="华文楷体" w:cs="华文楷体"/>
          <w:color w:val="auto"/>
          <w:sz w:val="28"/>
          <w:szCs w:val="28"/>
        </w:rPr>
      </w:pPr>
      <w:r>
        <w:rPr>
          <w:rFonts w:hint="eastAsia" w:ascii="宋体" w:hAnsi="宋体" w:eastAsia="宋体" w:cs="宋体"/>
          <w:color w:val="auto"/>
          <w:sz w:val="28"/>
          <w:szCs w:val="28"/>
        </w:rPr>
        <w:t>根据</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中华人民共和国</w:t>
      </w:r>
      <w:r>
        <w:rPr>
          <w:rFonts w:hint="eastAsia" w:ascii="宋体" w:hAnsi="宋体" w:eastAsia="宋体" w:cs="宋体"/>
          <w:color w:val="auto"/>
          <w:sz w:val="28"/>
          <w:szCs w:val="28"/>
          <w:lang w:eastAsia="zh-CN"/>
        </w:rPr>
        <w:t>民法典</w:t>
      </w:r>
      <w:r>
        <w:rPr>
          <w:rFonts w:hint="eastAsia" w:ascii="华文楷体" w:hAnsi="华文楷体" w:eastAsia="华文楷体" w:cs="华文楷体"/>
          <w:color w:val="auto"/>
          <w:sz w:val="28"/>
          <w:szCs w:val="28"/>
        </w:rPr>
        <w:t>》《</w:t>
      </w:r>
      <w:r>
        <w:rPr>
          <w:rFonts w:hint="eastAsia" w:ascii="宋体" w:hAnsi="宋体" w:eastAsia="宋体" w:cs="宋体"/>
          <w:color w:val="auto"/>
          <w:sz w:val="28"/>
          <w:szCs w:val="28"/>
        </w:rPr>
        <w:t>中华人民共和国农村土地承包法</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和</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农村土地经营权流转管理办法</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等相关法律法规</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本着平等</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自愿</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公平</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诚信</w:t>
      </w:r>
      <w:bookmarkStart w:id="2" w:name="_Hlk79072148"/>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有偿</w:t>
      </w:r>
      <w:bookmarkEnd w:id="2"/>
      <w:r>
        <w:rPr>
          <w:rFonts w:hint="eastAsia" w:ascii="宋体" w:hAnsi="宋体" w:eastAsia="宋体" w:cs="宋体"/>
          <w:color w:val="auto"/>
          <w:sz w:val="28"/>
          <w:szCs w:val="28"/>
        </w:rPr>
        <w:t>的原则</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rPr>
        <w:t>经甲乙双方协商一致</w:t>
      </w:r>
      <w:r>
        <w:rPr>
          <w:rFonts w:hint="eastAsia" w:ascii="Malgun Gothic Semilight" w:hAnsi="Malgun Gothic Semilight" w:eastAsia="Malgun Gothic Semilight" w:cs="Malgun Gothic Semilight"/>
          <w:color w:val="auto"/>
          <w:sz w:val="28"/>
          <w:szCs w:val="28"/>
        </w:rPr>
        <w:t>，</w:t>
      </w:r>
      <w:r>
        <w:rPr>
          <w:rFonts w:hint="eastAsia" w:ascii="宋体" w:hAnsi="宋体" w:eastAsia="宋体" w:cs="宋体"/>
          <w:color w:val="auto"/>
          <w:sz w:val="28"/>
          <w:szCs w:val="28"/>
          <w:lang w:bidi="en-US"/>
        </w:rPr>
        <w:t>就土地经营权</w:t>
      </w:r>
      <w:r>
        <w:rPr>
          <w:rFonts w:hint="eastAsia" w:ascii="宋体" w:hAnsi="宋体" w:eastAsia="宋体" w:cs="宋体"/>
          <w:color w:val="auto"/>
          <w:sz w:val="28"/>
          <w:szCs w:val="28"/>
          <w:lang w:eastAsia="zh-CN" w:bidi="en-US"/>
        </w:rPr>
        <w:t>出租</w:t>
      </w:r>
      <w:r>
        <w:rPr>
          <w:rFonts w:hint="eastAsia" w:ascii="宋体" w:hAnsi="宋体" w:eastAsia="宋体" w:cs="宋体"/>
          <w:color w:val="auto"/>
          <w:sz w:val="28"/>
          <w:szCs w:val="28"/>
          <w:lang w:bidi="en-US"/>
        </w:rPr>
        <w:t>事宜</w:t>
      </w:r>
      <w:r>
        <w:rPr>
          <w:rFonts w:hint="eastAsia" w:ascii="Malgun Gothic Semilight" w:hAnsi="Malgun Gothic Semilight" w:eastAsia="Malgun Gothic Semilight" w:cs="Malgun Gothic Semilight"/>
          <w:color w:val="auto"/>
          <w:sz w:val="28"/>
          <w:szCs w:val="28"/>
          <w:lang w:bidi="en-US"/>
        </w:rPr>
        <w:t>，</w:t>
      </w:r>
      <w:r>
        <w:rPr>
          <w:rFonts w:hint="eastAsia" w:ascii="宋体" w:hAnsi="宋体" w:eastAsia="宋体" w:cs="宋体"/>
          <w:color w:val="auto"/>
          <w:sz w:val="28"/>
          <w:szCs w:val="28"/>
        </w:rPr>
        <w:t>签订本合同</w:t>
      </w:r>
      <w:r>
        <w:rPr>
          <w:rFonts w:hint="eastAsia" w:ascii="Malgun Gothic Semilight" w:hAnsi="Malgun Gothic Semilight" w:eastAsia="Malgun Gothic Semilight" w:cs="Malgun Gothic Semilight"/>
          <w:color w:val="auto"/>
          <w:sz w:val="28"/>
          <w:szCs w:val="28"/>
        </w:rPr>
        <w:t>。</w:t>
      </w:r>
    </w:p>
    <w:p>
      <w:pPr>
        <w:pStyle w:val="11"/>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甲方（出租方）：</w:t>
      </w:r>
      <w:r>
        <w:rPr>
          <w:rFonts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□社会信用代码:</w:t>
      </w:r>
      <w:r>
        <w:rPr>
          <w:rFonts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□身份证号码:</w:t>
      </w:r>
      <w:r>
        <w:rPr>
          <w:rFonts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法定代表人（负责人/农户代表人）：</w:t>
      </w:r>
      <w:r>
        <w:rPr>
          <w:rFonts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身份证号码：</w:t>
      </w:r>
      <w:r>
        <w:rPr>
          <w:rFonts w:ascii="仿宋_GB2312" w:eastAsia="仿宋_GB2312" w:cs="方正仿宋_GBK"/>
          <w:sz w:val="28"/>
          <w:szCs w:val="28"/>
          <w:u w:val="single"/>
        </w:rPr>
        <w:t xml:space="preserve">                    </w:t>
      </w:r>
      <w:r>
        <w:rPr>
          <w:rFonts w:ascii="仿宋_GB2312" w:eastAsia="仿宋_GB2312" w:cs="方正仿宋_GBK"/>
          <w:sz w:val="28"/>
          <w:szCs w:val="28"/>
        </w:rPr>
        <w:t xml:space="preserve"> </w:t>
      </w:r>
    </w:p>
    <w:p>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联系地址：</w:t>
      </w:r>
      <w:r>
        <w:rPr>
          <w:rFonts w:ascii="仿宋_GB2312" w:eastAsia="仿宋_GB2312" w:cs="方正仿宋_GBK"/>
          <w:sz w:val="28"/>
          <w:szCs w:val="28"/>
          <w:u w:val="single"/>
        </w:rPr>
        <w:t xml:space="preserve">                </w:t>
      </w:r>
      <w:r>
        <w:rPr>
          <w:rFonts w:hint="eastAsia" w:ascii="仿宋_GB2312" w:eastAsia="仿宋_GB2312" w:cs="方正仿宋_GBK"/>
          <w:sz w:val="28"/>
          <w:szCs w:val="28"/>
        </w:rPr>
        <w:t>联系电话：</w:t>
      </w:r>
      <w:r>
        <w:rPr>
          <w:rFonts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经营主体类型：□自然人</w:t>
      </w:r>
      <w:r>
        <w:rPr>
          <w:rFonts w:ascii="仿宋_GB2312" w:eastAsia="仿宋_GB2312" w:cs="方正仿宋_GBK"/>
          <w:sz w:val="28"/>
          <w:szCs w:val="28"/>
        </w:rPr>
        <w:t xml:space="preserve"> </w:t>
      </w:r>
      <w:r>
        <w:rPr>
          <w:rFonts w:hint="eastAsia" w:ascii="仿宋_GB2312" w:eastAsia="仿宋_GB2312" w:cs="方正仿宋_GBK"/>
          <w:sz w:val="28"/>
          <w:szCs w:val="28"/>
        </w:rPr>
        <w:t>□农村承包经营户</w:t>
      </w:r>
      <w:r>
        <w:rPr>
          <w:rFonts w:ascii="仿宋_GB2312" w:eastAsia="仿宋_GB2312" w:cs="方正仿宋_GBK"/>
          <w:sz w:val="28"/>
          <w:szCs w:val="28"/>
        </w:rPr>
        <w:t xml:space="preserve"> </w:t>
      </w:r>
      <w:r>
        <w:rPr>
          <w:rFonts w:hint="eastAsia" w:ascii="仿宋_GB2312" w:eastAsia="仿宋_GB2312" w:cs="方正仿宋_GBK"/>
          <w:sz w:val="28"/>
          <w:szCs w:val="28"/>
        </w:rPr>
        <w:t>□农民专业合作社</w:t>
      </w:r>
      <w:r>
        <w:rPr>
          <w:rFonts w:ascii="仿宋_GB2312" w:eastAsia="仿宋_GB2312" w:cs="方正仿宋_GBK"/>
          <w:sz w:val="28"/>
          <w:szCs w:val="28"/>
        </w:rPr>
        <w:t xml:space="preserve"> </w:t>
      </w:r>
      <w:r>
        <w:rPr>
          <w:rFonts w:hint="eastAsia" w:ascii="仿宋_GB2312" w:eastAsia="仿宋_GB2312" w:cs="方正仿宋_GBK"/>
          <w:sz w:val="28"/>
          <w:szCs w:val="28"/>
        </w:rPr>
        <w:t>□家庭农场</w:t>
      </w:r>
      <w:r>
        <w:rPr>
          <w:rFonts w:ascii="仿宋_GB2312" w:eastAsia="仿宋_GB2312" w:cs="方正仿宋_GBK"/>
          <w:sz w:val="28"/>
          <w:szCs w:val="28"/>
        </w:rPr>
        <w:t xml:space="preserve"> </w:t>
      </w:r>
      <w:r>
        <w:rPr>
          <w:rFonts w:hint="eastAsia" w:ascii="仿宋_GB2312" w:eastAsia="仿宋_GB2312" w:cs="方正仿宋_GBK"/>
          <w:sz w:val="28"/>
          <w:szCs w:val="28"/>
        </w:rPr>
        <w:t>□农村集体经济组织</w:t>
      </w:r>
      <w:r>
        <w:rPr>
          <w:rFonts w:ascii="仿宋_GB2312" w:eastAsia="仿宋_GB2312" w:cs="方正仿宋_GBK"/>
          <w:sz w:val="28"/>
          <w:szCs w:val="28"/>
        </w:rPr>
        <w:t xml:space="preserve"> </w:t>
      </w:r>
      <w:r>
        <w:rPr>
          <w:rFonts w:hint="eastAsia" w:ascii="仿宋_GB2312" w:eastAsia="仿宋_GB2312" w:cs="方正仿宋_GBK"/>
          <w:sz w:val="28"/>
          <w:szCs w:val="28"/>
        </w:rPr>
        <w:t>□公司</w:t>
      </w:r>
      <w:r>
        <w:rPr>
          <w:rFonts w:ascii="仿宋_GB2312" w:eastAsia="仿宋_GB2312" w:cs="方正仿宋_GBK"/>
          <w:sz w:val="28"/>
          <w:szCs w:val="28"/>
        </w:rPr>
        <w:t xml:space="preserve"> </w:t>
      </w:r>
      <w:r>
        <w:rPr>
          <w:rFonts w:hint="eastAsia" w:ascii="仿宋_GB2312" w:eastAsia="仿宋_GB2312" w:cs="方正仿宋_GBK"/>
          <w:sz w:val="28"/>
          <w:szCs w:val="28"/>
        </w:rPr>
        <w:t>□其他</w:t>
      </w:r>
      <w:r>
        <w:rPr>
          <w:rFonts w:ascii="仿宋_GB2312" w:eastAsia="仿宋_GB2312" w:cs="方正仿宋_GBK"/>
          <w:sz w:val="28"/>
          <w:szCs w:val="28"/>
        </w:rPr>
        <w:t>:</w:t>
      </w:r>
      <w:r>
        <w:rPr>
          <w:rFonts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eastAsia="仿宋_GB2312" w:cs="方正仿宋_GBK"/>
          <w:sz w:val="28"/>
          <w:szCs w:val="28"/>
        </w:rPr>
      </w:pPr>
    </w:p>
    <w:p>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乙方（承租方）：</w:t>
      </w:r>
      <w:r>
        <w:rPr>
          <w:rFonts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□社会信用代码：</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□身份证号码:</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法定代表人（负责人/农户代表人）：</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eastAsia="仿宋_GB2312" w:cs="方正仿宋_GBK"/>
          <w:sz w:val="28"/>
          <w:szCs w:val="28"/>
          <w:u w:val="single"/>
        </w:rPr>
      </w:pPr>
      <w:r>
        <w:rPr>
          <w:rFonts w:hint="eastAsia" w:ascii="仿宋_GB2312" w:eastAsia="仿宋_GB2312" w:cs="方正仿宋_GBK"/>
          <w:sz w:val="28"/>
          <w:szCs w:val="28"/>
        </w:rPr>
        <w:t>身份证号码：</w:t>
      </w:r>
      <w:r>
        <w:rPr>
          <w:rFonts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eastAsia="仿宋_GB2312" w:cs="方正仿宋_GBK"/>
          <w:sz w:val="28"/>
          <w:szCs w:val="28"/>
        </w:rPr>
      </w:pPr>
      <w:r>
        <w:rPr>
          <w:rFonts w:hint="eastAsia" w:ascii="仿宋_GB2312" w:eastAsia="仿宋_GB2312" w:cs="方正仿宋_GBK"/>
          <w:sz w:val="28"/>
          <w:szCs w:val="28"/>
        </w:rPr>
        <w:t>联系地址：</w:t>
      </w:r>
      <w:r>
        <w:rPr>
          <w:rFonts w:ascii="仿宋_GB2312" w:eastAsia="仿宋_GB2312" w:cs="方正仿宋_GBK"/>
          <w:sz w:val="28"/>
          <w:szCs w:val="28"/>
          <w:u w:val="single"/>
        </w:rPr>
        <w:t xml:space="preserve">                 </w:t>
      </w:r>
      <w:r>
        <w:rPr>
          <w:rFonts w:hint="eastAsia" w:ascii="仿宋_GB2312" w:eastAsia="仿宋_GB2312" w:cs="方正仿宋_GBK"/>
          <w:sz w:val="28"/>
          <w:szCs w:val="28"/>
        </w:rPr>
        <w:t>联系电话：</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pPr>
        <w:autoSpaceDE w:val="0"/>
        <w:autoSpaceDN w:val="0"/>
        <w:adjustRightInd w:val="0"/>
        <w:spacing w:line="520" w:lineRule="exact"/>
        <w:ind w:firstLine="560" w:firstLineChars="200"/>
        <w:rPr>
          <w:rFonts w:ascii="仿宋_GB2312" w:hAnsi="华文黑体" w:eastAsia="仿宋_GB2312" w:cs="华文黑体"/>
          <w:b/>
          <w:bCs/>
          <w:sz w:val="28"/>
          <w:szCs w:val="28"/>
        </w:rPr>
      </w:pPr>
      <w:r>
        <w:rPr>
          <w:rFonts w:hint="eastAsia" w:ascii="仿宋_GB2312" w:eastAsia="仿宋_GB2312" w:cs="方正仿宋_GBK"/>
          <w:sz w:val="28"/>
          <w:szCs w:val="28"/>
        </w:rPr>
        <w:t>经营主体类型：□自然人</w:t>
      </w:r>
      <w:r>
        <w:rPr>
          <w:rFonts w:ascii="仿宋_GB2312" w:eastAsia="仿宋_GB2312" w:cs="方正仿宋_GBK"/>
          <w:sz w:val="28"/>
          <w:szCs w:val="28"/>
        </w:rPr>
        <w:t xml:space="preserve"> </w:t>
      </w:r>
      <w:r>
        <w:rPr>
          <w:rFonts w:hint="eastAsia" w:ascii="仿宋_GB2312" w:eastAsia="仿宋_GB2312" w:cs="方正仿宋_GBK"/>
          <w:sz w:val="28"/>
          <w:szCs w:val="28"/>
        </w:rPr>
        <w:t>□农村承包经营户</w:t>
      </w:r>
      <w:r>
        <w:rPr>
          <w:rFonts w:ascii="仿宋_GB2312" w:eastAsia="仿宋_GB2312" w:cs="方正仿宋_GBK"/>
          <w:sz w:val="28"/>
          <w:szCs w:val="28"/>
        </w:rPr>
        <w:t xml:space="preserve"> </w:t>
      </w:r>
      <w:r>
        <w:rPr>
          <w:rFonts w:hint="eastAsia" w:ascii="仿宋_GB2312" w:eastAsia="仿宋_GB2312" w:cs="方正仿宋_GBK"/>
          <w:sz w:val="28"/>
          <w:szCs w:val="28"/>
        </w:rPr>
        <w:t>□农民专业合作社</w:t>
      </w:r>
      <w:r>
        <w:rPr>
          <w:rFonts w:ascii="仿宋_GB2312" w:eastAsia="仿宋_GB2312" w:cs="方正仿宋_GBK"/>
          <w:sz w:val="28"/>
          <w:szCs w:val="28"/>
        </w:rPr>
        <w:t xml:space="preserve"> </w:t>
      </w:r>
      <w:r>
        <w:rPr>
          <w:rFonts w:hint="eastAsia" w:ascii="仿宋_GB2312" w:eastAsia="仿宋_GB2312" w:cs="方正仿宋_GBK"/>
          <w:sz w:val="28"/>
          <w:szCs w:val="28"/>
        </w:rPr>
        <w:t>□家庭农场</w:t>
      </w:r>
      <w:r>
        <w:rPr>
          <w:rFonts w:ascii="仿宋_GB2312" w:eastAsia="仿宋_GB2312" w:cs="方正仿宋_GBK"/>
          <w:sz w:val="28"/>
          <w:szCs w:val="28"/>
        </w:rPr>
        <w:t xml:space="preserve"> </w:t>
      </w:r>
      <w:r>
        <w:rPr>
          <w:rFonts w:hint="eastAsia" w:ascii="仿宋_GB2312" w:eastAsia="仿宋_GB2312" w:cs="方正仿宋_GBK"/>
          <w:sz w:val="28"/>
          <w:szCs w:val="28"/>
        </w:rPr>
        <w:t>□公司</w:t>
      </w:r>
      <w:r>
        <w:rPr>
          <w:rFonts w:ascii="仿宋_GB2312" w:eastAsia="仿宋_GB2312" w:cs="方正仿宋_GBK"/>
          <w:sz w:val="28"/>
          <w:szCs w:val="28"/>
        </w:rPr>
        <w:t xml:space="preserve"> </w:t>
      </w:r>
      <w:r>
        <w:rPr>
          <w:rFonts w:hint="eastAsia" w:ascii="仿宋_GB2312" w:eastAsia="仿宋_GB2312" w:cs="方正仿宋_GBK"/>
          <w:sz w:val="28"/>
          <w:szCs w:val="28"/>
        </w:rPr>
        <w:t>□其他</w:t>
      </w:r>
      <w:r>
        <w:rPr>
          <w:rFonts w:ascii="仿宋_GB2312" w:eastAsia="仿宋_GB2312" w:cs="方正仿宋_GBK"/>
          <w:sz w:val="28"/>
          <w:szCs w:val="28"/>
        </w:rPr>
        <w:t>:</w:t>
      </w:r>
      <w:r>
        <w:rPr>
          <w:rFonts w:ascii="仿宋_GB2312" w:eastAsia="仿宋_GB2312" w:cs="方正仿宋_GBK"/>
          <w:sz w:val="28"/>
          <w:szCs w:val="28"/>
          <w:u w:val="single"/>
        </w:rPr>
        <w:t xml:space="preserve">                  </w:t>
      </w:r>
      <w:r>
        <w:rPr>
          <w:rFonts w:hint="eastAsia" w:ascii="仿宋_GB2312" w:eastAsia="仿宋_GB2312" w:cs="方正仿宋_GBK"/>
          <w:sz w:val="28"/>
          <w:szCs w:val="28"/>
          <w:u w:val="single"/>
        </w:rPr>
        <w:t xml:space="preserve">          </w:t>
      </w:r>
    </w:p>
    <w:p>
      <w:pPr>
        <w:pStyle w:val="11"/>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二、</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物</w:t>
      </w:r>
    </w:p>
    <w:p>
      <w:pPr>
        <w:pStyle w:val="11"/>
        <w:spacing w:after="0" w:line="520" w:lineRule="exact"/>
        <w:ind w:firstLine="560" w:firstLineChars="200"/>
        <w:jc w:val="both"/>
        <w:sectPr>
          <w:headerReference r:id="rId8" w:type="default"/>
          <w:footerReference r:id="rId9" w:type="default"/>
          <w:pgSz w:w="11900" w:h="16840"/>
          <w:pgMar w:top="1643" w:right="1833" w:bottom="1798" w:left="1796" w:header="1215" w:footer="1370" w:gutter="0"/>
          <w:cols w:space="720" w:num="1"/>
          <w:docGrid w:linePitch="360" w:charSpace="0"/>
        </w:sectPr>
      </w:pPr>
      <w:r>
        <w:rPr>
          <w:rFonts w:hint="eastAsia" w:ascii="仿宋_GB2312" w:eastAsia="仿宋_GB2312" w:cs="方正仿宋_GBK"/>
          <w:color w:val="auto"/>
          <w:sz w:val="28"/>
          <w:szCs w:val="28"/>
          <w:lang w:eastAsia="zh-CN" w:bidi="ar-SA"/>
        </w:rPr>
        <w:t>（一）经自愿协商，甲方将</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亩土地经营权（具体见下表及附图）出租给乙方。</w:t>
      </w:r>
    </w:p>
    <w:tbl>
      <w:tblPr>
        <w:tblStyle w:val="4"/>
        <w:tblW w:w="11287" w:type="dxa"/>
        <w:jc w:val="center"/>
        <w:tblLayout w:type="fixed"/>
        <w:tblCellMar>
          <w:top w:w="0" w:type="dxa"/>
          <w:left w:w="108" w:type="dxa"/>
          <w:bottom w:w="0" w:type="dxa"/>
          <w:right w:w="108" w:type="dxa"/>
        </w:tblCellMar>
      </w:tblPr>
      <w:tblGrid>
        <w:gridCol w:w="510"/>
        <w:gridCol w:w="885"/>
        <w:gridCol w:w="979"/>
        <w:gridCol w:w="1085"/>
        <w:gridCol w:w="694"/>
        <w:gridCol w:w="769"/>
        <w:gridCol w:w="898"/>
        <w:gridCol w:w="753"/>
        <w:gridCol w:w="1039"/>
        <w:gridCol w:w="1035"/>
        <w:gridCol w:w="1020"/>
        <w:gridCol w:w="1005"/>
        <w:gridCol w:w="615"/>
      </w:tblGrid>
      <w:tr>
        <w:tblPrEx>
          <w:tblCellMar>
            <w:top w:w="0" w:type="dxa"/>
            <w:left w:w="108" w:type="dxa"/>
            <w:bottom w:w="0" w:type="dxa"/>
            <w:right w:w="108" w:type="dxa"/>
          </w:tblCellMar>
        </w:tblPrEx>
        <w:trPr>
          <w:trHeight w:val="712" w:hRule="exact"/>
          <w:jc w:val="center"/>
        </w:trPr>
        <w:tc>
          <w:tcPr>
            <w:tcW w:w="510" w:type="dxa"/>
            <w:vMerge w:val="restart"/>
            <w:tcBorders>
              <w:top w:val="single" w:color="auto" w:sz="4" w:space="0"/>
              <w:left w:val="single" w:color="auto" w:sz="4" w:space="0"/>
            </w:tcBorders>
            <w:shd w:val="clear" w:color="auto" w:fill="FFFFFF"/>
            <w:vAlign w:val="center"/>
          </w:tcPr>
          <w:p>
            <w:pPr>
              <w:pStyle w:val="12"/>
              <w:spacing w:line="240" w:lineRule="auto"/>
              <w:ind w:firstLine="0"/>
              <w:jc w:val="both"/>
              <w:rPr>
                <w:rFonts w:ascii="华文楷体" w:hAnsi="华文楷体" w:eastAsia="华文楷体" w:cs="华文楷体"/>
                <w:color w:val="auto"/>
                <w:sz w:val="22"/>
              </w:rPr>
            </w:pPr>
            <w:r>
              <w:rPr>
                <w:rFonts w:hint="eastAsia" w:ascii="宋体" w:hAnsi="宋体" w:eastAsia="宋体" w:cs="宋体"/>
                <w:color w:val="auto"/>
                <w:sz w:val="22"/>
              </w:rPr>
              <w:t>序</w:t>
            </w:r>
          </w:p>
          <w:p>
            <w:pPr>
              <w:pStyle w:val="12"/>
              <w:spacing w:line="240" w:lineRule="auto"/>
              <w:ind w:firstLine="0"/>
              <w:jc w:val="both"/>
              <w:rPr>
                <w:rFonts w:ascii="华文楷体" w:hAnsi="华文楷体" w:eastAsia="华文楷体" w:cs="华文楷体"/>
                <w:color w:val="auto"/>
                <w:sz w:val="22"/>
              </w:rPr>
            </w:pPr>
            <w:r>
              <w:rPr>
                <w:rFonts w:hint="eastAsia" w:ascii="宋体" w:hAnsi="宋体" w:eastAsia="宋体" w:cs="宋体"/>
                <w:color w:val="auto"/>
                <w:sz w:val="22"/>
              </w:rPr>
              <w:t>号</w:t>
            </w:r>
          </w:p>
        </w:tc>
        <w:tc>
          <w:tcPr>
            <w:tcW w:w="885" w:type="dxa"/>
            <w:vMerge w:val="restart"/>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村</w:t>
            </w:r>
          </w:p>
          <w:p>
            <w:pPr>
              <w:pStyle w:val="12"/>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hint="eastAsia" w:ascii="宋体" w:hAnsi="宋体" w:eastAsia="宋体" w:cs="宋体"/>
                <w:color w:val="auto"/>
                <w:sz w:val="22"/>
              </w:rPr>
              <w:t>组</w:t>
            </w:r>
            <w:r>
              <w:rPr>
                <w:rFonts w:hint="eastAsia" w:ascii="Malgun Gothic Semilight" w:hAnsi="Malgun Gothic Semilight" w:eastAsia="Malgun Gothic Semilight" w:cs="Malgun Gothic Semilight"/>
                <w:color w:val="auto"/>
                <w:sz w:val="22"/>
              </w:rPr>
              <w:t>）</w:t>
            </w:r>
          </w:p>
        </w:tc>
        <w:tc>
          <w:tcPr>
            <w:tcW w:w="979"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rPr>
              <w:t>地块</w:t>
            </w:r>
          </w:p>
          <w:p>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名称</w:t>
            </w:r>
          </w:p>
        </w:tc>
        <w:tc>
          <w:tcPr>
            <w:tcW w:w="1085"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rPr>
              <w:t>地块</w:t>
            </w:r>
          </w:p>
          <w:p>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lang w:eastAsia="zh-CN"/>
              </w:rPr>
              <w:t>代码</w:t>
            </w:r>
          </w:p>
        </w:tc>
        <w:tc>
          <w:tcPr>
            <w:tcW w:w="3114" w:type="dxa"/>
            <w:gridSpan w:val="4"/>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lang w:val="en-US" w:eastAsia="zh-CN"/>
              </w:rPr>
              <w:t>坐落</w:t>
            </w:r>
            <w:r>
              <w:rPr>
                <w:rFonts w:hint="eastAsia" w:ascii="Malgun Gothic Semilight" w:hAnsi="Malgun Gothic Semilight" w:eastAsia="Malgun Gothic Semilight" w:cs="Malgun Gothic Semilight"/>
                <w:color w:val="auto"/>
                <w:sz w:val="22"/>
                <w:lang w:val="en-US" w:eastAsia="zh-CN"/>
              </w:rPr>
              <w:t>（</w:t>
            </w:r>
            <w:r>
              <w:rPr>
                <w:rFonts w:hint="eastAsia" w:ascii="宋体" w:hAnsi="宋体" w:eastAsia="宋体" w:cs="宋体"/>
                <w:color w:val="auto"/>
                <w:sz w:val="22"/>
              </w:rPr>
              <w:t>四至</w:t>
            </w:r>
            <w:r>
              <w:rPr>
                <w:rFonts w:hint="eastAsia" w:ascii="华文楷体" w:hAnsi="华文楷体" w:eastAsia="华文楷体" w:cs="华文楷体"/>
                <w:color w:val="auto"/>
                <w:sz w:val="22"/>
                <w:lang w:eastAsia="zh-CN"/>
              </w:rPr>
              <w:t>）</w:t>
            </w:r>
          </w:p>
        </w:tc>
        <w:tc>
          <w:tcPr>
            <w:tcW w:w="1039"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面积</w:t>
            </w:r>
          </w:p>
          <w:p>
            <w:pPr>
              <w:pStyle w:val="12"/>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hint="eastAsia" w:ascii="宋体" w:hAnsi="宋体" w:eastAsia="宋体" w:cs="宋体"/>
                <w:color w:val="auto"/>
                <w:sz w:val="22"/>
              </w:rPr>
              <w:t>亩</w:t>
            </w:r>
            <w:r>
              <w:rPr>
                <w:rFonts w:hint="eastAsia" w:ascii="华文楷体" w:hAnsi="华文楷体" w:eastAsia="华文楷体" w:cs="华文楷体"/>
                <w:color w:val="auto"/>
                <w:sz w:val="22"/>
              </w:rPr>
              <w:t>）</w:t>
            </w:r>
          </w:p>
        </w:tc>
        <w:tc>
          <w:tcPr>
            <w:tcW w:w="1035"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rPr>
              <w:t>质量</w:t>
            </w:r>
          </w:p>
          <w:p>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等级</w:t>
            </w:r>
          </w:p>
        </w:tc>
        <w:tc>
          <w:tcPr>
            <w:tcW w:w="1020" w:type="dxa"/>
            <w:vMerge w:val="restart"/>
            <w:tcBorders>
              <w:top w:val="single" w:color="auto" w:sz="4" w:space="0"/>
              <w:left w:val="single" w:color="auto" w:sz="4" w:space="0"/>
              <w:right w:val="single" w:color="auto" w:sz="4" w:space="0"/>
            </w:tcBorders>
            <w:shd w:val="clear" w:color="auto" w:fill="FFFFFF"/>
            <w:vAlign w:val="center"/>
          </w:tcPr>
          <w:p>
            <w:pPr>
              <w:pStyle w:val="12"/>
              <w:ind w:firstLine="220" w:firstLineChars="100"/>
              <w:rPr>
                <w:rFonts w:ascii="华文楷体" w:hAnsi="华文楷体" w:eastAsia="华文楷体" w:cs="华文楷体"/>
                <w:color w:val="auto"/>
                <w:sz w:val="22"/>
                <w:lang w:eastAsia="zh-CN"/>
              </w:rPr>
            </w:pPr>
            <w:r>
              <w:rPr>
                <w:rFonts w:hint="eastAsia" w:ascii="宋体" w:hAnsi="宋体" w:eastAsia="宋体" w:cs="宋体"/>
                <w:color w:val="auto"/>
                <w:sz w:val="22"/>
                <w:lang w:eastAsia="zh-CN"/>
              </w:rPr>
              <w:t>土地</w:t>
            </w:r>
          </w:p>
          <w:p>
            <w:pPr>
              <w:pStyle w:val="12"/>
              <w:ind w:firstLine="220" w:firstLineChars="100"/>
              <w:rPr>
                <w:rFonts w:ascii="华文楷体" w:hAnsi="华文楷体" w:eastAsia="华文楷体" w:cs="华文楷体"/>
                <w:color w:val="auto"/>
                <w:sz w:val="22"/>
                <w:lang w:eastAsia="zh-CN"/>
              </w:rPr>
            </w:pPr>
            <w:r>
              <w:rPr>
                <w:rFonts w:hint="eastAsia" w:ascii="宋体" w:hAnsi="宋体" w:eastAsia="宋体" w:cs="宋体"/>
                <w:color w:val="auto"/>
                <w:sz w:val="22"/>
                <w:lang w:eastAsia="zh-CN"/>
              </w:rPr>
              <w:t>类型</w:t>
            </w:r>
          </w:p>
        </w:tc>
        <w:tc>
          <w:tcPr>
            <w:tcW w:w="1005"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lang w:eastAsia="zh-CN"/>
              </w:rPr>
              <w:t>承包合</w:t>
            </w:r>
          </w:p>
          <w:p>
            <w:pPr>
              <w:pStyle w:val="12"/>
              <w:spacing w:line="240" w:lineRule="auto"/>
              <w:ind w:firstLine="0"/>
              <w:jc w:val="center"/>
              <w:rPr>
                <w:rFonts w:ascii="华文楷体" w:hAnsi="华文楷体" w:eastAsia="华文楷体" w:cs="华文楷体"/>
                <w:color w:val="auto"/>
                <w:sz w:val="22"/>
                <w:lang w:eastAsia="zh-CN"/>
              </w:rPr>
            </w:pPr>
            <w:r>
              <w:rPr>
                <w:rFonts w:hint="eastAsia" w:ascii="宋体" w:hAnsi="宋体" w:eastAsia="宋体" w:cs="宋体"/>
                <w:color w:val="auto"/>
                <w:sz w:val="22"/>
                <w:lang w:eastAsia="zh-CN"/>
              </w:rPr>
              <w:t>同代码</w:t>
            </w:r>
          </w:p>
        </w:tc>
        <w:tc>
          <w:tcPr>
            <w:tcW w:w="615" w:type="dxa"/>
            <w:vMerge w:val="restart"/>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备注</w:t>
            </w:r>
          </w:p>
        </w:tc>
      </w:tr>
      <w:tr>
        <w:tblPrEx>
          <w:tblCellMar>
            <w:top w:w="0" w:type="dxa"/>
            <w:left w:w="108" w:type="dxa"/>
            <w:bottom w:w="0" w:type="dxa"/>
            <w:right w:w="108" w:type="dxa"/>
          </w:tblCellMar>
        </w:tblPrEx>
        <w:trPr>
          <w:trHeight w:val="55" w:hRule="exact"/>
          <w:jc w:val="center"/>
        </w:trPr>
        <w:tc>
          <w:tcPr>
            <w:tcW w:w="510" w:type="dxa"/>
            <w:vMerge w:val="continue"/>
            <w:tcBorders>
              <w:top w:val="single" w:color="auto" w:sz="4" w:space="0"/>
              <w:left w:val="single" w:color="auto" w:sz="4" w:space="0"/>
            </w:tcBorders>
            <w:shd w:val="clear" w:color="auto" w:fill="FFFFFF"/>
            <w:vAlign w:val="center"/>
          </w:tcPr>
          <w:p>
            <w:pPr>
              <w:pStyle w:val="12"/>
              <w:spacing w:line="240" w:lineRule="auto"/>
              <w:ind w:firstLine="240"/>
              <w:jc w:val="center"/>
              <w:rPr>
                <w:rFonts w:ascii="华文楷体" w:hAnsi="华文楷体" w:eastAsia="华文楷体" w:cs="华文楷体"/>
                <w:color w:val="auto"/>
                <w:sz w:val="22"/>
              </w:rPr>
            </w:pPr>
          </w:p>
        </w:tc>
        <w:tc>
          <w:tcPr>
            <w:tcW w:w="885" w:type="dxa"/>
            <w:vMerge w:val="continue"/>
            <w:tcBorders>
              <w:left w:val="single" w:color="auto" w:sz="4" w:space="0"/>
              <w:right w:val="single" w:color="auto" w:sz="4" w:space="0"/>
            </w:tcBorders>
            <w:shd w:val="clear" w:color="auto" w:fill="FFFFFF"/>
          </w:tcPr>
          <w:p>
            <w:pPr>
              <w:pStyle w:val="12"/>
              <w:spacing w:line="240" w:lineRule="auto"/>
              <w:ind w:firstLine="0"/>
              <w:jc w:val="center"/>
              <w:rPr>
                <w:rFonts w:ascii="华文楷体" w:hAnsi="华文楷体" w:eastAsia="华文楷体" w:cs="华文楷体"/>
                <w:color w:val="auto"/>
                <w:sz w:val="22"/>
              </w:rPr>
            </w:pPr>
          </w:p>
        </w:tc>
        <w:tc>
          <w:tcPr>
            <w:tcW w:w="979" w:type="dxa"/>
            <w:vMerge w:val="continue"/>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p>
        </w:tc>
        <w:tc>
          <w:tcPr>
            <w:tcW w:w="1085" w:type="dxa"/>
            <w:vMerge w:val="continue"/>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p>
        </w:tc>
        <w:tc>
          <w:tcPr>
            <w:tcW w:w="3114" w:type="dxa"/>
            <w:gridSpan w:val="4"/>
            <w:tcBorders>
              <w:top w:val="single" w:color="auto" w:sz="4" w:space="0"/>
              <w:left w:val="single" w:color="auto" w:sz="4" w:space="0"/>
            </w:tcBorders>
            <w:shd w:val="clear" w:color="auto" w:fill="FFFFFF"/>
            <w:vAlign w:val="center"/>
          </w:tcPr>
          <w:p>
            <w:pPr>
              <w:pStyle w:val="12"/>
              <w:spacing w:line="240" w:lineRule="auto"/>
              <w:jc w:val="center"/>
              <w:rPr>
                <w:rFonts w:ascii="华文楷体" w:hAnsi="华文楷体" w:eastAsia="华文楷体" w:cs="华文楷体"/>
                <w:color w:val="auto"/>
                <w:sz w:val="22"/>
              </w:rPr>
            </w:pPr>
          </w:p>
        </w:tc>
        <w:tc>
          <w:tcPr>
            <w:tcW w:w="1039" w:type="dxa"/>
            <w:vMerge w:val="continue"/>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p>
        </w:tc>
        <w:tc>
          <w:tcPr>
            <w:tcW w:w="1035" w:type="dxa"/>
            <w:vMerge w:val="continue"/>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p>
        </w:tc>
        <w:tc>
          <w:tcPr>
            <w:tcW w:w="1020" w:type="dxa"/>
            <w:vMerge w:val="continue"/>
            <w:tcBorders>
              <w:left w:val="single" w:color="auto" w:sz="4" w:space="0"/>
              <w:right w:val="single" w:color="auto" w:sz="4" w:space="0"/>
            </w:tcBorders>
            <w:shd w:val="clear" w:color="auto" w:fill="FFFFFF"/>
          </w:tcPr>
          <w:p>
            <w:pPr>
              <w:pStyle w:val="12"/>
              <w:spacing w:line="240" w:lineRule="auto"/>
              <w:ind w:firstLine="0"/>
              <w:jc w:val="center"/>
              <w:rPr>
                <w:rFonts w:ascii="华文楷体" w:hAnsi="华文楷体" w:eastAsia="华文楷体" w:cs="华文楷体"/>
                <w:color w:val="auto"/>
                <w:sz w:val="22"/>
              </w:rPr>
            </w:pPr>
          </w:p>
        </w:tc>
        <w:tc>
          <w:tcPr>
            <w:tcW w:w="1005" w:type="dxa"/>
            <w:vMerge w:val="continue"/>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p>
        </w:tc>
        <w:tc>
          <w:tcPr>
            <w:tcW w:w="615" w:type="dxa"/>
            <w:vMerge w:val="continue"/>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p>
        </w:tc>
      </w:tr>
      <w:tr>
        <w:tblPrEx>
          <w:tblCellMar>
            <w:top w:w="0" w:type="dxa"/>
            <w:left w:w="108" w:type="dxa"/>
            <w:bottom w:w="0" w:type="dxa"/>
            <w:right w:w="108" w:type="dxa"/>
          </w:tblCellMar>
        </w:tblPrEx>
        <w:trPr>
          <w:trHeight w:val="642" w:hRule="exact"/>
          <w:jc w:val="center"/>
        </w:trPr>
        <w:tc>
          <w:tcPr>
            <w:tcW w:w="510" w:type="dxa"/>
            <w:vMerge w:val="continue"/>
            <w:tcBorders>
              <w:left w:val="single" w:color="auto" w:sz="4" w:space="0"/>
            </w:tcBorders>
            <w:shd w:val="clear" w:color="auto" w:fill="FFFFFF"/>
            <w:vAlign w:val="center"/>
          </w:tcPr>
          <w:p>
            <w:pPr>
              <w:jc w:val="center"/>
              <w:rPr>
                <w:rFonts w:ascii="华文楷体" w:hAnsi="华文楷体" w:eastAsia="华文楷体" w:cs="华文楷体"/>
                <w:sz w:val="36"/>
              </w:rPr>
            </w:pPr>
          </w:p>
        </w:tc>
        <w:tc>
          <w:tcPr>
            <w:tcW w:w="885" w:type="dxa"/>
            <w:vMerge w:val="continue"/>
            <w:tcBorders>
              <w:left w:val="single" w:color="auto" w:sz="4" w:space="0"/>
              <w:right w:val="single" w:color="auto" w:sz="4" w:space="0"/>
            </w:tcBorders>
            <w:shd w:val="clear" w:color="auto" w:fill="FFFFFF"/>
          </w:tcPr>
          <w:p>
            <w:pPr>
              <w:jc w:val="center"/>
              <w:rPr>
                <w:rFonts w:ascii="华文楷体" w:hAnsi="华文楷体" w:eastAsia="华文楷体" w:cs="华文楷体"/>
                <w:sz w:val="36"/>
              </w:rPr>
            </w:pPr>
          </w:p>
        </w:tc>
        <w:tc>
          <w:tcPr>
            <w:tcW w:w="979" w:type="dxa"/>
            <w:vMerge w:val="continue"/>
            <w:tcBorders>
              <w:left w:val="single" w:color="auto" w:sz="4" w:space="0"/>
            </w:tcBorders>
            <w:shd w:val="clear" w:color="auto" w:fill="FFFFFF"/>
            <w:vAlign w:val="center"/>
          </w:tcPr>
          <w:p>
            <w:pPr>
              <w:jc w:val="center"/>
              <w:rPr>
                <w:rFonts w:ascii="华文楷体" w:hAnsi="华文楷体" w:eastAsia="华文楷体" w:cs="华文楷体"/>
                <w:sz w:val="36"/>
              </w:rPr>
            </w:pPr>
          </w:p>
        </w:tc>
        <w:tc>
          <w:tcPr>
            <w:tcW w:w="1085" w:type="dxa"/>
            <w:vMerge w:val="continue"/>
            <w:tcBorders>
              <w:left w:val="single" w:color="auto" w:sz="4" w:space="0"/>
            </w:tcBorders>
            <w:shd w:val="clear" w:color="auto" w:fill="FFFFFF"/>
            <w:vAlign w:val="center"/>
          </w:tcPr>
          <w:p>
            <w:pPr>
              <w:jc w:val="center"/>
              <w:rPr>
                <w:rFonts w:ascii="华文楷体" w:hAnsi="华文楷体" w:eastAsia="华文楷体" w:cs="华文楷体"/>
                <w:sz w:val="36"/>
              </w:rPr>
            </w:pPr>
          </w:p>
        </w:tc>
        <w:tc>
          <w:tcPr>
            <w:tcW w:w="694" w:type="dxa"/>
            <w:tcBorders>
              <w:left w:val="single" w:color="auto" w:sz="4" w:space="0"/>
              <w:righ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东</w:t>
            </w:r>
          </w:p>
        </w:tc>
        <w:tc>
          <w:tcPr>
            <w:tcW w:w="769" w:type="dxa"/>
            <w:tcBorders>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南</w:t>
            </w:r>
          </w:p>
        </w:tc>
        <w:tc>
          <w:tcPr>
            <w:tcW w:w="898" w:type="dxa"/>
            <w:tcBorders>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西</w:t>
            </w:r>
          </w:p>
        </w:tc>
        <w:tc>
          <w:tcPr>
            <w:tcW w:w="753" w:type="dxa"/>
            <w:tcBorders>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rPr>
            </w:pPr>
            <w:r>
              <w:rPr>
                <w:rFonts w:hint="eastAsia" w:ascii="宋体" w:hAnsi="宋体" w:eastAsia="宋体" w:cs="宋体"/>
                <w:color w:val="auto"/>
                <w:sz w:val="22"/>
              </w:rPr>
              <w:t>北</w:t>
            </w:r>
          </w:p>
        </w:tc>
        <w:tc>
          <w:tcPr>
            <w:tcW w:w="1039" w:type="dxa"/>
            <w:vMerge w:val="continue"/>
            <w:tcBorders>
              <w:left w:val="single" w:color="auto" w:sz="4" w:space="0"/>
            </w:tcBorders>
            <w:shd w:val="clear" w:color="auto" w:fill="FFFFFF"/>
            <w:vAlign w:val="center"/>
          </w:tcPr>
          <w:p>
            <w:pPr>
              <w:jc w:val="center"/>
              <w:rPr>
                <w:rFonts w:ascii="华文楷体" w:hAnsi="华文楷体" w:eastAsia="华文楷体" w:cs="华文楷体"/>
                <w:b/>
                <w:bCs/>
                <w:kern w:val="44"/>
                <w:sz w:val="36"/>
              </w:rPr>
            </w:pPr>
          </w:p>
        </w:tc>
        <w:tc>
          <w:tcPr>
            <w:tcW w:w="1035" w:type="dxa"/>
            <w:vMerge w:val="continue"/>
            <w:tcBorders>
              <w:left w:val="single" w:color="auto" w:sz="4" w:space="0"/>
            </w:tcBorders>
            <w:shd w:val="clear" w:color="auto" w:fill="FFFFFF"/>
            <w:vAlign w:val="center"/>
          </w:tcPr>
          <w:p>
            <w:pPr>
              <w:jc w:val="center"/>
              <w:rPr>
                <w:rFonts w:ascii="华文楷体" w:hAnsi="华文楷体" w:eastAsia="华文楷体" w:cs="华文楷体"/>
                <w:b/>
                <w:bCs/>
                <w:kern w:val="44"/>
                <w:sz w:val="36"/>
              </w:rPr>
            </w:pPr>
          </w:p>
        </w:tc>
        <w:tc>
          <w:tcPr>
            <w:tcW w:w="1020" w:type="dxa"/>
            <w:vMerge w:val="continue"/>
            <w:tcBorders>
              <w:left w:val="single" w:color="auto" w:sz="4" w:space="0"/>
              <w:right w:val="single" w:color="auto" w:sz="4" w:space="0"/>
            </w:tcBorders>
            <w:shd w:val="clear" w:color="auto" w:fill="FFFFFF"/>
          </w:tcPr>
          <w:p>
            <w:pPr>
              <w:jc w:val="center"/>
              <w:rPr>
                <w:rFonts w:ascii="华文楷体" w:hAnsi="华文楷体" w:eastAsia="华文楷体" w:cs="华文楷体"/>
                <w:b/>
                <w:bCs/>
                <w:kern w:val="44"/>
                <w:sz w:val="36"/>
              </w:rPr>
            </w:pPr>
          </w:p>
        </w:tc>
        <w:tc>
          <w:tcPr>
            <w:tcW w:w="1005" w:type="dxa"/>
            <w:vMerge w:val="continue"/>
            <w:tcBorders>
              <w:left w:val="single" w:color="auto" w:sz="4" w:space="0"/>
            </w:tcBorders>
            <w:shd w:val="clear" w:color="auto" w:fill="FFFFFF"/>
            <w:vAlign w:val="center"/>
          </w:tcPr>
          <w:p>
            <w:pPr>
              <w:jc w:val="center"/>
              <w:rPr>
                <w:rFonts w:ascii="华文楷体" w:hAnsi="华文楷体" w:eastAsia="华文楷体" w:cs="华文楷体"/>
                <w:sz w:val="36"/>
              </w:rPr>
            </w:pPr>
          </w:p>
        </w:tc>
        <w:tc>
          <w:tcPr>
            <w:tcW w:w="615" w:type="dxa"/>
            <w:vMerge w:val="continue"/>
            <w:tcBorders>
              <w:left w:val="single" w:color="auto" w:sz="4" w:space="0"/>
              <w:right w:val="single" w:color="auto" w:sz="4" w:space="0"/>
            </w:tcBorders>
            <w:shd w:val="clear" w:color="auto" w:fill="FFFFFF"/>
            <w:vAlign w:val="center"/>
          </w:tcPr>
          <w:p>
            <w:pPr>
              <w:jc w:val="center"/>
              <w:rPr>
                <w:rFonts w:ascii="华文楷体" w:hAnsi="华文楷体" w:eastAsia="华文楷体" w:cs="华文楷体"/>
                <w:b/>
                <w:bCs/>
                <w:kern w:val="44"/>
                <w:sz w:val="36"/>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2"/>
                <w:szCs w:val="18"/>
              </w:rPr>
            </w:pPr>
            <w:r>
              <w:rPr>
                <w:rFonts w:hint="eastAsia" w:ascii="华文楷体" w:hAnsi="华文楷体" w:eastAsia="华文楷体" w:cs="华文楷体"/>
                <w:color w:val="auto"/>
                <w:sz w:val="22"/>
                <w:szCs w:val="18"/>
              </w:rPr>
              <w:t>1</w:t>
            </w:r>
          </w:p>
        </w:tc>
        <w:tc>
          <w:tcPr>
            <w:tcW w:w="885"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kern w:val="44"/>
                <w:sz w:val="15"/>
                <w:szCs w:val="10"/>
              </w:rPr>
            </w:pPr>
          </w:p>
        </w:tc>
        <w:tc>
          <w:tcPr>
            <w:tcW w:w="97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8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76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898"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753"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3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3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20"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kern w:val="44"/>
                <w:sz w:val="15"/>
                <w:szCs w:val="10"/>
              </w:rPr>
            </w:pPr>
          </w:p>
        </w:tc>
        <w:tc>
          <w:tcPr>
            <w:tcW w:w="100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sz w:val="15"/>
                <w:szCs w:val="10"/>
              </w:rPr>
            </w:pPr>
          </w:p>
        </w:tc>
        <w:tc>
          <w:tcPr>
            <w:tcW w:w="615"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4"/>
                <w:szCs w:val="20"/>
                <w:lang w:eastAsia="zh-CN"/>
              </w:rPr>
            </w:pPr>
            <w:r>
              <w:rPr>
                <w:rFonts w:hint="eastAsia" w:ascii="华文楷体" w:hAnsi="华文楷体" w:eastAsia="华文楷体" w:cs="华文楷体"/>
                <w:color w:val="auto"/>
                <w:sz w:val="22"/>
                <w:szCs w:val="22"/>
                <w:lang w:eastAsia="zh-CN"/>
              </w:rPr>
              <w:t>2</w:t>
            </w:r>
          </w:p>
        </w:tc>
        <w:tc>
          <w:tcPr>
            <w:tcW w:w="885"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kern w:val="44"/>
                <w:sz w:val="15"/>
                <w:szCs w:val="10"/>
              </w:rPr>
            </w:pPr>
          </w:p>
        </w:tc>
        <w:tc>
          <w:tcPr>
            <w:tcW w:w="97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8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76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898"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753"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3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3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20"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kern w:val="44"/>
                <w:sz w:val="15"/>
                <w:szCs w:val="10"/>
              </w:rPr>
            </w:pPr>
          </w:p>
        </w:tc>
        <w:tc>
          <w:tcPr>
            <w:tcW w:w="100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615"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color w:val="auto"/>
                <w:sz w:val="24"/>
                <w:szCs w:val="20"/>
                <w:lang w:eastAsia="zh-CN"/>
              </w:rPr>
            </w:pPr>
            <w:r>
              <w:rPr>
                <w:rFonts w:hint="eastAsia" w:ascii="华文楷体" w:hAnsi="华文楷体" w:eastAsia="华文楷体" w:cs="华文楷体"/>
                <w:color w:val="auto"/>
                <w:w w:val="80"/>
                <w:sz w:val="22"/>
                <w:szCs w:val="22"/>
                <w:lang w:eastAsia="zh-CN"/>
              </w:rPr>
              <w:t>3</w:t>
            </w:r>
          </w:p>
        </w:tc>
        <w:tc>
          <w:tcPr>
            <w:tcW w:w="88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b/>
                <w:bCs/>
                <w:color w:val="auto"/>
                <w:w w:val="80"/>
                <w:kern w:val="44"/>
                <w:sz w:val="22"/>
                <w:szCs w:val="22"/>
                <w:lang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ascii="华文楷体" w:hAnsi="华文楷体" w:eastAsia="华文楷体" w:cs="华文楷体"/>
                <w:b/>
                <w:bCs/>
                <w:color w:val="auto"/>
                <w:w w:val="80"/>
                <w:kern w:val="44"/>
                <w:sz w:val="22"/>
                <w:szCs w:val="22"/>
                <w:lang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kern w:val="44"/>
                <w:sz w:val="15"/>
                <w:szCs w:val="10"/>
              </w:rPr>
            </w:pPr>
          </w:p>
        </w:tc>
      </w:tr>
    </w:tbl>
    <w:p>
      <w:pPr>
        <w:pStyle w:val="11"/>
        <w:spacing w:after="0" w:line="520" w:lineRule="exact"/>
        <w:ind w:firstLine="420" w:firstLineChars="15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（二）出租土地上的附属建筑和资产情况现状描述：</w:t>
      </w:r>
      <w:r>
        <w:rPr>
          <w:rFonts w:ascii="仿宋_GB2312" w:eastAsia="仿宋_GB2312" w:cs="方正仿宋_GBK"/>
          <w:color w:val="auto"/>
          <w:sz w:val="28"/>
          <w:szCs w:val="28"/>
          <w:lang w:eastAsia="zh-CN" w:bidi="ar-SA"/>
        </w:rPr>
        <w:t xml:space="preserve"> </w:t>
      </w:r>
    </w:p>
    <w:p>
      <w:pPr>
        <w:pStyle w:val="11"/>
        <w:spacing w:after="0" w:line="520" w:lineRule="exact"/>
        <w:ind w:firstLine="560" w:firstLineChars="200"/>
        <w:jc w:val="both"/>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p>
    <w:p>
      <w:pPr>
        <w:pStyle w:val="11"/>
        <w:spacing w:line="520" w:lineRule="exact"/>
        <w:ind w:firstLine="420" w:firstLineChars="150"/>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lang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出租土地上的附属建筑和资产的处置方式描述（可另附件）：</w:t>
      </w:r>
    </w:p>
    <w:p>
      <w:pPr>
        <w:pStyle w:val="11"/>
        <w:spacing w:after="0" w:line="520" w:lineRule="exact"/>
        <w:ind w:firstLine="560" w:firstLineChars="200"/>
        <w:jc w:val="both"/>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p>
    <w:p>
      <w:pPr>
        <w:pStyle w:val="11"/>
        <w:spacing w:line="520" w:lineRule="exact"/>
        <w:ind w:firstLine="420" w:firstLineChars="150"/>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lang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三</w:t>
      </w:r>
      <w:r>
        <w:rPr>
          <w:rFonts w:hint="eastAsia" w:ascii="黑体" w:hAnsi="黑体" w:eastAsia="黑体" w:cs="华文黑体"/>
          <w:bCs/>
          <w:color w:val="auto"/>
          <w:sz w:val="28"/>
          <w:szCs w:val="28"/>
        </w:rPr>
        <w:t>、出租</w:t>
      </w:r>
      <w:r>
        <w:rPr>
          <w:rFonts w:hint="eastAsia" w:ascii="黑体" w:hAnsi="黑体" w:eastAsia="黑体" w:cs="华文黑体"/>
          <w:bCs/>
          <w:color w:val="auto"/>
          <w:sz w:val="28"/>
          <w:szCs w:val="28"/>
          <w:lang w:eastAsia="zh-CN"/>
        </w:rPr>
        <w:t>土地</w:t>
      </w:r>
      <w:r>
        <w:rPr>
          <w:rFonts w:hint="eastAsia" w:ascii="黑体" w:hAnsi="黑体" w:eastAsia="黑体" w:cs="华文黑体"/>
          <w:bCs/>
          <w:color w:val="auto"/>
          <w:sz w:val="28"/>
          <w:szCs w:val="28"/>
        </w:rPr>
        <w:t>用途</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出租土地用途为</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w:t>
      </w:r>
    </w:p>
    <w:p>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四</w:t>
      </w:r>
      <w:r>
        <w:rPr>
          <w:rFonts w:hint="eastAsia" w:ascii="黑体" w:hAnsi="黑体" w:eastAsia="黑体" w:cs="华文黑体"/>
          <w:bCs/>
          <w:color w:val="auto"/>
          <w:sz w:val="28"/>
          <w:szCs w:val="28"/>
        </w:rPr>
        <w:t>、</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期限</w:t>
      </w:r>
    </w:p>
    <w:p>
      <w:pPr>
        <w:pStyle w:val="11"/>
        <w:spacing w:after="0" w:line="520" w:lineRule="exact"/>
        <w:ind w:left="279" w:leftChars="133" w:firstLine="280" w:firstLineChars="1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租赁期限</w:t>
      </w:r>
      <w:r>
        <w:rPr>
          <w:rFonts w:hint="eastAsia" w:ascii="仿宋_GB2312" w:eastAsia="仿宋_GB2312" w:cs="方正仿宋_GBK"/>
          <w:color w:val="auto"/>
          <w:sz w:val="28"/>
          <w:szCs w:val="28"/>
          <w:lang w:bidi="ar-SA"/>
        </w:rPr>
        <w:t>自</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日起至</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日止</w:t>
      </w:r>
      <w:r>
        <w:rPr>
          <w:rFonts w:ascii="仿宋_GB2312" w:eastAsia="仿宋_GB2312" w:cs="方正仿宋_GBK"/>
          <w:color w:val="auto"/>
          <w:sz w:val="28"/>
          <w:szCs w:val="28"/>
          <w:lang w:bidi="ar-SA"/>
        </w:rPr>
        <w:t>。</w:t>
      </w:r>
    </w:p>
    <w:p>
      <w:pPr>
        <w:pStyle w:val="11"/>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五、出租土地交付时间</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甲方应于</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日</w:t>
      </w:r>
      <w:r>
        <w:rPr>
          <w:rFonts w:hint="eastAsia" w:ascii="仿宋_GB2312" w:eastAsia="仿宋_GB2312" w:cs="方正仿宋_GBK"/>
          <w:color w:val="auto"/>
          <w:sz w:val="28"/>
          <w:szCs w:val="28"/>
          <w:lang w:eastAsia="zh-CN" w:bidi="ar-SA"/>
        </w:rPr>
        <w:t>前完成土地交付</w:t>
      </w:r>
      <w:r>
        <w:rPr>
          <w:rFonts w:ascii="仿宋_GB2312" w:eastAsia="仿宋_GB2312" w:cs="方正仿宋_GBK"/>
          <w:color w:val="auto"/>
          <w:sz w:val="28"/>
          <w:szCs w:val="28"/>
          <w:lang w:eastAsia="zh-CN" w:bidi="ar-SA"/>
        </w:rPr>
        <w:t>。</w:t>
      </w:r>
    </w:p>
    <w:p>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rPr>
        <w:t>六、租金及支付方式</w:t>
      </w:r>
    </w:p>
    <w:p>
      <w:pPr>
        <w:pStyle w:val="10"/>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（一）租金标准</w:t>
      </w:r>
    </w:p>
    <w:p>
      <w:pPr>
        <w:pStyle w:val="11"/>
        <w:spacing w:after="0" w:line="520" w:lineRule="exact"/>
        <w:ind w:left="559"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种租金标准。</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现金。即每亩每年人民币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eastAsia="zh-CN" w:bidi="ar-SA"/>
        </w:rPr>
        <w:t>实物或实物折资计价。即每亩每年</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公斤（大写：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）□小麦</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□玉米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□稻谷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或者同等实物按照□市场价</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□国家最低收购价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为标准折合成货币。</w:t>
      </w:r>
    </w:p>
    <w:p>
      <w:pPr>
        <w:pStyle w:val="11"/>
        <w:spacing w:after="0" w:line="520" w:lineRule="exact"/>
        <w:ind w:firstLine="560" w:firstLineChars="200"/>
        <w:jc w:val="both"/>
        <w:rPr>
          <w:rFonts w:ascii="仿宋_GB2312" w:eastAsia="PMingLiU" w:cs="方正仿宋_GBK"/>
          <w:color w:val="auto"/>
          <w:sz w:val="28"/>
          <w:szCs w:val="28"/>
          <w:lang w:bidi="ar-SA"/>
        </w:rPr>
      </w:pPr>
      <w:r>
        <w:rPr>
          <w:rFonts w:ascii="仿宋_GB2312" w:cs="方正仿宋_GBK" w:eastAsiaTheme="minorEastAsia"/>
          <w:color w:val="auto"/>
          <w:sz w:val="28"/>
          <w:szCs w:val="28"/>
          <w:lang w:eastAsia="zh-CN" w:bidi="ar-SA"/>
        </w:rPr>
        <w:t>3</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w:t>
      </w:r>
    </w:p>
    <w:p>
      <w:pPr>
        <w:pStyle w:val="11"/>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租金变动：根据当地土地流转价格水平，每</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年调整一次租金。具体调整方式：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（二）租金支付</w:t>
      </w:r>
    </w:p>
    <w:p>
      <w:pPr>
        <w:pStyle w:val="11"/>
        <w:spacing w:after="0" w:line="520" w:lineRule="exact"/>
        <w:ind w:left="559"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种方式支付租金。</w:t>
      </w:r>
    </w:p>
    <w:p>
      <w:pPr>
        <w:pStyle w:val="11"/>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一次性支付。乙方须于</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日前支付租金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hint="eastAsia" w:ascii="仿宋_GB2312" w:eastAsia="仿宋_GB2312" w:cs="方正仿宋_GBK"/>
          <w:color w:val="auto"/>
          <w:sz w:val="28"/>
          <w:szCs w:val="28"/>
          <w:lang w:eastAsia="zh-CN" w:bidi="ar-SA"/>
        </w:rPr>
        <w:t>分期支付。乙方须于每年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日前支付（□当</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□后一）年租金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pPr>
        <w:pStyle w:val="11"/>
        <w:spacing w:line="520" w:lineRule="exact"/>
        <w:ind w:firstLine="560" w:firstLineChars="200"/>
        <w:rPr>
          <w:rFonts w:ascii="仿宋_GB2312" w:eastAsia="仿宋_GB2312" w:cs="方正仿宋_GBK"/>
          <w:color w:val="auto"/>
          <w:sz w:val="28"/>
          <w:szCs w:val="28"/>
          <w:lang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w:t>
      </w:r>
    </w:p>
    <w:p>
      <w:pPr>
        <w:pStyle w:val="10"/>
        <w:spacing w:line="520" w:lineRule="exact"/>
        <w:ind w:firstLine="560" w:firstLineChars="200"/>
        <w:jc w:val="both"/>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（三）付款方式</w:t>
      </w:r>
    </w:p>
    <w:p>
      <w:pPr>
        <w:pStyle w:val="11"/>
        <w:spacing w:after="0" w:line="520" w:lineRule="exact"/>
        <w:ind w:left="559"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种付款方式。</w:t>
      </w:r>
    </w:p>
    <w:p>
      <w:pPr>
        <w:pStyle w:val="11"/>
        <w:spacing w:after="0" w:line="520" w:lineRule="exact"/>
        <w:ind w:left="559"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1.现金</w:t>
      </w:r>
    </w:p>
    <w:p>
      <w:pPr>
        <w:pStyle w:val="11"/>
        <w:spacing w:after="0" w:line="520" w:lineRule="exact"/>
        <w:ind w:left="559"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2.银行汇款</w:t>
      </w:r>
    </w:p>
    <w:p>
      <w:pPr>
        <w:pStyle w:val="11"/>
        <w:spacing w:after="0" w:line="520" w:lineRule="exact"/>
        <w:ind w:left="559"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甲方账户名称：</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pPr>
        <w:pStyle w:val="11"/>
        <w:spacing w:after="0" w:line="520" w:lineRule="exact"/>
        <w:ind w:left="559"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银行账号：</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pPr>
        <w:pStyle w:val="11"/>
        <w:spacing w:after="0" w:line="520" w:lineRule="exact"/>
        <w:ind w:left="559"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开户行：</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pPr>
        <w:pStyle w:val="11"/>
        <w:spacing w:after="0" w:line="520" w:lineRule="exact"/>
        <w:ind w:left="559" w:leftChars="266"/>
        <w:jc w:val="both"/>
        <w:rPr>
          <w:rFonts w:ascii="仿宋_GB2312" w:eastAsia="仿宋_GB2312" w:cs="方正仿宋_GBK"/>
          <w:color w:val="auto"/>
          <w:sz w:val="28"/>
          <w:szCs w:val="28"/>
          <w:lang w:bidi="ar-SA"/>
        </w:rPr>
      </w:pPr>
      <w:r>
        <w:rPr>
          <w:rFonts w:ascii="仿宋_GB2312" w:eastAsia="仿宋_GB2312" w:cs="方正仿宋_GBK"/>
          <w:color w:val="auto"/>
          <w:sz w:val="28"/>
          <w:szCs w:val="28"/>
          <w:lang w:bidi="ar-SA"/>
        </w:rPr>
        <w:t>3.其他：</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七</w:t>
      </w:r>
      <w:r>
        <w:rPr>
          <w:rFonts w:hint="eastAsia" w:ascii="黑体" w:hAnsi="黑体" w:eastAsia="黑体" w:cs="华文黑体"/>
          <w:bCs/>
          <w:color w:val="auto"/>
          <w:sz w:val="28"/>
          <w:szCs w:val="28"/>
        </w:rPr>
        <w:t>、甲方的权利和义务</w:t>
      </w:r>
    </w:p>
    <w:p>
      <w:pPr>
        <w:pStyle w:val="10"/>
        <w:spacing w:line="520" w:lineRule="exact"/>
        <w:ind w:firstLine="560" w:firstLineChars="200"/>
        <w:jc w:val="both"/>
        <w:rPr>
          <w:rFonts w:ascii="仿宋_GB2312" w:hAnsi="华文楷体" w:eastAsia="仿宋_GB2312" w:cs="华文楷体"/>
          <w:bCs/>
          <w:color w:val="auto"/>
          <w:sz w:val="28"/>
          <w:szCs w:val="28"/>
        </w:rPr>
      </w:pP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lang w:eastAsia="zh-CN" w:bidi="en-US"/>
        </w:rPr>
        <w:t>一</w:t>
      </w: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rPr>
        <w:t>甲方的权利</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1.要求乙方按合同约定支付租金；</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2.监督乙方按合同约定的用途依法合理利用和保护出租土地；</w:t>
      </w:r>
    </w:p>
    <w:p>
      <w:pPr>
        <w:pStyle w:val="11"/>
        <w:spacing w:after="0" w:line="520" w:lineRule="exact"/>
        <w:ind w:firstLine="560" w:firstLineChars="200"/>
        <w:jc w:val="both"/>
        <w:rPr>
          <w:rFonts w:ascii="仿宋_GB2312" w:eastAsia="仿宋_GB2312" w:cs="方正仿宋_GBK"/>
          <w:color w:val="auto"/>
          <w:sz w:val="28"/>
          <w:szCs w:val="28"/>
          <w:lang w:val="en-US" w:eastAsia="zh-CN" w:bidi="ar-SA"/>
        </w:rPr>
      </w:pPr>
      <w:r>
        <w:rPr>
          <w:rFonts w:ascii="仿宋_GB2312" w:eastAsia="仿宋_GB2312" w:cs="方正仿宋_GBK"/>
          <w:color w:val="auto"/>
          <w:sz w:val="28"/>
          <w:szCs w:val="28"/>
          <w:lang w:val="en-US" w:eastAsia="zh-CN" w:bidi="ar-SA"/>
        </w:rPr>
        <w:t>3.制止乙</w:t>
      </w:r>
      <w:r>
        <w:rPr>
          <w:rFonts w:hint="eastAsia" w:ascii="仿宋_GB2312" w:eastAsia="仿宋_GB2312" w:cs="方正仿宋_GBK"/>
          <w:color w:val="auto"/>
          <w:sz w:val="28"/>
          <w:szCs w:val="28"/>
          <w:lang w:val="en-US" w:eastAsia="zh-CN" w:bidi="ar-SA"/>
        </w:rPr>
        <w:t>方损害出租土地和农业资源的行为；</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4.租赁期限届满后收回土地经营权；</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5.</w:t>
      </w:r>
      <w:bookmarkStart w:id="3" w:name="_Hlk76018949"/>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bookmarkEnd w:id="3"/>
      <w:r>
        <w:rPr>
          <w:rFonts w:hint="eastAsia" w:ascii="仿宋_GB2312" w:eastAsia="仿宋_GB2312" w:cs="方正仿宋_GBK"/>
          <w:color w:val="auto"/>
          <w:sz w:val="28"/>
          <w:szCs w:val="28"/>
          <w:lang w:eastAsia="zh-CN" w:bidi="ar-SA"/>
        </w:rPr>
        <w:t>。</w:t>
      </w:r>
    </w:p>
    <w:p>
      <w:pPr>
        <w:pStyle w:val="10"/>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（二）甲方的义务</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val="en-US" w:eastAsia="zh-CN" w:bidi="ar-SA"/>
        </w:rPr>
        <w:t>1.按照合同约定交付出租土地；</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2.合同生效后</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日内</w:t>
      </w:r>
      <w:bookmarkStart w:id="4" w:name="_Hlk76975551"/>
      <w:r>
        <w:rPr>
          <w:rFonts w:hint="eastAsia" w:ascii="仿宋_GB2312" w:eastAsia="仿宋_GB2312" w:cs="方正仿宋_GBK"/>
          <w:color w:val="auto"/>
          <w:sz w:val="28"/>
          <w:szCs w:val="28"/>
          <w:lang w:eastAsia="zh-CN" w:bidi="ar-SA"/>
        </w:rPr>
        <w:t>依据《中华人民共和国农村土地承包法》第三十六条的规定</w:t>
      </w:r>
      <w:bookmarkEnd w:id="4"/>
      <w:r>
        <w:rPr>
          <w:rFonts w:hint="eastAsia" w:ascii="仿宋_GB2312" w:eastAsia="仿宋_GB2312" w:cs="方正仿宋_GBK"/>
          <w:color w:val="auto"/>
          <w:sz w:val="28"/>
          <w:szCs w:val="28"/>
          <w:lang w:eastAsia="zh-CN" w:bidi="ar-SA"/>
        </w:rPr>
        <w:t>向发包方备案；</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3.不得干涉和妨碍乙方依法进行的农业生产经营活动；</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cs="方正仿宋_GBK" w:asciiTheme="minorEastAsia" w:hAnsiTheme="minorEastAsia" w:eastAsiaTheme="minorEastAsia"/>
          <w:color w:val="auto"/>
          <w:sz w:val="28"/>
          <w:szCs w:val="28"/>
          <w:lang w:bidi="ar-SA"/>
        </w:rPr>
        <w:t>4</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八</w:t>
      </w:r>
      <w:r>
        <w:rPr>
          <w:rFonts w:hint="eastAsia" w:ascii="黑体" w:hAnsi="黑体" w:eastAsia="黑体" w:cs="华文黑体"/>
          <w:bCs/>
          <w:color w:val="auto"/>
          <w:sz w:val="28"/>
          <w:szCs w:val="28"/>
        </w:rPr>
        <w:t>、乙方的权利和义务</w:t>
      </w:r>
    </w:p>
    <w:p>
      <w:pPr>
        <w:pStyle w:val="10"/>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（一）乙方的权利</w:t>
      </w:r>
    </w:p>
    <w:p>
      <w:pPr>
        <w:pStyle w:val="11"/>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1.要求甲方按照合同约定交付出租土地；</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2.在合同约定的期限内占有农村土地，自主开展农业生产经营并取得收益；</w:t>
      </w:r>
    </w:p>
    <w:p>
      <w:pPr>
        <w:pStyle w:val="11"/>
        <w:spacing w:line="520" w:lineRule="exact"/>
        <w:ind w:firstLine="560" w:firstLineChars="200"/>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.经甲方同意，乙方依法投资改良土壤，建设农业生产附属、配套设施，</w:t>
      </w:r>
      <w:bookmarkStart w:id="5" w:name="_Hlk79071719"/>
      <w:r>
        <w:rPr>
          <w:rFonts w:hint="eastAsia" w:ascii="仿宋_GB2312" w:eastAsia="仿宋_GB2312" w:cs="方正仿宋_GBK"/>
          <w:color w:val="auto"/>
          <w:sz w:val="28"/>
          <w:szCs w:val="28"/>
          <w:lang w:eastAsia="zh-CN" w:bidi="ar-SA"/>
        </w:rPr>
        <w:t>并有权按照合同约定对其投资部分获得合理补偿</w:t>
      </w:r>
      <w:bookmarkEnd w:id="5"/>
      <w:r>
        <w:rPr>
          <w:rFonts w:hint="eastAsia" w:ascii="仿宋_GB2312" w:eastAsia="仿宋_GB2312" w:cs="方正仿宋_GBK"/>
          <w:color w:val="auto"/>
          <w:sz w:val="28"/>
          <w:szCs w:val="28"/>
          <w:lang w:eastAsia="zh-CN" w:bidi="ar-SA"/>
        </w:rPr>
        <w:t>；</w:t>
      </w:r>
    </w:p>
    <w:p>
      <w:pPr>
        <w:pStyle w:val="11"/>
        <w:spacing w:line="520" w:lineRule="exact"/>
        <w:ind w:firstLine="560" w:firstLineChars="200"/>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hint="eastAsia" w:ascii="仿宋_GB2312" w:eastAsia="仿宋_GB2312" w:cs="方正仿宋_GBK"/>
          <w:color w:val="auto"/>
          <w:sz w:val="28"/>
          <w:szCs w:val="28"/>
          <w:lang w:eastAsia="zh-CN" w:bidi="ar-SA"/>
        </w:rPr>
        <w:t>.租赁期限届满，有权在同等条件下优先承租</w:t>
      </w:r>
      <w:r>
        <w:rPr>
          <w:rFonts w:ascii="仿宋_GB2312" w:eastAsia="仿宋_GB2312" w:cs="方正仿宋_GBK"/>
          <w:color w:val="auto"/>
          <w:sz w:val="28"/>
          <w:szCs w:val="28"/>
          <w:lang w:eastAsia="zh-CN" w:bidi="ar-SA"/>
        </w:rPr>
        <w:t>；</w:t>
      </w:r>
    </w:p>
    <w:p>
      <w:pPr>
        <w:pStyle w:val="11"/>
        <w:spacing w:line="520" w:lineRule="exact"/>
        <w:ind w:firstLine="560" w:firstLineChars="200"/>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5</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pPr>
        <w:pStyle w:val="10"/>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（二）乙方的义务</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1.按照合同约定及时接受出租</w:t>
      </w:r>
      <w:r>
        <w:rPr>
          <w:rFonts w:ascii="仿宋_GB2312" w:eastAsia="仿宋_GB2312" w:cs="方正仿宋_GBK"/>
          <w:color w:val="auto"/>
          <w:sz w:val="28"/>
          <w:szCs w:val="28"/>
          <w:lang w:eastAsia="zh-CN" w:bidi="ar-SA"/>
        </w:rPr>
        <w:t>土地并</w:t>
      </w:r>
      <w:r>
        <w:rPr>
          <w:rFonts w:hint="eastAsia" w:ascii="仿宋_GB2312" w:eastAsia="仿宋_GB2312" w:cs="方正仿宋_GBK"/>
          <w:color w:val="auto"/>
          <w:sz w:val="28"/>
          <w:szCs w:val="28"/>
          <w:lang w:eastAsia="zh-CN" w:bidi="ar-SA"/>
        </w:rPr>
        <w:t>按照约定向</w:t>
      </w:r>
      <w:r>
        <w:rPr>
          <w:rFonts w:ascii="仿宋_GB2312" w:eastAsia="仿宋_GB2312" w:cs="方正仿宋_GBK"/>
          <w:color w:val="auto"/>
          <w:sz w:val="28"/>
          <w:szCs w:val="28"/>
          <w:lang w:eastAsia="zh-CN" w:bidi="ar-SA"/>
        </w:rPr>
        <w:t>甲方</w:t>
      </w:r>
      <w:r>
        <w:rPr>
          <w:rFonts w:hint="eastAsia" w:ascii="仿宋_GB2312" w:eastAsia="仿宋_GB2312" w:cs="方正仿宋_GBK"/>
          <w:color w:val="auto"/>
          <w:sz w:val="28"/>
          <w:szCs w:val="28"/>
          <w:lang w:eastAsia="zh-CN" w:bidi="ar-SA"/>
        </w:rPr>
        <w:t>支付租金；</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2.在法律法规政策规定和合同约定允许范围内合理利用出租土地，</w:t>
      </w:r>
      <w:bookmarkStart w:id="6" w:name="_Hlk79071792"/>
      <w:r>
        <w:rPr>
          <w:rFonts w:hint="eastAsia" w:ascii="仿宋_GB2312" w:eastAsia="仿宋_GB2312" w:cs="方正仿宋_GBK"/>
          <w:color w:val="auto"/>
          <w:sz w:val="28"/>
          <w:szCs w:val="28"/>
          <w:lang w:eastAsia="zh-CN" w:bidi="ar-SA"/>
        </w:rPr>
        <w:t>确保农地农用，符合当地粮食生产等产业规划，不得弃耕抛荒，不得破坏农业综合生产能力和农业生态环境；</w:t>
      </w:r>
      <w:bookmarkEnd w:id="6"/>
    </w:p>
    <w:p>
      <w:pPr>
        <w:pStyle w:val="11"/>
        <w:spacing w:line="520" w:lineRule="exact"/>
        <w:ind w:firstLine="560" w:firstLineChars="200"/>
        <w:rPr>
          <w:rFonts w:ascii="仿宋_GB2312" w:eastAsia="仿宋_GB2312" w:cs="方正仿宋_GBK"/>
          <w:color w:val="auto"/>
          <w:sz w:val="28"/>
          <w:szCs w:val="28"/>
          <w:lang w:val="en-US"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.依据有关法律法规保护出租土地，禁止改变出租土地的农业用途，禁止占用出租土地建窑、建坟或者擅自在出租土地上建房、挖砂、采石、采矿、取土等，禁止占用出租的永久基本农田发展林果业和挖塘养鱼；</w:t>
      </w:r>
    </w:p>
    <w:p>
      <w:pPr>
        <w:pStyle w:val="11"/>
        <w:spacing w:line="520" w:lineRule="exact"/>
        <w:ind w:firstLine="560" w:firstLineChars="200"/>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1"/>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九</w:t>
      </w:r>
      <w:r>
        <w:rPr>
          <w:rFonts w:hint="eastAsia" w:ascii="黑体" w:hAnsi="黑体" w:eastAsia="黑体" w:cs="华文黑体"/>
          <w:bCs/>
          <w:color w:val="auto"/>
          <w:sz w:val="28"/>
          <w:szCs w:val="28"/>
        </w:rPr>
        <w:t>、其他约定</w:t>
      </w:r>
    </w:p>
    <w:p>
      <w:pPr>
        <w:pStyle w:val="11"/>
        <w:numPr>
          <w:ilvl w:val="255"/>
          <w:numId w:val="0"/>
        </w:numPr>
        <w:spacing w:after="0" w:line="52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（一）甲方同意乙方依法</w:t>
      </w:r>
    </w:p>
    <w:p>
      <w:pPr>
        <w:pStyle w:val="11"/>
        <w:spacing w:after="0" w:line="520" w:lineRule="exact"/>
        <w:ind w:firstLine="565" w:firstLineChars="202"/>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□投资改良土壤</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建设农业生产附属、配套设施</w:t>
      </w:r>
      <w:r>
        <w:rPr>
          <w:rFonts w:ascii="仿宋_GB2312" w:eastAsia="仿宋_GB2312" w:cs="方正仿宋_GBK"/>
          <w:color w:val="auto"/>
          <w:sz w:val="28"/>
          <w:szCs w:val="28"/>
          <w:lang w:eastAsia="zh-CN" w:bidi="ar-SA"/>
        </w:rPr>
        <w:tab/>
      </w:r>
    </w:p>
    <w:p>
      <w:pPr>
        <w:pStyle w:val="11"/>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□以土地经营权融资担保</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□再流转土地经营权</w:t>
      </w:r>
      <w:r>
        <w:rPr>
          <w:rFonts w:ascii="仿宋_GB2312" w:eastAsia="仿宋_GB2312" w:cs="方正仿宋_GBK"/>
          <w:color w:val="auto"/>
          <w:sz w:val="28"/>
          <w:szCs w:val="28"/>
          <w:lang w:eastAsia="zh-CN" w:bidi="ar-SA"/>
        </w:rPr>
        <w:tab/>
      </w:r>
    </w:p>
    <w:p>
      <w:pPr>
        <w:pStyle w:val="11"/>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hAnsi="仿宋_GB2312" w:eastAsia="仿宋_GB2312" w:cs="仿宋_GB2312"/>
          <w:color w:val="auto"/>
          <w:sz w:val="28"/>
          <w:szCs w:val="28"/>
          <w:lang w:eastAsia="zh-CN" w:bidi="ar-SA"/>
        </w:rPr>
        <w:t>。</w:t>
      </w:r>
    </w:p>
    <w:p>
      <w:pPr>
        <w:pStyle w:val="11"/>
        <w:numPr>
          <w:ilvl w:val="255"/>
          <w:numId w:val="0"/>
        </w:numPr>
        <w:spacing w:after="0" w:line="520" w:lineRule="exact"/>
        <w:ind w:firstLine="560" w:firstLineChars="200"/>
        <w:jc w:val="both"/>
        <w:rPr>
          <w:rFonts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lang w:eastAsia="zh-CN" w:bidi="ar-SA"/>
        </w:rPr>
        <w:t>（二）该出租土地的财政补贴等归属</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1"/>
        <w:numPr>
          <w:ilvl w:val="0"/>
          <w:numId w:val="1"/>
        </w:numPr>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乙方向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□不缴纳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风险保障金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），合同到期后的处理</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lang w:eastAsia="zh-CN" w:bidi="ar-SA"/>
        </w:rPr>
        <w:t>。</w:t>
      </w:r>
    </w:p>
    <w:p>
      <w:pPr>
        <w:pStyle w:val="11"/>
        <w:spacing w:after="0" w:line="520" w:lineRule="exact"/>
        <w:ind w:firstLine="560" w:firstLineChars="200"/>
        <w:jc w:val="both"/>
        <w:rPr>
          <w:rFonts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（四）本合同期限内，出租土地被依法征收、征用、占用时，</w:t>
      </w:r>
      <w:bookmarkStart w:id="7" w:name="_Hlk78568518"/>
      <w:r>
        <w:rPr>
          <w:rFonts w:hint="eastAsia" w:ascii="仿宋_GB2312" w:eastAsia="仿宋_GB2312" w:cs="方正仿宋_GBK"/>
          <w:color w:val="auto"/>
          <w:sz w:val="28"/>
          <w:szCs w:val="28"/>
          <w:lang w:eastAsia="zh-CN" w:bidi="ar-SA"/>
        </w:rPr>
        <w:t>有关地上附着物及青苗补偿费的</w:t>
      </w:r>
      <w:bookmarkEnd w:id="7"/>
      <w:r>
        <w:rPr>
          <w:rFonts w:hint="eastAsia" w:ascii="仿宋_GB2312" w:eastAsia="仿宋_GB2312" w:cs="方正仿宋_GBK"/>
          <w:color w:val="auto"/>
          <w:sz w:val="28"/>
          <w:szCs w:val="28"/>
          <w:lang w:eastAsia="zh-CN" w:bidi="ar-SA"/>
        </w:rPr>
        <w:t>归属：</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hAnsiTheme="minorEastAsia"/>
          <w:color w:val="auto"/>
          <w:sz w:val="28"/>
          <w:szCs w:val="28"/>
          <w:lang w:eastAsia="zh-CN" w:bidi="ar-SA"/>
        </w:rPr>
        <w:t>。</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（五）其他事项：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1"/>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十、合同变更、解除和终止</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r>
        <w:rPr>
          <w:rFonts w:ascii="仿宋_GB2312" w:eastAsia="仿宋_GB2312" w:cs="方正仿宋_GBK"/>
          <w:color w:val="auto"/>
          <w:sz w:val="28"/>
          <w:szCs w:val="28"/>
          <w:lang w:eastAsia="zh-CN" w:bidi="ar-SA"/>
        </w:rPr>
        <w:t xml:space="preserve"> </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（二）如乙方</w:t>
      </w:r>
      <w:bookmarkStart w:id="8" w:name="_Hlk76019324"/>
      <w:r>
        <w:rPr>
          <w:rFonts w:hint="eastAsia" w:ascii="仿宋_GB2312" w:eastAsia="仿宋_GB2312" w:cs="方正仿宋_GBK"/>
          <w:color w:val="auto"/>
          <w:sz w:val="28"/>
          <w:szCs w:val="28"/>
          <w:lang w:eastAsia="zh-CN" w:bidi="ar-SA"/>
        </w:rPr>
        <w:t>在合同期满后需要</w:t>
      </w:r>
      <w:bookmarkEnd w:id="8"/>
      <w:r>
        <w:rPr>
          <w:rFonts w:hint="eastAsia" w:ascii="仿宋_GB2312" w:eastAsia="仿宋_GB2312" w:cs="方正仿宋_GBK"/>
          <w:color w:val="auto"/>
          <w:sz w:val="28"/>
          <w:szCs w:val="28"/>
          <w:lang w:eastAsia="zh-CN" w:bidi="ar-SA"/>
        </w:rPr>
        <w:t>继续经营该出租土地，必须在合同期满前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日内书面向甲方提出申请。如乙方不再继续经营的，必须在合同期满前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日内书面通知甲方，并在合同期满后</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日内将原出租的土地交还给甲方。</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w:t>
      </w:r>
      <w:bookmarkStart w:id="9" w:name="_Hlk79071881"/>
      <w:r>
        <w:rPr>
          <w:rFonts w:hint="eastAsia" w:ascii="仿宋_GB2312" w:eastAsia="仿宋_GB2312" w:cs="方正仿宋_GBK"/>
          <w:color w:val="auto"/>
          <w:sz w:val="28"/>
          <w:szCs w:val="28"/>
          <w:lang w:eastAsia="zh-CN" w:bidi="ar-SA"/>
        </w:rPr>
        <w:t>合同到期或者未到期由甲方依法提前收回出租土地时，乙方依法投资建设的农业生产附属、配套设施处置方式：</w:t>
      </w:r>
      <w:bookmarkEnd w:id="9"/>
      <w:r>
        <w:rPr>
          <w:rFonts w:ascii="仿宋_GB2312" w:eastAsia="仿宋_GB2312" w:cs="方正仿宋_GBK"/>
          <w:color w:val="auto"/>
          <w:sz w:val="28"/>
          <w:szCs w:val="28"/>
          <w:lang w:eastAsia="zh-CN" w:bidi="ar-SA"/>
        </w:rPr>
        <w:t xml:space="preserve"> </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□由甲方无偿处置。</w:t>
      </w:r>
      <w:r>
        <w:rPr>
          <w:rFonts w:ascii="仿宋_GB2312" w:eastAsia="仿宋_GB2312" w:cs="方正仿宋_GBK"/>
          <w:color w:val="auto"/>
          <w:sz w:val="28"/>
          <w:szCs w:val="28"/>
          <w:lang w:eastAsia="zh-CN" w:bidi="ar-SA"/>
        </w:rPr>
        <w:t xml:space="preserve"> </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□经有资质的第三方评估后，由甲方支付价款购买。</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□经双方协商后，由甲方支付价款购买。</w:t>
      </w:r>
      <w:r>
        <w:rPr>
          <w:rFonts w:ascii="仿宋_GB2312" w:eastAsia="仿宋_GB2312" w:cs="方正仿宋_GBK"/>
          <w:color w:val="auto"/>
          <w:sz w:val="28"/>
          <w:szCs w:val="28"/>
          <w:lang w:eastAsia="zh-CN" w:bidi="ar-SA"/>
        </w:rPr>
        <w:t xml:space="preserve"> </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bookmarkStart w:id="10" w:name="_Hlk78568558"/>
      <w:r>
        <w:rPr>
          <w:rFonts w:hint="eastAsia" w:ascii="仿宋_GB2312" w:eastAsia="仿宋_GB2312" w:cs="方正仿宋_GBK"/>
          <w:color w:val="auto"/>
          <w:sz w:val="28"/>
          <w:szCs w:val="28"/>
          <w:lang w:eastAsia="zh-CN" w:bidi="ar-SA"/>
        </w:rPr>
        <w:t>□由乙方恢复原状。</w:t>
      </w:r>
    </w:p>
    <w:bookmarkEnd w:id="10"/>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1"/>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十一、违约责任</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（一）任何一方违约给对方造成损失的，违约方应承担赔偿责任。</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（二）甲方应按合同规定按时向乙方交付土地，逾期一日应向乙方支付年租金的万分之</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r>
        <w:rPr>
          <w:rFonts w:hint="eastAsia" w:ascii="仿宋_GB2312" w:eastAsia="仿宋_GB2312" w:cs="方正仿宋_GBK"/>
          <w:color w:val="auto"/>
          <w:sz w:val="28"/>
          <w:szCs w:val="28"/>
          <w:lang w:eastAsia="zh-CN" w:bidi="ar-SA"/>
        </w:rPr>
        <w:t>作为违约金。逾期超过</w:t>
      </w:r>
      <w:r>
        <w:rPr>
          <w:rFonts w:hint="eastAsia" w:ascii="仿宋_GB2312" w:eastAsia="仿宋_GB2312" w:cs="方正仿宋_GBK"/>
          <w:color w:val="auto"/>
          <w:sz w:val="28"/>
          <w:szCs w:val="28"/>
          <w:u w:val="single"/>
          <w:lang w:eastAsia="zh-CN" w:bidi="ar-SA"/>
        </w:rPr>
        <w:t>　　</w:t>
      </w:r>
      <w:r>
        <w:rPr>
          <w:rFonts w:hint="eastAsia" w:ascii="仿宋_GB2312" w:eastAsia="仿宋_GB2312" w:cs="方正仿宋_GBK"/>
          <w:color w:val="auto"/>
          <w:sz w:val="28"/>
          <w:szCs w:val="28"/>
          <w:lang w:eastAsia="zh-CN" w:bidi="ar-SA"/>
        </w:rPr>
        <w:t>日，乙方有权解除合同，甲方应当赔偿损失。</w:t>
      </w:r>
      <w:r>
        <w:rPr>
          <w:rFonts w:ascii="仿宋_GB2312" w:eastAsia="仿宋_GB2312" w:cs="方正仿宋_GBK"/>
          <w:color w:val="auto"/>
          <w:sz w:val="28"/>
          <w:szCs w:val="28"/>
          <w:lang w:eastAsia="zh-CN" w:bidi="ar-SA"/>
        </w:rPr>
        <w:t xml:space="preserve"> </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（三）甲方出租的土地存在权属纠纷或经济纠纷，致使合同全部或部分不能履行的，甲方应当赔偿损失。</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（四）甲方违反合同约定擅自干涉和破坏乙方的生产经营</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致使乙方无法进行正常的生产经营活动的，乙方有权解除合同，甲方应当赔偿损失。</w:t>
      </w:r>
      <w:r>
        <w:rPr>
          <w:rFonts w:ascii="仿宋_GB2312" w:eastAsia="仿宋_GB2312" w:cs="方正仿宋_GBK"/>
          <w:color w:val="auto"/>
          <w:sz w:val="28"/>
          <w:szCs w:val="28"/>
          <w:lang w:eastAsia="zh-CN" w:bidi="ar-SA"/>
        </w:rPr>
        <w:t xml:space="preserve"> </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（五）乙方应按照合同规定按时足额向甲方支付租金，逾期一日乙方应向甲方支付年租金的万分之</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（大写：</w:t>
      </w:r>
      <w:r>
        <w:rPr>
          <w:rFonts w:hint="eastAsia" w:ascii="仿宋_GB2312" w:eastAsia="仿宋_GB2312" w:cs="方正仿宋_GBK"/>
          <w:color w:val="auto"/>
          <w:sz w:val="28"/>
          <w:szCs w:val="28"/>
          <w:u w:val="single"/>
          <w:lang w:eastAsia="zh-CN" w:bidi="ar-SA"/>
        </w:rPr>
        <w:t>　　</w:t>
      </w:r>
      <w:r>
        <w:rPr>
          <w:rFonts w:hint="eastAsia" w:ascii="仿宋_GB2312" w:eastAsia="仿宋_GB2312" w:cs="方正仿宋_GBK"/>
          <w:color w:val="auto"/>
          <w:sz w:val="28"/>
          <w:szCs w:val="28"/>
          <w:lang w:eastAsia="zh-CN" w:bidi="ar-SA"/>
        </w:rPr>
        <w:t>）作为违约金。逾期超过</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日，甲方有权解除合同，乙方应当赔偿损失。</w:t>
      </w:r>
    </w:p>
    <w:p>
      <w:pPr>
        <w:pStyle w:val="11"/>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（六）乙方擅自改变出租土地的农业用途、弃耕抛荒连续两年以上、给出租土地造成严重损害或者严重破坏土地生态环境的，甲方有权解除合同、收回该土地经营权，并要求乙方赔偿损失。</w:t>
      </w:r>
    </w:p>
    <w:p>
      <w:pPr>
        <w:pStyle w:val="11"/>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（七）合同期限届满的，乙方应当按照合同约定将原出租土地交还给甲方，逾期一日应向甲方支付年租金的万分</w:t>
      </w:r>
      <w:r>
        <w:rPr>
          <w:rFonts w:hint="eastAsia" w:ascii="仿宋_GB2312" w:eastAsia="仿宋_GB2312" w:cs="方正仿宋_GBK"/>
          <w:color w:val="auto"/>
          <w:sz w:val="28"/>
          <w:szCs w:val="28"/>
          <w:lang w:val="en-US" w:eastAsia="zh-CN" w:bidi="ar-SA"/>
        </w:rPr>
        <w:t>之</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r>
        <w:rPr>
          <w:rFonts w:hint="eastAsia" w:ascii="仿宋_GB2312" w:eastAsia="仿宋_GB2312" w:cs="方正仿宋_GBK"/>
          <w:color w:val="auto"/>
          <w:sz w:val="28"/>
          <w:szCs w:val="28"/>
          <w:lang w:eastAsia="zh-CN" w:bidi="ar-SA"/>
        </w:rPr>
        <w:t>作为违约金。</w:t>
      </w:r>
    </w:p>
    <w:p>
      <w:pPr>
        <w:pStyle w:val="11"/>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pPr>
        <w:pStyle w:val="11"/>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本合同发生争议的，甲乙双方可以协商解决，也可以请求村民委员会、乡（镇）人民政府等调解解决</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当事人不愿协商、调解或者协商、调解不成的，可以依据《中华人民共和国农村土地承包法》第五十五条的规定向农村土地承包仲裁委员会申请仲裁，也可以直接</w:t>
      </w:r>
      <w:r>
        <w:rPr>
          <w:rFonts w:ascii="仿宋_GB2312" w:eastAsia="仿宋_GB2312" w:cs="方正仿宋_GBK"/>
          <w:color w:val="auto"/>
          <w:sz w:val="28"/>
          <w:szCs w:val="28"/>
          <w:lang w:eastAsia="zh-CN" w:bidi="ar-SA"/>
        </w:rPr>
        <w:t>向</w:t>
      </w:r>
      <w:r>
        <w:rPr>
          <w:rFonts w:hint="eastAsia" w:ascii="仿宋_GB2312" w:eastAsia="仿宋_GB2312" w:cs="方正仿宋_GBK"/>
          <w:color w:val="auto"/>
          <w:sz w:val="28"/>
          <w:szCs w:val="28"/>
          <w:lang w:eastAsia="zh-CN" w:bidi="ar-SA"/>
        </w:rPr>
        <w:t>人民法院起诉。</w:t>
      </w:r>
    </w:p>
    <w:p>
      <w:pPr>
        <w:pStyle w:val="11"/>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pPr>
        <w:pStyle w:val="11"/>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（一）本合同未尽事宜，经甲方、乙方协商一致后可签订补充协议。补充协议与本合同具有同等法律效力。</w:t>
      </w:r>
      <w:r>
        <w:rPr>
          <w:rFonts w:ascii="仿宋_GB2312" w:eastAsia="仿宋_GB2312" w:cs="方正仿宋_GBK"/>
          <w:color w:val="auto"/>
          <w:sz w:val="28"/>
          <w:szCs w:val="28"/>
          <w:lang w:eastAsia="zh-CN" w:bidi="ar-SA"/>
        </w:rPr>
        <w:t xml:space="preserve"> </w:t>
      </w:r>
    </w:p>
    <w:p>
      <w:pPr>
        <w:pStyle w:val="11"/>
        <w:spacing w:after="0" w:line="500" w:lineRule="exact"/>
        <w:ind w:firstLine="560" w:firstLineChars="200"/>
        <w:jc w:val="both"/>
        <w:rPr>
          <w:rFonts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补充条款（可另附件）：</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cs="方正仿宋_GBK" w:eastAsiaTheme="minorEastAsia"/>
          <w:color w:val="auto"/>
          <w:sz w:val="28"/>
          <w:szCs w:val="28"/>
          <w:lang w:eastAsia="zh-CN" w:bidi="ar-SA"/>
        </w:rPr>
        <w:t>。</w:t>
      </w:r>
    </w:p>
    <w:p>
      <w:pPr>
        <w:pStyle w:val="11"/>
        <w:spacing w:after="0" w:line="500" w:lineRule="exact"/>
        <w:ind w:firstLine="560" w:firstLineChars="200"/>
        <w:jc w:val="both"/>
        <w:rPr>
          <w:rFonts w:ascii="仿宋_GB2312" w:cs="方正仿宋_GBK" w:eastAsiaTheme="minorEastAsia"/>
          <w:color w:val="auto"/>
          <w:sz w:val="28"/>
          <w:szCs w:val="28"/>
          <w:lang w:eastAsia="zh-CN" w:bidi="ar-SA"/>
        </w:rPr>
      </w:pPr>
      <w:r>
        <w:rPr>
          <w:rFonts w:hint="eastAsia" w:ascii="仿宋_GB2312" w:eastAsia="仿宋_GB2312" w:cs="方正仿宋_GBK"/>
          <w:color w:val="auto"/>
          <w:sz w:val="28"/>
          <w:szCs w:val="28"/>
          <w:lang w:eastAsia="zh-CN" w:bidi="ar-SA"/>
        </w:rPr>
        <w:t>（二）本合同自甲乙双方签字、盖章或者按指印之日起生效。本合同一式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份，由甲方、乙方、农村集体经济组织、乡（镇）人民政府农村土地承包管理部门、</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，各执一份。</w:t>
      </w:r>
    </w:p>
    <w:p>
      <w:pPr>
        <w:pStyle w:val="11"/>
        <w:spacing w:after="0" w:line="500" w:lineRule="exact"/>
        <w:rPr>
          <w:rFonts w:ascii="仿宋_GB2312" w:cs="方正仿宋_GBK" w:eastAsiaTheme="minorEastAsia"/>
          <w:color w:val="auto"/>
          <w:sz w:val="28"/>
          <w:szCs w:val="28"/>
          <w:lang w:eastAsia="zh-CN" w:bidi="ar-SA"/>
        </w:rPr>
      </w:pPr>
    </w:p>
    <w:p>
      <w:pPr>
        <w:pStyle w:val="11"/>
        <w:spacing w:after="0" w:line="500" w:lineRule="exact"/>
        <w:rPr>
          <w:rFonts w:ascii="仿宋_GB2312" w:cs="方正仿宋_GBK" w:eastAsiaTheme="minorEastAsia"/>
          <w:color w:val="auto"/>
          <w:sz w:val="28"/>
          <w:szCs w:val="28"/>
          <w:lang w:eastAsia="zh-CN" w:bidi="ar-SA"/>
        </w:rPr>
      </w:pPr>
    </w:p>
    <w:p>
      <w:pPr>
        <w:pStyle w:val="11"/>
        <w:spacing w:after="0" w:line="500" w:lineRule="exact"/>
        <w:ind w:firstLine="560"/>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甲方：</w:t>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PMingLiU" w:cs="方正仿宋_GBK"/>
          <w:color w:val="auto"/>
          <w:sz w:val="28"/>
          <w:szCs w:val="28"/>
          <w:lang w:bidi="ar-SA"/>
        </w:rPr>
        <w:t xml:space="preserve">   </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bidi="ar-SA"/>
        </w:rPr>
        <w:t>乙方：</w:t>
      </w:r>
    </w:p>
    <w:p>
      <w:pPr>
        <w:pStyle w:val="11"/>
        <w:spacing w:after="0" w:line="500" w:lineRule="exact"/>
        <w:rPr>
          <w:rFonts w:ascii="仿宋_GB2312" w:eastAsia="仿宋_GB2312" w:cs="方正仿宋_GBK"/>
          <w:color w:val="auto"/>
          <w:sz w:val="28"/>
          <w:szCs w:val="28"/>
          <w:lang w:eastAsia="zh-CN" w:bidi="ar-SA"/>
        </w:rPr>
      </w:pPr>
    </w:p>
    <w:p>
      <w:pPr>
        <w:pStyle w:val="11"/>
        <w:spacing w:after="0" w:line="500" w:lineRule="exact"/>
        <w:rPr>
          <w:rFonts w:ascii="仿宋_GB2312" w:eastAsia="仿宋_GB2312" w:cs="方正仿宋_GBK"/>
          <w:color w:val="auto"/>
          <w:w w:val="80"/>
          <w:sz w:val="22"/>
          <w:szCs w:val="28"/>
          <w:lang w:eastAsia="zh-CN" w:bidi="ar-SA"/>
        </w:rPr>
      </w:pPr>
      <w:r>
        <w:rPr>
          <w:rFonts w:hint="eastAsia" w:ascii="仿宋_GB2312" w:eastAsia="仿宋_GB2312" w:cs="方正仿宋_GBK"/>
          <w:color w:val="auto"/>
          <w:w w:val="80"/>
          <w:sz w:val="24"/>
          <w:szCs w:val="24"/>
          <w:lang w:eastAsia="zh-CN" w:bidi="ar-SA"/>
        </w:rPr>
        <w:t>法定代表人（负责人/农户代表人）签字：          法定代表人（负责人/农户代表人）签字：</w:t>
      </w:r>
    </w:p>
    <w:p>
      <w:pPr>
        <w:pStyle w:val="11"/>
        <w:spacing w:after="0" w:line="500" w:lineRule="exact"/>
        <w:rPr>
          <w:rFonts w:ascii="仿宋_GB2312" w:eastAsia="仿宋_GB2312" w:cs="方正仿宋_GBK"/>
          <w:color w:val="auto"/>
          <w:sz w:val="28"/>
          <w:szCs w:val="28"/>
          <w:lang w:bidi="ar-SA"/>
        </w:rPr>
      </w:pPr>
    </w:p>
    <w:p>
      <w:pPr>
        <w:pStyle w:val="11"/>
        <w:spacing w:after="0" w:line="500" w:lineRule="exact"/>
        <w:rPr>
          <w:rFonts w:ascii="仿宋_GB2312" w:eastAsia="仿宋_GB2312" w:cs="方正仿宋_GBK"/>
          <w:color w:val="auto"/>
          <w:sz w:val="28"/>
          <w:szCs w:val="28"/>
          <w:lang w:eastAsia="zh-CN" w:bidi="ar-SA"/>
        </w:rPr>
      </w:pPr>
    </w:p>
    <w:p>
      <w:pPr>
        <w:pStyle w:val="11"/>
        <w:spacing w:after="0" w:line="500" w:lineRule="exact"/>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p>
    <w:p>
      <w:pPr>
        <w:pStyle w:val="11"/>
        <w:spacing w:after="0" w:line="500" w:lineRule="exact"/>
        <w:rPr>
          <w:rFonts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签订地点：</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签订地点：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p>
    <w:p>
      <w:pPr>
        <w:pStyle w:val="11"/>
        <w:spacing w:after="0" w:line="500" w:lineRule="exact"/>
        <w:rPr>
          <w:rFonts w:ascii="仿宋_GB2312" w:cs="方正仿宋_GBK" w:eastAsiaTheme="minorEastAsia"/>
          <w:color w:val="auto"/>
          <w:sz w:val="28"/>
          <w:szCs w:val="28"/>
          <w:u w:val="single"/>
          <w:lang w:eastAsia="zh-CN" w:bidi="ar-SA"/>
        </w:rPr>
      </w:pPr>
    </w:p>
    <w:p>
      <w:pPr>
        <w:pStyle w:val="11"/>
        <w:spacing w:after="0" w:line="500" w:lineRule="exact"/>
        <w:rPr>
          <w:rFonts w:ascii="黑体" w:hAnsi="黑体" w:cs="华文黑体" w:eastAsiaTheme="minorEastAsia"/>
          <w:color w:val="auto"/>
          <w:sz w:val="28"/>
          <w:szCs w:val="28"/>
          <w:lang w:eastAsia="zh-CN"/>
        </w:rPr>
      </w:pPr>
    </w:p>
    <w:p>
      <w:pPr>
        <w:pStyle w:val="11"/>
        <w:spacing w:after="0" w:line="500" w:lineRule="exact"/>
        <w:rPr>
          <w:rFonts w:ascii="黑体" w:hAnsi="黑体" w:cs="华文黑体" w:eastAsiaTheme="minorEastAsia"/>
          <w:color w:val="auto"/>
          <w:sz w:val="28"/>
          <w:szCs w:val="28"/>
          <w:lang w:eastAsia="zh-CN"/>
        </w:rPr>
      </w:pPr>
    </w:p>
    <w:p>
      <w:pPr>
        <w:widowControl/>
        <w:rPr>
          <w:rFonts w:ascii="黑体" w:hAnsi="黑体" w:cs="华文黑体"/>
          <w:sz w:val="28"/>
          <w:szCs w:val="28"/>
          <w:lang w:val="zh-TW" w:bidi="zh-TW"/>
        </w:rPr>
      </w:pPr>
      <w:r>
        <w:rPr>
          <w:rFonts w:ascii="黑体" w:hAnsi="黑体" w:cs="华文黑体"/>
          <w:sz w:val="28"/>
          <w:szCs w:val="28"/>
        </w:rPr>
        <w:br w:type="page"/>
      </w:r>
    </w:p>
    <w:p>
      <w:pPr>
        <w:pStyle w:val="11"/>
        <w:spacing w:after="0" w:line="520" w:lineRule="exact"/>
        <w:rPr>
          <w:rFonts w:ascii="黑体" w:hAnsi="黑体" w:eastAsia="黑体" w:cs="华文黑体"/>
          <w:color w:val="auto"/>
          <w:sz w:val="28"/>
          <w:szCs w:val="28"/>
          <w:lang w:eastAsia="zh-CN"/>
        </w:rPr>
        <w:sectPr>
          <w:footerReference r:id="rId10" w:type="default"/>
          <w:pgSz w:w="11900" w:h="16840"/>
          <w:pgMar w:top="1643" w:right="1833" w:bottom="1798" w:left="1796" w:header="1215" w:footer="1370" w:gutter="0"/>
          <w:cols w:space="720" w:num="1"/>
          <w:docGrid w:linePitch="360" w:charSpace="0"/>
        </w:sectPr>
      </w:pPr>
      <w:r>
        <w:rPr>
          <w:rFonts w:hint="eastAsia" w:ascii="黑体" w:hAnsi="黑体" w:eastAsia="黑体" w:cs="华文黑体"/>
          <w:color w:val="auto"/>
          <w:sz w:val="32"/>
          <w:szCs w:val="32"/>
          <w:lang w:eastAsia="zh-CN"/>
        </w:rPr>
        <w:t>附件清单：</w:t>
      </w:r>
    </w:p>
    <w:tbl>
      <w:tblPr>
        <w:tblStyle w:val="5"/>
        <w:tblW w:w="836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544"/>
        <w:gridCol w:w="155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3"/>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序号</w:t>
            </w:r>
          </w:p>
        </w:tc>
        <w:tc>
          <w:tcPr>
            <w:tcW w:w="3544" w:type="dxa"/>
            <w:vAlign w:val="center"/>
          </w:tcPr>
          <w:p>
            <w:pPr>
              <w:pStyle w:val="13"/>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附件名称</w:t>
            </w:r>
          </w:p>
        </w:tc>
        <w:tc>
          <w:tcPr>
            <w:tcW w:w="1559" w:type="dxa"/>
            <w:vAlign w:val="center"/>
          </w:tcPr>
          <w:p>
            <w:pPr>
              <w:pStyle w:val="13"/>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是否具备</w:t>
            </w:r>
          </w:p>
        </w:tc>
        <w:tc>
          <w:tcPr>
            <w:tcW w:w="1134" w:type="dxa"/>
            <w:vAlign w:val="center"/>
          </w:tcPr>
          <w:p>
            <w:pPr>
              <w:pStyle w:val="13"/>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页数</w:t>
            </w:r>
          </w:p>
        </w:tc>
        <w:tc>
          <w:tcPr>
            <w:tcW w:w="1134" w:type="dxa"/>
            <w:vAlign w:val="center"/>
          </w:tcPr>
          <w:p>
            <w:pPr>
              <w:pStyle w:val="13"/>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tabs>
                <w:tab w:val="left" w:pos="764"/>
              </w:tabs>
              <w:spacing w:line="520" w:lineRule="exact"/>
              <w:ind w:firstLine="0"/>
              <w:jc w:val="center"/>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544" w:type="dxa"/>
            <w:vAlign w:val="center"/>
          </w:tcPr>
          <w:p>
            <w:pPr>
              <w:pStyle w:val="13"/>
              <w:spacing w:line="520" w:lineRule="exact"/>
              <w:jc w:val="left"/>
              <w:rPr>
                <w:rFonts w:ascii="仿宋_GB2312" w:eastAsia="仿宋_GB2312"/>
                <w:color w:val="auto"/>
                <w:sz w:val="28"/>
                <w:szCs w:val="28"/>
              </w:rPr>
            </w:pPr>
            <w:r>
              <w:rPr>
                <w:rFonts w:hint="eastAsia" w:ascii="仿宋_GB2312" w:eastAsia="仿宋_GB2312"/>
                <w:color w:val="auto"/>
                <w:sz w:val="28"/>
                <w:szCs w:val="28"/>
              </w:rPr>
              <w:t>甲方、乙方的证件复印件</w:t>
            </w:r>
          </w:p>
        </w:tc>
        <w:tc>
          <w:tcPr>
            <w:tcW w:w="1559"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tabs>
                <w:tab w:val="left" w:pos="764"/>
              </w:tabs>
              <w:spacing w:line="520" w:lineRule="exact"/>
              <w:ind w:firstLine="0"/>
              <w:jc w:val="center"/>
              <w:rPr>
                <w:rFonts w:ascii="仿宋_GB2312" w:eastAsiaTheme="minorEastAsia"/>
                <w:color w:val="auto"/>
                <w:sz w:val="28"/>
                <w:szCs w:val="28"/>
                <w:lang w:eastAsia="zh-CN"/>
              </w:rPr>
            </w:pPr>
            <w:r>
              <w:rPr>
                <w:rFonts w:ascii="仿宋_GB2312" w:eastAsiaTheme="minorEastAsia"/>
                <w:color w:val="auto"/>
                <w:sz w:val="28"/>
                <w:szCs w:val="28"/>
                <w:lang w:eastAsia="zh-CN"/>
              </w:rPr>
              <w:t>2</w:t>
            </w:r>
          </w:p>
        </w:tc>
        <w:tc>
          <w:tcPr>
            <w:tcW w:w="3544" w:type="dxa"/>
            <w:vAlign w:val="center"/>
          </w:tcPr>
          <w:p>
            <w:pPr>
              <w:pStyle w:val="13"/>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出租土地的权属证明</w:t>
            </w:r>
          </w:p>
        </w:tc>
        <w:tc>
          <w:tcPr>
            <w:tcW w:w="1559"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tabs>
                <w:tab w:val="left" w:pos="764"/>
              </w:tabs>
              <w:spacing w:line="520" w:lineRule="exact"/>
              <w:ind w:firstLine="0"/>
              <w:jc w:val="center"/>
              <w:rPr>
                <w:rFonts w:ascii="仿宋_GB2312" w:eastAsia="PMingLiU"/>
                <w:color w:val="auto"/>
                <w:sz w:val="28"/>
                <w:szCs w:val="28"/>
              </w:rPr>
            </w:pPr>
            <w:r>
              <w:rPr>
                <w:rFonts w:ascii="仿宋_GB2312" w:eastAsia="仿宋_GB2312"/>
                <w:color w:val="auto"/>
                <w:sz w:val="28"/>
                <w:szCs w:val="28"/>
                <w:lang w:eastAsia="zh-CN"/>
              </w:rPr>
              <w:t>3</w:t>
            </w:r>
          </w:p>
        </w:tc>
        <w:tc>
          <w:tcPr>
            <w:tcW w:w="3544" w:type="dxa"/>
            <w:vAlign w:val="center"/>
          </w:tcPr>
          <w:p>
            <w:pPr>
              <w:pStyle w:val="13"/>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出租土地四至范围附图</w:t>
            </w:r>
          </w:p>
        </w:tc>
        <w:tc>
          <w:tcPr>
            <w:tcW w:w="1559"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tabs>
                <w:tab w:val="left" w:pos="764"/>
              </w:tabs>
              <w:spacing w:line="520" w:lineRule="exact"/>
              <w:ind w:firstLine="0"/>
              <w:jc w:val="center"/>
              <w:rPr>
                <w:rFonts w:ascii="仿宋_GB2312" w:eastAsia="仿宋_GB2312"/>
                <w:color w:val="auto"/>
                <w:sz w:val="28"/>
                <w:szCs w:val="28"/>
                <w:lang w:val="en-US" w:eastAsia="zh-CN"/>
              </w:rPr>
            </w:pPr>
            <w:r>
              <w:rPr>
                <w:rFonts w:ascii="仿宋_GB2312" w:eastAsia="仿宋_GB2312"/>
                <w:color w:val="auto"/>
                <w:sz w:val="28"/>
                <w:szCs w:val="28"/>
                <w:lang w:val="en-US" w:eastAsia="zh-CN"/>
              </w:rPr>
              <w:t>4</w:t>
            </w:r>
          </w:p>
        </w:tc>
        <w:tc>
          <w:tcPr>
            <w:tcW w:w="3544" w:type="dxa"/>
            <w:vAlign w:val="center"/>
          </w:tcPr>
          <w:p>
            <w:pPr>
              <w:pStyle w:val="13"/>
              <w:spacing w:line="520" w:lineRule="exact"/>
              <w:jc w:val="left"/>
              <w:rPr>
                <w:rFonts w:ascii="仿宋_GB2312" w:eastAsia="仿宋_GB2312"/>
                <w:color w:val="auto"/>
                <w:sz w:val="28"/>
                <w:szCs w:val="28"/>
              </w:rPr>
            </w:pPr>
            <w:r>
              <w:rPr>
                <w:rFonts w:hint="eastAsia" w:ascii="仿宋_GB2312" w:eastAsia="仿宋_GB2312"/>
                <w:color w:val="auto"/>
                <w:sz w:val="28"/>
                <w:szCs w:val="28"/>
              </w:rPr>
              <w:t>其他（例如：附属建筑及设施清单、村民会议决议书及公示材料、代办授权委托书和证件复印件等）</w:t>
            </w:r>
          </w:p>
        </w:tc>
        <w:tc>
          <w:tcPr>
            <w:tcW w:w="1559"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13"/>
              <w:spacing w:line="520" w:lineRule="exact"/>
              <w:jc w:val="center"/>
              <w:rPr>
                <w:rFonts w:ascii="仿宋_GB2312" w:eastAsia="仿宋_GB2312"/>
                <w:color w:val="auto"/>
                <w:sz w:val="28"/>
                <w:szCs w:val="28"/>
              </w:rPr>
            </w:pPr>
          </w:p>
        </w:tc>
        <w:tc>
          <w:tcPr>
            <w:tcW w:w="1559"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13"/>
              <w:spacing w:line="520" w:lineRule="exact"/>
              <w:jc w:val="center"/>
              <w:rPr>
                <w:rFonts w:ascii="仿宋_GB2312" w:eastAsia="仿宋_GB2312"/>
                <w:color w:val="auto"/>
                <w:sz w:val="28"/>
                <w:szCs w:val="28"/>
              </w:rPr>
            </w:pPr>
          </w:p>
        </w:tc>
        <w:tc>
          <w:tcPr>
            <w:tcW w:w="1559"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13"/>
              <w:spacing w:line="520" w:lineRule="exact"/>
              <w:jc w:val="center"/>
              <w:rPr>
                <w:rFonts w:ascii="仿宋_GB2312" w:eastAsia="仿宋_GB2312"/>
                <w:color w:val="auto"/>
                <w:sz w:val="28"/>
                <w:szCs w:val="28"/>
              </w:rPr>
            </w:pPr>
          </w:p>
        </w:tc>
        <w:tc>
          <w:tcPr>
            <w:tcW w:w="1559"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13"/>
              <w:spacing w:line="520" w:lineRule="exact"/>
              <w:jc w:val="center"/>
              <w:rPr>
                <w:rFonts w:ascii="仿宋_GB2312" w:eastAsia="仿宋_GB2312"/>
                <w:color w:val="auto"/>
                <w:sz w:val="28"/>
                <w:szCs w:val="28"/>
              </w:rPr>
            </w:pPr>
          </w:p>
        </w:tc>
        <w:tc>
          <w:tcPr>
            <w:tcW w:w="1559"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13"/>
              <w:spacing w:line="520" w:lineRule="exact"/>
              <w:jc w:val="center"/>
              <w:rPr>
                <w:rFonts w:ascii="仿宋_GB2312" w:eastAsia="仿宋_GB2312"/>
                <w:color w:val="auto"/>
                <w:sz w:val="28"/>
                <w:szCs w:val="28"/>
              </w:rPr>
            </w:pPr>
          </w:p>
        </w:tc>
        <w:tc>
          <w:tcPr>
            <w:tcW w:w="1559"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544" w:type="dxa"/>
            <w:vAlign w:val="center"/>
          </w:tcPr>
          <w:p>
            <w:pPr>
              <w:pStyle w:val="13"/>
              <w:keepNext/>
              <w:keepLines/>
              <w:spacing w:before="260" w:after="260" w:line="520" w:lineRule="exact"/>
              <w:jc w:val="center"/>
              <w:rPr>
                <w:rFonts w:ascii="仿宋_GB2312" w:eastAsia="仿宋_GB2312"/>
                <w:color w:val="auto"/>
                <w:sz w:val="28"/>
                <w:szCs w:val="28"/>
              </w:rPr>
            </w:pPr>
          </w:p>
        </w:tc>
        <w:tc>
          <w:tcPr>
            <w:tcW w:w="1559" w:type="dxa"/>
          </w:tcPr>
          <w:p>
            <w:pPr>
              <w:pStyle w:val="10"/>
              <w:keepNext/>
              <w:keepLines/>
              <w:tabs>
                <w:tab w:val="left" w:pos="764"/>
              </w:tabs>
              <w:spacing w:before="260" w:after="260" w:line="520" w:lineRule="exact"/>
              <w:ind w:firstLine="0"/>
              <w:rPr>
                <w:color w:val="auto"/>
                <w:sz w:val="28"/>
                <w:szCs w:val="28"/>
              </w:rPr>
            </w:pPr>
          </w:p>
        </w:tc>
        <w:tc>
          <w:tcPr>
            <w:tcW w:w="1134" w:type="dxa"/>
          </w:tcPr>
          <w:p>
            <w:pPr>
              <w:pStyle w:val="10"/>
              <w:keepNext/>
              <w:keepLines/>
              <w:tabs>
                <w:tab w:val="left" w:pos="764"/>
              </w:tabs>
              <w:spacing w:before="260" w:after="260" w:line="520" w:lineRule="exact"/>
              <w:ind w:firstLine="0"/>
              <w:rPr>
                <w:color w:val="auto"/>
                <w:sz w:val="28"/>
                <w:szCs w:val="28"/>
              </w:rPr>
            </w:pPr>
          </w:p>
        </w:tc>
        <w:tc>
          <w:tcPr>
            <w:tcW w:w="1134" w:type="dxa"/>
          </w:tcPr>
          <w:p>
            <w:pPr>
              <w:pStyle w:val="10"/>
              <w:keepNext/>
              <w:keepLines/>
              <w:tabs>
                <w:tab w:val="left" w:pos="764"/>
              </w:tabs>
              <w:spacing w:before="260" w:after="260"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13"/>
              <w:spacing w:line="520" w:lineRule="exact"/>
              <w:jc w:val="center"/>
              <w:rPr>
                <w:rFonts w:ascii="仿宋_GB2312" w:eastAsia="仿宋_GB2312"/>
                <w:color w:val="auto"/>
                <w:sz w:val="28"/>
                <w:szCs w:val="28"/>
              </w:rPr>
            </w:pPr>
          </w:p>
        </w:tc>
        <w:tc>
          <w:tcPr>
            <w:tcW w:w="1559"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13"/>
              <w:spacing w:line="520" w:lineRule="exact"/>
              <w:jc w:val="center"/>
              <w:rPr>
                <w:rFonts w:ascii="仿宋_GB2312" w:eastAsia="仿宋_GB2312"/>
                <w:color w:val="auto"/>
                <w:sz w:val="28"/>
                <w:szCs w:val="28"/>
              </w:rPr>
            </w:pPr>
          </w:p>
        </w:tc>
        <w:tc>
          <w:tcPr>
            <w:tcW w:w="1559"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c>
          <w:tcPr>
            <w:tcW w:w="1134" w:type="dxa"/>
          </w:tcPr>
          <w:p>
            <w:pPr>
              <w:pStyle w:val="10"/>
              <w:tabs>
                <w:tab w:val="left" w:pos="764"/>
              </w:tabs>
              <w:spacing w:line="520" w:lineRule="exact"/>
              <w:ind w:firstLine="0"/>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5"/>
            <w:vAlign w:val="center"/>
          </w:tcPr>
          <w:p>
            <w:pPr>
              <w:pStyle w:val="10"/>
              <w:tabs>
                <w:tab w:val="left" w:pos="764"/>
              </w:tabs>
              <w:spacing w:line="520" w:lineRule="exact"/>
              <w:ind w:firstLine="980"/>
              <w:jc w:val="center"/>
              <w:rPr>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pPr>
        <w:pStyle w:val="10"/>
        <w:tabs>
          <w:tab w:val="left" w:pos="764"/>
        </w:tabs>
        <w:spacing w:line="520" w:lineRule="exact"/>
        <w:ind w:firstLine="460" w:firstLineChars="200"/>
        <w:jc w:val="distribute"/>
        <w:rPr>
          <w:color w:val="auto"/>
          <w:sz w:val="23"/>
          <w:szCs w:val="23"/>
        </w:rPr>
      </w:pPr>
    </w:p>
    <w:p/>
    <w:sectPr>
      <w:type w:val="continuous"/>
      <w:pgSz w:w="11900" w:h="16840"/>
      <w:pgMar w:top="1668" w:right="3289" w:bottom="1668" w:left="2269" w:header="0" w:footer="3" w:gutter="0"/>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wiss"/>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黑体">
    <w:altName w:val="黑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49322"/>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fldChar w:fldCharType="end"/>
        </w:r>
      </w:p>
    </w:sdtContent>
  </w:sdt>
  <w:p>
    <w:pPr>
      <w:pStyle w:val="2"/>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fgMCAAAEBAAADgAAAGRycy9lMm9Eb2MueG1srVNLbtswEN0X6B0I&#10;7mvJXhSGYDlIY7gokH6AtAegKUoiKnKIIW3JPUB7g6666b7n8jk6pCw3TTZZZEMMyeGb994MV1eD&#10;6dhBoddgSz6f5ZwpK6HStin5l8/bV0vOfBC2Eh1YVfKj8vxq/fLFqneFWkALXaWQEYj1Re9K3obg&#10;iizzslVG+Bk4ZemyBjQi0BabrELRE7rpskWev856wMohSOU9nW7GS35GxKcAQl1rqTYg90bZMKKi&#10;6kQgSb7VzvN1YlvXSoaPde1VYF3JSWlIKxWheBfXbL0SRYPCtVqeKYinUHigyQhtqegFaiOCYHvU&#10;j6CMlgge6jCTYLJRSHKEVMzzB97ctcKppIWs9u5iun8+WPnh8AmZrmgSOLPCUMNPP3+cfv05/f7O&#10;5tGe3vmCsu4c5YXhDQwxNUr17hbkV88s3LTCNuoaEfpWiYropZfZvacjjo8gu/49VFRH7AMkoKFG&#10;EwHJDUbo1JrjpTVqCEzGksvFcpnTlaS7aUPsMlFMzx368FaBYTEoOVLvE7w43Powpk4psZqFre66&#10;1P/O/ndAmPEk0Y+MR+5h2A1nO3ZQHUkIwjhO9JkoaAG/cdbTKJXc0s/hrHtnyYo4dVOAU7CbAmEl&#10;PSx54GwMb8I4nXuHumkJdzL7muza6iQk+jpyOLOk4UhWnAc5Tt/9fcr693n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5STQfgMCAAAEBAAADgAAAAAAAAABACAAAAAeAQAAZHJzL2Uyb0Rv&#10;Yy54bWxQSwUGAAAAAAYABgBZAQAAkwUAAAAA&#10;">
              <v:fill on="f" focussize="0,0"/>
              <v:stroke on="f"/>
              <v:imagedata o:title=""/>
              <o:lock v:ext="edit" aspectratio="f"/>
              <v:textbox inset="0mm,0mm,0mm,0mm" style="mso-fit-shape-to-text:t;">
                <w:txbxContent>
                  <w:p>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8"/>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fldChar w:fldCharType="end"/>
        </w:r>
      </w:p>
    </w:sdtContent>
  </w:sdt>
  <w:p>
    <w:pPr>
      <w:pStyle w:val="2"/>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9"/>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fldChar w:fldCharType="end"/>
        </w:r>
      </w:p>
    </w:sdtContent>
  </w:sdt>
  <w:p>
    <w:pPr>
      <w:pStyle w:val="2"/>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3A6095"/>
    <w:multiLevelType w:val="singleLevel"/>
    <w:tmpl w:val="3F3A60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ODk5OWU3M2FhNzY2OWNiYmYyZDFjMDA0ODk5NjUifQ=="/>
  </w:docVars>
  <w:rsids>
    <w:rsidRoot w:val="00707533"/>
    <w:rsid w:val="003C1ACE"/>
    <w:rsid w:val="004D6B6D"/>
    <w:rsid w:val="00707533"/>
    <w:rsid w:val="015B4D89"/>
    <w:rsid w:val="517D4C8F"/>
    <w:rsid w:val="5A7153B3"/>
    <w:rsid w:val="6A8C0ADA"/>
    <w:rsid w:val="75D4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Times New Roman" w:hAnsi="Times New Roman" w:eastAsia="Times New Roman" w:cs="Times New Roman"/>
      <w:color w:val="000000"/>
      <w:kern w:val="0"/>
      <w:sz w:val="18"/>
      <w:szCs w:val="18"/>
      <w:lang w:eastAsia="en-US" w:bidi="en-US"/>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Times New Roman" w:cs="Times New Roman"/>
      <w:color w:val="000000"/>
      <w:kern w:val="0"/>
      <w:sz w:val="18"/>
      <w:szCs w:val="18"/>
      <w:lang w:eastAsia="en-US" w:bidi="en-US"/>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99"/>
    <w:rPr>
      <w:rFonts w:ascii="Times New Roman" w:hAnsi="Times New Roman" w:eastAsia="Times New Roman" w:cs="Times New Roman"/>
      <w:color w:val="000000"/>
      <w:kern w:val="0"/>
      <w:sz w:val="18"/>
      <w:szCs w:val="18"/>
      <w:lang w:eastAsia="en-US" w:bidi="en-US"/>
    </w:rPr>
  </w:style>
  <w:style w:type="character" w:customStyle="1" w:styleId="8">
    <w:name w:val="页眉 Char"/>
    <w:basedOn w:val="6"/>
    <w:link w:val="3"/>
    <w:qFormat/>
    <w:uiPriority w:val="0"/>
    <w:rPr>
      <w:rFonts w:ascii="Times New Roman" w:hAnsi="Times New Roman" w:eastAsia="Times New Roman" w:cs="Times New Roman"/>
      <w:color w:val="000000"/>
      <w:kern w:val="0"/>
      <w:sz w:val="18"/>
      <w:szCs w:val="18"/>
      <w:lang w:eastAsia="en-US" w:bidi="en-US"/>
    </w:rPr>
  </w:style>
  <w:style w:type="paragraph" w:customStyle="1" w:styleId="9">
    <w:name w:val="Picture caption|1"/>
    <w:basedOn w:val="1"/>
    <w:qFormat/>
    <w:uiPriority w:val="0"/>
    <w:pPr>
      <w:spacing w:line="216" w:lineRule="exact"/>
      <w:jc w:val="left"/>
    </w:pPr>
    <w:rPr>
      <w:rFonts w:ascii="MingLiU" w:hAnsi="MingLiU" w:eastAsia="MingLiU" w:cs="Times New Roman"/>
      <w:color w:val="323232"/>
      <w:kern w:val="0"/>
      <w:sz w:val="14"/>
      <w:szCs w:val="14"/>
    </w:rPr>
  </w:style>
  <w:style w:type="paragraph" w:customStyle="1" w:styleId="10">
    <w:name w:val="Body text|1"/>
    <w:basedOn w:val="1"/>
    <w:qFormat/>
    <w:uiPriority w:val="0"/>
    <w:pPr>
      <w:spacing w:line="319" w:lineRule="auto"/>
      <w:ind w:firstLine="400"/>
      <w:jc w:val="left"/>
    </w:pPr>
    <w:rPr>
      <w:rFonts w:ascii="MingLiU" w:hAnsi="MingLiU" w:eastAsia="MingLiU" w:cs="MingLiU"/>
      <w:color w:val="3F3C4A"/>
      <w:kern w:val="0"/>
      <w:sz w:val="19"/>
      <w:szCs w:val="19"/>
      <w:lang w:val="zh-TW" w:eastAsia="zh-TW" w:bidi="zh-TW"/>
    </w:rPr>
  </w:style>
  <w:style w:type="paragraph" w:customStyle="1" w:styleId="11">
    <w:name w:val="Table caption|1"/>
    <w:basedOn w:val="1"/>
    <w:qFormat/>
    <w:uiPriority w:val="0"/>
    <w:pPr>
      <w:spacing w:after="60"/>
      <w:jc w:val="left"/>
    </w:pPr>
    <w:rPr>
      <w:rFonts w:ascii="MingLiU" w:hAnsi="MingLiU" w:eastAsia="MingLiU" w:cs="MingLiU"/>
      <w:color w:val="3F3C4A"/>
      <w:kern w:val="0"/>
      <w:sz w:val="19"/>
      <w:szCs w:val="19"/>
      <w:lang w:val="zh-TW" w:eastAsia="zh-TW" w:bidi="zh-TW"/>
    </w:rPr>
  </w:style>
  <w:style w:type="paragraph" w:customStyle="1" w:styleId="12">
    <w:name w:val="Other|1"/>
    <w:basedOn w:val="1"/>
    <w:qFormat/>
    <w:uiPriority w:val="0"/>
    <w:pPr>
      <w:spacing w:line="319" w:lineRule="auto"/>
      <w:ind w:firstLine="400"/>
      <w:jc w:val="left"/>
    </w:pPr>
    <w:rPr>
      <w:rFonts w:ascii="MingLiU" w:hAnsi="MingLiU" w:eastAsia="MingLiU" w:cs="MingLiU"/>
      <w:color w:val="3F3C4A"/>
      <w:kern w:val="0"/>
      <w:sz w:val="19"/>
      <w:szCs w:val="19"/>
      <w:lang w:val="zh-TW" w:eastAsia="zh-TW" w:bidi="zh-TW"/>
    </w:rPr>
  </w:style>
  <w:style w:type="paragraph" w:customStyle="1" w:styleId="13">
    <w:name w:val="Default"/>
    <w:qFormat/>
    <w:uiPriority w:val="0"/>
    <w:pPr>
      <w:widowControl w:val="0"/>
      <w:autoSpaceDE w:val="0"/>
      <w:autoSpaceDN w:val="0"/>
      <w:adjustRightInd w:val="0"/>
    </w:pPr>
    <w:rPr>
      <w:rFonts w:ascii="方正小标宋_GBK" w:hAnsi="Times New Roman" w:eastAsia="方正小标宋_GBK" w:cs="方正小标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812</Words>
  <Characters>4630</Characters>
  <Lines>38</Lines>
  <Paragraphs>10</Paragraphs>
  <TotalTime>2</TotalTime>
  <ScaleCrop>false</ScaleCrop>
  <LinksUpToDate>false</LinksUpToDate>
  <CharactersWithSpaces>5432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2021-12-29T09:29:00Z</dcterms:created>
  <dc:creator>xb21cn</dc:creator>
  <cp:lastModifiedBy>llll</cp:lastModifiedBy>
  <cp:lastPrinted>2023-11-09T02:14:00Z</cp:lastPrinted>
  <dcterms:modified xsi:type="dcterms:W3CDTF">2023-11-09T06:59:06Z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46285D809AAD42A0B598D46AE539E557</vt:lpwstr>
  </property>
</Properties>
</file>