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Qk1C60wAAAAoBAAAPAAAAAAAAAAEAIAAAADgAAABkcnMvZG93bnJldi54bWxQSwEC&#10;FAAUAAAACACHTuJAISWAaeMBAACgAwAADgAAAAAAAAABACAAAAA4AQAAZHJzL2Uyb0RvYy54bWxQ&#10;SwUGAAAAAAYABgBZAQAAjQ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KzZZTWAAAACAEAAA8AAAAAAAAAAQAgAAAAOAAAAGRycy9kb3ducmV2LnhtbFBL&#10;AQIUABQAAAAIAIdO4kAkS/l+4gEAAKADAAAOAAAAAAAAAAEAIAAAADsBAABkcnMvZTJvRG9jLnht&#10;bFBLBQYAAAAABgAGAFkBAACP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32"/>
          <w:szCs w:val="20"/>
        </w:rPr>
        <w:pict>
          <v:shape id="_x0000_s1028" o:spid="_x0000_s1028" o:spt="136" type="#_x0000_t136" style="position:absolute;left:0pt;margin-top:85.05pt;height:53.85pt;width:425.2pt;mso-position-horizontal:center;mso-position-horizontal-relative:page;mso-position-vertical-relative:page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云阳县人民政府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/>
          <w:kern w:val="2"/>
          <w:sz w:val="32"/>
          <w:szCs w:val="2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方正仿宋_GBK" w:hAnsi="Calibri" w:eastAsia="方正仿宋_GBK" w:cs="Times New Roman"/>
          <w:sz w:val="32"/>
          <w:szCs w:val="32"/>
        </w:rPr>
      </w:pPr>
      <w:bookmarkStart w:id="0" w:name="zw"/>
      <w:bookmarkEnd w:id="0"/>
      <w:bookmarkStart w:id="1" w:name="quanwen"/>
      <w:r>
        <w:rPr>
          <w:rFonts w:hint="eastAsia" w:ascii="方正仿宋_GBK" w:hAnsi="Calibri" w:eastAsia="方正仿宋_GBK" w:cs="Times New Roman"/>
          <w:sz w:val="32"/>
          <w:szCs w:val="32"/>
        </w:rPr>
        <w:t>云阳府〔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</w:t>
      </w:r>
      <w:r>
        <w:rPr>
          <w:rFonts w:hint="eastAsia" w:ascii="方正仿宋_GBK" w:hAnsi="Calibri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方正仿宋_GBK" w:hAnsi="Calibri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72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云阳县人民政府</w:t>
      </w:r>
    </w:p>
    <w:p>
      <w:pPr>
        <w:spacing w:line="72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部分乡镇（街道）</w:t>
      </w: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道路命名和更名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的批复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ascii="方正小标宋_GBK" w:hAnsi="Calibri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hint="eastAsia"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县民政局：</w:t>
      </w:r>
      <w:r>
        <w:rPr>
          <w:rFonts w:hint="eastAsia" w:ascii="方正仿宋_GBK" w:hAnsi="Calibri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5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你局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部分乡镇（街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道路命名和更名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请示》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民文〔20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方正仿宋_GBK" w:hAnsi="Calibri" w:eastAsia="方正仿宋_GBK" w:cs="Times New Roman"/>
          <w:sz w:val="32"/>
          <w:szCs w:val="32"/>
        </w:rPr>
        <w:t>）已收悉。经研究，现批复如下：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一、青龙街道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汇云路：起于柏杨湾社区云江大道650号移民安置房北苑6幢，途经柏杨湾居委会，移民北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苑5幢、4幢、3幢，止于云江大道652号，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米。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因交汇于云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江大道，故名。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云江北巷：起于云安路417号，止于云江大道628号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，长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150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因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属于云江大道支巷，并位于北边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故名。</w:t>
      </w:r>
    </w:p>
    <w:p>
      <w:pPr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泰安梯：起于云安路413号，止于云江大道584号，长200米，宽6米。因紧邻泰安小区，故名。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翠岭路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：起于关坪路40号磨子岭广场，途经翠岭怡景小区，止于关坪路310号，长400米，宽5米。因紧邻翠岭怡景小区，故名。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531" w:bottom="1418" w:left="1531" w:header="851" w:footer="340" w:gutter="0"/>
          <w:pgNumType w:fmt="decimal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龙江路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：起于关坪路36号，止于关坪路310号，长300米，宽4.5米。因紧邻龙江航运公司，故名。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银小路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：起于磨岭路127号，止于关坪路181号路口，长300米，宽3米。因该道路由银海市场通往实验小学，故名。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银海路：起于五同路2号，止于滨江大道652号，长250米，宽4.5米。因紧邻银海市场，故名。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二、双江</w:t>
      </w:r>
      <w:r>
        <w:rPr>
          <w:rFonts w:hint="default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街道</w:t>
      </w:r>
    </w:p>
    <w:p>
      <w:pPr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港务一巷：起于滨江大道2155号，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止于滨江大道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2151号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长100米，宽10米。因紧邻港务广场，故名。</w:t>
      </w:r>
    </w:p>
    <w:p>
      <w:pPr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港务二巷：起于滨江大道2177号，止于外滩大道11号，长100米，宽10米。因紧邻港务广场，故名。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利民巷：起于滨江大道2314号，止于外滩大道83号，长100米，宽10米。因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紧邻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利民粮油，故名。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两江一巷：起于滨江大道2513号，止于外滩大道307号，长100米，宽10米。因紧邻两江广场，故名。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9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spacing w:val="-11"/>
          <w:kern w:val="2"/>
          <w:sz w:val="32"/>
          <w:szCs w:val="32"/>
          <w:lang w:val="en-US" w:eastAsia="zh-CN" w:bidi="ar-SA"/>
        </w:rPr>
        <w:t>两江二巷：起于滨江大道2537号，途经外滩社区党群服务中心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>，止于</w:t>
      </w:r>
      <w:r>
        <w:rPr>
          <w:rFonts w:hint="eastAsia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>金华路158号</w:t>
      </w:r>
      <w:r>
        <w:rPr>
          <w:rFonts w:hint="default" w:ascii="Times New Roman" w:hAnsi="Times New Roman" w:eastAsia="方正仿宋_GBK" w:cs="Times New Roman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>，长</w:t>
      </w:r>
      <w:r>
        <w:rPr>
          <w:rFonts w:hint="default" w:ascii="Times New Roman" w:hAnsi="Times New Roman" w:eastAsia="方正仿宋_GBK" w:cs="Times New Roman"/>
          <w:b w:val="0"/>
          <w:spacing w:val="-11"/>
          <w:kern w:val="2"/>
          <w:sz w:val="32"/>
          <w:szCs w:val="32"/>
          <w:lang w:val="en-US" w:eastAsia="zh-CN" w:bidi="ar-SA"/>
        </w:rPr>
        <w:t>100米，宽10米。因紧邻两江广场，故名。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三、人和街道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兴莲路：起于莲花社区福缘小区，途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中兴村，止于小地名小洋湾，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3000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4.5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原名关莲路，有重名，寄喻兴盛莲花社区，故更名为兴莲路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南溪镇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天景大道：起于南溪中心卫生院办公楼，途经鱼塘坝，止于水市小学，长1000米，宽14米。因小地名天景，故名。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五、故陵镇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富贵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堂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路：起于故陵社区移民东路142号，途经富贵堂广场，止于故陵社区1组，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7.5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米。因小地名富贵堂，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故名。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平扎营路：起于故陵社区移民西路55号，途经帽合领公园、富贵堂广场、社区1组2组5组，止于小地名平扎营，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1700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米。因道路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止点位于小地名平扎营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，故名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大龙井路：起于龙井路，途经大龙井住宅点，止于云阳县辉静种植园冻库，长800米，宽5米。原名龙泉路，有重名，因大龙井遗址，故更名为大龙井路。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六、沙市镇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汤溪路：起于汤溪源社区文革大桥，途经社区广场，止于汤溪源社区3组沙湾岔路口，长1500米，宽9米。原名滨河路，有重名，因位于汤溪河沿岸，故更名为汤溪路。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七、渠马镇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惠民东路：起于将军梁社区惠民路1号，止于惠民路68号渠马小学宿舍，长350米，宽6米。原名惠民路，有重名，因位于渠马场镇东边，意为惠及民生，故更名为惠民东路。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龙泉西路：起于将军梁社区龙泉路1号，途经土岩村卫生室，止于土岩村龙泉路129号，长800米，宽4.5米。原名龙泉路，有重名，因位于渠马镇场镇西边，沿用以前渠马镇龙泉村，故更名为龙泉西路。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八、桑坪镇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长兴路：起于桑坪社区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1组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变电所，途经桑坪小学、桑坪旧大桥、桑坪中学，止于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桑坪社区5组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邓才松加油站，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700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8.5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米。因道路连接桑坪镇长坪村与兴梨村，故名。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九、耀灵镇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耀普路：起于耀灵镇大兴社区新大桥，途经柏木村，止于普子乡盐井溪，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7500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米。因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道路起于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耀灵镇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止于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万州普子乡，故名。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龙耀路：起于龙角镇五龙社区2组羊场，途经龙角镇军家村，泥溪镇石缸村、泥溪社区、石蛋村，止于耀灵镇大兴社区新大桥，长17000米，宽8米。该道路属于延长道路，因道路起于龙角镇止于耀灵镇，故名。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耀清路：起于耀灵镇协力村大河口，途经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协力村、鸣凤村，止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于清水乡磁溪村2组，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长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300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米，宽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米。因道路起于耀灵镇止于清水土家族乡，故名。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88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200"/>
        <w:jc w:val="both"/>
        <w:textAlignment w:val="auto"/>
        <w:rPr>
          <w:rFonts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该命名从批复之日起启用。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200"/>
        <w:jc w:val="both"/>
        <w:textAlignment w:val="auto"/>
        <w:rPr>
          <w:rFonts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此复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280" w:firstLineChars="1650"/>
        <w:jc w:val="both"/>
        <w:textAlignment w:val="auto"/>
        <w:rPr>
          <w:rFonts w:ascii="方正仿宋_GBK" w:hAnsi="宋体" w:eastAsia="方正仿宋_GBK" w:cs="宋体"/>
          <w:color w:val="00000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云阳县人民政府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right="0" w:rightChars="0" w:firstLine="5120" w:firstLineChars="1600"/>
        <w:jc w:val="both"/>
        <w:textAlignment w:val="auto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10" w:leftChars="100"/>
        <w:textAlignment w:val="auto"/>
      </w:pPr>
      <w:r>
        <w:rPr>
          <w:rFonts w:ascii="Times New Roman" w:hAnsi="Times New Roman" w:eastAsia="方正仿宋_GBK" w:cs="Times New Roman"/>
          <w:kern w:val="0"/>
          <w:sz w:val="28"/>
          <w:szCs w:val="20"/>
        </w:rPr>
        <w:t>抄送：各乡镇人民政府、街道办事处，县政府各部门、各单位。</w:t>
      </w:r>
      <w:bookmarkEnd w:id="1"/>
    </w:p>
    <w:sectPr>
      <w:footerReference r:id="rId3" w:type="default"/>
      <w:pgSz w:w="11906" w:h="16838"/>
      <w:pgMar w:top="2098" w:right="1531" w:bottom="1418" w:left="1531" w:header="851" w:footer="34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+ck3D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fnJNw1AAAAAgBAAAPAAAAAAAAAAEAIAAAADgAAABkcnMvZG93bnJldi54bWxQSwECFAAUAAAA&#10;CACHTuJAv6vjvBUCAAAZBAAADgAAAAAAAAABACAAAAA5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BE11B"/>
    <w:multiLevelType w:val="singleLevel"/>
    <w:tmpl w:val="CEABE1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480F"/>
    <w:rsid w:val="0FD9466A"/>
    <w:rsid w:val="17ED038A"/>
    <w:rsid w:val="1E0438E1"/>
    <w:rsid w:val="399B0A33"/>
    <w:rsid w:val="400914B2"/>
    <w:rsid w:val="4393434D"/>
    <w:rsid w:val="4479157F"/>
    <w:rsid w:val="4D9D3FED"/>
    <w:rsid w:val="59466E7E"/>
    <w:rsid w:val="5DBF1354"/>
    <w:rsid w:val="622B480F"/>
    <w:rsid w:val="69AA7477"/>
    <w:rsid w:val="69FB6CF6"/>
    <w:rsid w:val="6ADE07A8"/>
    <w:rsid w:val="6F2D0DAD"/>
    <w:rsid w:val="73B67941"/>
    <w:rsid w:val="79C3460F"/>
    <w:rsid w:val="D7F59C4D"/>
    <w:rsid w:val="DB7F2174"/>
    <w:rsid w:val="FBE3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Char Char3"/>
    <w:qFormat/>
    <w:uiPriority w:val="99"/>
    <w:pPr>
      <w:widowControl w:val="0"/>
      <w:spacing w:after="160" w:line="24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2023-06-07T10:27:00Z</dcterms:created>
  <dc:creator>Administrator</dc:creator>
  <cp:lastModifiedBy>user</cp:lastModifiedBy>
  <cp:lastPrinted>2023-06-21T17:39:00Z</cp:lastPrinted>
  <dcterms:modified xsi:type="dcterms:W3CDTF">2023-06-25T09:34:21Z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2846C28C9A2D446687523038EA61F02D</vt:lpwstr>
  </property>
</Properties>
</file>