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621"/>
        <w:tblW w:w="0" w:type="auto"/>
        <w:jc w:val="center"/>
        <w:tblLayout w:type="fixed"/>
        <w:tblCellMar>
          <w:top w:w="15" w:type="dxa"/>
          <w:bottom w:w="15" w:type="dxa"/>
        </w:tblCellMar>
        <w:tblLook w:val="0000" w:firstRow="0" w:lastRow="0" w:firstColumn="0" w:lastColumn="0" w:noHBand="0" w:noVBand="0"/>
      </w:tblPr>
      <w:tblGrid>
        <w:gridCol w:w="1038"/>
        <w:gridCol w:w="653"/>
        <w:gridCol w:w="3164"/>
        <w:gridCol w:w="5452"/>
        <w:gridCol w:w="448"/>
        <w:gridCol w:w="640"/>
        <w:gridCol w:w="277"/>
        <w:gridCol w:w="1142"/>
        <w:gridCol w:w="1138"/>
        <w:gridCol w:w="1529"/>
      </w:tblGrid>
      <w:tr w:rsidR="001D764F" w:rsidTr="00727186">
        <w:trPr>
          <w:trHeight w:val="444"/>
          <w:jc w:val="center"/>
        </w:trPr>
        <w:tc>
          <w:tcPr>
            <w:tcW w:w="1038" w:type="dxa"/>
            <w:vAlign w:val="center"/>
          </w:tcPr>
          <w:p w:rsidR="001D764F" w:rsidRDefault="001D764F" w:rsidP="00727186">
            <w:pPr>
              <w:widowControl/>
              <w:spacing w:line="580" w:lineRule="exact"/>
              <w:jc w:val="left"/>
              <w:rPr>
                <w:rFonts w:ascii="方正黑体_GBK" w:eastAsia="方正黑体_GBK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32"/>
                <w:szCs w:val="32"/>
              </w:rPr>
              <w:t>附件</w:t>
            </w:r>
          </w:p>
        </w:tc>
        <w:tc>
          <w:tcPr>
            <w:tcW w:w="653" w:type="dxa"/>
            <w:vAlign w:val="center"/>
          </w:tcPr>
          <w:p w:rsidR="001D764F" w:rsidRDefault="001D764F" w:rsidP="00727186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4" w:type="dxa"/>
            <w:vAlign w:val="center"/>
          </w:tcPr>
          <w:p w:rsidR="001D764F" w:rsidRDefault="001D764F" w:rsidP="00727186">
            <w:pPr>
              <w:widowControl/>
              <w:spacing w:line="5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900" w:type="dxa"/>
            <w:gridSpan w:val="2"/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17" w:type="dxa"/>
            <w:gridSpan w:val="2"/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2" w:type="dxa"/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9" w:type="dxa"/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D764F" w:rsidTr="00727186">
        <w:trPr>
          <w:trHeight w:val="495"/>
          <w:jc w:val="center"/>
        </w:trPr>
        <w:tc>
          <w:tcPr>
            <w:tcW w:w="15481" w:type="dxa"/>
            <w:gridSpan w:val="10"/>
            <w:vAlign w:val="center"/>
          </w:tcPr>
          <w:p w:rsidR="001D764F" w:rsidRDefault="001D764F" w:rsidP="00727186">
            <w:pPr>
              <w:widowControl/>
              <w:spacing w:line="578" w:lineRule="exact"/>
              <w:rPr>
                <w:rFonts w:ascii="方正小标宋_GBK" w:eastAsia="方正小标宋_GBK" w:hAnsi="宋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 xml:space="preserve">         </w:t>
            </w:r>
            <w:bookmarkStart w:id="0" w:name="_GoBack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2020年四季度交通行业低温雨雪天气安全风险管</w:t>
            </w:r>
            <w:proofErr w:type="gramStart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控责任</w:t>
            </w:r>
            <w:proofErr w:type="gramEnd"/>
            <w:r>
              <w:rPr>
                <w:rFonts w:ascii="方正小标宋_GBK" w:eastAsia="方正小标宋_GBK" w:hAnsi="宋体" w:cs="宋体" w:hint="eastAsia"/>
                <w:color w:val="000000"/>
                <w:kern w:val="0"/>
                <w:sz w:val="44"/>
                <w:szCs w:val="44"/>
              </w:rPr>
              <w:t>清单</w:t>
            </w:r>
            <w:bookmarkEnd w:id="0"/>
          </w:p>
        </w:tc>
      </w:tr>
      <w:tr w:rsidR="001D764F" w:rsidTr="00727186">
        <w:trPr>
          <w:trHeight w:val="171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风险清单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措施清单</w:t>
            </w:r>
          </w:p>
        </w:tc>
        <w:tc>
          <w:tcPr>
            <w:tcW w:w="10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风险</w:t>
            </w:r>
          </w:p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408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责任清单</w:t>
            </w:r>
          </w:p>
        </w:tc>
      </w:tr>
      <w:tr w:rsidR="001D764F" w:rsidTr="00727186">
        <w:trPr>
          <w:trHeight w:val="326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left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交通局</w:t>
            </w:r>
          </w:p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责任</w:t>
            </w:r>
          </w:p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领导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责任</w:t>
            </w:r>
          </w:p>
          <w:p w:rsidR="001D764F" w:rsidRDefault="001D764F" w:rsidP="00727186">
            <w:pPr>
              <w:widowControl/>
              <w:jc w:val="center"/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1D764F" w:rsidTr="00727186">
        <w:trPr>
          <w:trHeight w:val="2660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水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上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安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全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四季度正处库区175米蓄水期，一是大桥通航尺度受限，船舶进出存在一定风险；二是出现地质灾害风险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pacing w:val="-6"/>
                <w:sz w:val="28"/>
                <w:szCs w:val="28"/>
              </w:rPr>
              <w:t>一是做好大桥防撞设施及相关标示维护；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加强船舶报港和跟踪检查，控制船舶尺度；</w:t>
            </w:r>
          </w:p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二是督促港航企业加强船员培训，要求船舶严格执行报港规定；</w:t>
            </w:r>
          </w:p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三是加强航道的现场巡查，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及时维护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调整航道设施，确保航道安全；加强船舶消防装备器材配备和消防安全管理。</w:t>
            </w:r>
          </w:p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四是发现地质灾害及时与规划自然资源部门报告，请求处置。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谢光明</w:t>
            </w:r>
          </w:p>
          <w:p w:rsidR="001D764F" w:rsidRDefault="001D764F" w:rsidP="00727186">
            <w:pPr>
              <w:pStyle w:val="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交通发展事务中心、交通运输综合行政执法支队</w:t>
            </w:r>
          </w:p>
        </w:tc>
      </w:tr>
      <w:tr w:rsidR="001D764F" w:rsidTr="00727186">
        <w:trPr>
          <w:trHeight w:val="1494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四季度正处于多雾季节，可能存在船舶冒雾航行风险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加强乡镇船舶管理，禁止冒雾航行，严格执行客运船舶恶劣天气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下禁限航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管理要求，及时采取避风、扎雾、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扎水等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紧急避险措施；加强航运船舶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管控及航行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瞭望，规范船舶航行、停泊秩序；督促企业加强船员培训，提高安全意识；畅通信息，及时发布天气雾情。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谢光明</w:t>
            </w:r>
          </w:p>
          <w:p w:rsidR="001D764F" w:rsidRDefault="001D764F" w:rsidP="00727186">
            <w:pPr>
              <w:pStyle w:val="4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交通发展事务中心、交通运输综合行政执法支队</w:t>
            </w:r>
          </w:p>
        </w:tc>
      </w:tr>
      <w:tr w:rsidR="001D764F" w:rsidTr="00727186">
        <w:trPr>
          <w:trHeight w:val="818"/>
          <w:jc w:val="center"/>
        </w:trPr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道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路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运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输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受雨、雾、冰雪天气影响对城市公交带来不安全因素。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风险现状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：雨、雾、道路积水，繁华路段人车多，判断失误引发行车安全。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1.督促企业加强驾驶员的安全教育，要求驾驶员雨雪天气小心驾驶；</w:t>
            </w:r>
          </w:p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2.企业注意提醒驾驶员注意休息，不能疲劳驾驶；</w:t>
            </w:r>
          </w:p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3.注意防雨、防路面湿滑，控制车速、观察路面及行人，提前采取措施安全行车。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谢光明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交通发展事务中心、交通运输综合行政执法支队</w:t>
            </w:r>
          </w:p>
        </w:tc>
      </w:tr>
      <w:tr w:rsidR="001D764F" w:rsidTr="00727186">
        <w:trPr>
          <w:trHeight w:val="424"/>
          <w:jc w:val="center"/>
        </w:trPr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第四季度外地务工人员回家增多、车多，客流量增大，繁华路段人多判断失误，引发行车安全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1.督促企业加强节日安全教育；</w:t>
            </w:r>
          </w:p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2.企业提醒驾驶员注意礼让行人；</w:t>
            </w:r>
          </w:p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3.企业加强在节日期间路检路查；</w:t>
            </w:r>
          </w:p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4.企业在人员密集场所利用标识、专栏等开展告诫。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谢光明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交通发展事务中心、交通运输综合行政执法支队</w:t>
            </w:r>
          </w:p>
        </w:tc>
      </w:tr>
      <w:tr w:rsidR="001D764F" w:rsidTr="00727186">
        <w:trPr>
          <w:trHeight w:val="815"/>
          <w:jc w:val="center"/>
        </w:trPr>
        <w:tc>
          <w:tcPr>
            <w:tcW w:w="103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驾校在雨、雾冰雪等极端天气不按安全规定继续教学的影响。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风险现状：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教练车及学员难以控制，侧滑或撞向路侧，危及车辆、学员、行人。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1.加强教练员、学员的安全知识培训，增强教练员及学员安全意识，确保安全教学；</w:t>
            </w:r>
          </w:p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2.恶劣天气下不具备教学条件时应按规定停止教学。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谢光明</w:t>
            </w: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交通发展事务中心、交通运输综合行政执法支队</w:t>
            </w:r>
          </w:p>
        </w:tc>
      </w:tr>
      <w:tr w:rsidR="001D764F" w:rsidTr="00727186">
        <w:trPr>
          <w:trHeight w:val="815"/>
          <w:jc w:val="center"/>
        </w:trPr>
        <w:tc>
          <w:tcPr>
            <w:tcW w:w="10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雨雾、冰雪等极端天气开展现场执法检查时对执法人员的影响</w:t>
            </w:r>
            <w:r>
              <w:rPr>
                <w:rFonts w:ascii="方正仿宋_GBK" w:eastAsia="方正仿宋_GBK" w:hAnsi="方正仿宋_GBK" w:cs="方正仿宋_GBK" w:hint="eastAsia"/>
                <w:b/>
                <w:bCs/>
                <w:color w:val="000000"/>
                <w:kern w:val="0"/>
                <w:sz w:val="28"/>
                <w:szCs w:val="28"/>
              </w:rPr>
              <w:t>。风险现状：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车辆执法中遇冰雪道路等灾害；路中遇到暴雨、洪水等灾害，执法人员自身安全。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1.严格车辆检查，确保车辆技术状况良好；</w:t>
            </w:r>
          </w:p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2.冰雪道路车辆禁止冒险通行；</w:t>
            </w:r>
          </w:p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3.车上防滑链等安全设备检查</w:t>
            </w:r>
          </w:p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4.加强防汛抗灾。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交通运输综合行政执法支队</w:t>
            </w:r>
          </w:p>
        </w:tc>
      </w:tr>
      <w:tr w:rsidR="001D764F" w:rsidTr="00727186">
        <w:trPr>
          <w:trHeight w:val="815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交         通          建           设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东互通立交项目、南桥头：1.预制梁架设过程中，防止梁肋倾斜；2.防止高空坠物；3.注意桥台的基础安全及稳定；4.现场用电安全；5.高空作业的安全保护措施；6.注意爆破及起重吊装的安全。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施工企业要加强风险管控，设置警示标志，强化安全教育，配备必需的防护用品，督促作业人员正确穿戴安全防护用品等；严格“三违”管理（严禁违章指挥、严禁违章操作、严禁违反劳动纪律）。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伍兴奎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交通运输综合行政执法支队</w:t>
            </w:r>
          </w:p>
        </w:tc>
      </w:tr>
      <w:tr w:rsidR="001D764F" w:rsidTr="00727186">
        <w:trPr>
          <w:trHeight w:val="1216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南溪快速通道：1.防止高空坠物；2.隧道施工防止坍塌；3.隧道开挖过程中防止岩石掉落，对工人造成伤害；4.隧道挖空过程中放置瓦斯爆炸、渗透事故；5.桩基人工开挖过程，防止桩基塌孔；6.注意爆破安全；7.现场用电安全；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加强风险管控，设置警示标志，加强安全教育，穿戴安全防护用品；每日坚持隧洞瓦斯浓度抽查，查看是否有渗水渗透等重大隐患，工人作业必须带防毒、防尘口罩等措施。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刘兴柏</w:t>
            </w:r>
            <w:proofErr w:type="gramEnd"/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李  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交通运输综合行政执法支队</w:t>
            </w:r>
          </w:p>
        </w:tc>
      </w:tr>
      <w:tr w:rsidR="001D764F" w:rsidTr="00727186">
        <w:trPr>
          <w:trHeight w:val="513"/>
          <w:jc w:val="center"/>
        </w:trPr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 xml:space="preserve">公       路        管         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养</w:t>
            </w: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9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高边坡风险和施工风险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一是加强日常养护巡查及施工现场安全监管；</w:t>
            </w:r>
          </w:p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二是在危岩、危石路段设置安全警示标牌，提醒车辆行人安全通行；</w:t>
            </w:r>
          </w:p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三是采取排危、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锚喷等措施进行降险处置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 xml:space="preserve">； </w:t>
            </w:r>
          </w:p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四是及时清理零星落石和影响行车安全的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lastRenderedPageBreak/>
              <w:t xml:space="preserve">杂物； </w:t>
            </w:r>
          </w:p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五是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加强定期排查，观测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 w:val="28"/>
                <w:szCs w:val="28"/>
              </w:rPr>
              <w:t>高切坡、高边坡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岩层变化，畅通信息报送。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lastRenderedPageBreak/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伍兴奎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  旭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公路事务中心</w:t>
            </w:r>
          </w:p>
        </w:tc>
      </w:tr>
      <w:tr w:rsidR="001D764F" w:rsidTr="00727186">
        <w:trPr>
          <w:trHeight w:val="549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桥梁、隧道安全运行风险；长江大桥、江口老桥、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渝巴路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竹溪桥、莲花桥人行道栏杆风险。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一是加强管养公路桥梁、隧道安全监测，严格落实风险管控；</w:t>
            </w:r>
          </w:p>
          <w:p w:rsidR="001D764F" w:rsidRDefault="001D764F" w:rsidP="00727186">
            <w:pPr>
              <w:spacing w:line="320" w:lineRule="exac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二是按照相关程序和要求，加快人行道栏杆风险整治施工进度，有效防控消除风险，确保桥梁、隧道安全运行。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伍兴奎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  旭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公路事务中心</w:t>
            </w:r>
          </w:p>
        </w:tc>
      </w:tr>
      <w:tr w:rsidR="001D764F" w:rsidTr="00727186">
        <w:trPr>
          <w:trHeight w:val="815"/>
          <w:jc w:val="center"/>
        </w:trPr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冰雪天气：云利路蔈草至清水乡路段，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渝巴路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石门至大阳镇、桑坪镇、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双土镇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，沙上路上坝乡，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铁红路洞鹿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乡等高海拔公路冰雪安全运行风险。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left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1、加强日常养护巡查和信息报送制度，设立好安全警示标志标牌、2、落实冬季物资（工业盐）储备，做好机械设备的保养和维修，做好应急救灾抢险的准备工作；3、如遇冰雪天气阻断交通，要立即启动应急预案，铲除积雪、抛洒工业盐融化冰雪，保障车辆、行人安全通行。4、加强多部门联合管控，对危及安全的路段进行必要的交通管制或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采取封道禁止通行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等措施。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一般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伍兴奎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陈  旭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64F" w:rsidRDefault="001D764F" w:rsidP="00727186">
            <w:pPr>
              <w:widowControl/>
              <w:spacing w:line="320" w:lineRule="exact"/>
              <w:jc w:val="center"/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公路事务中心</w:t>
            </w:r>
          </w:p>
        </w:tc>
      </w:tr>
    </w:tbl>
    <w:p w:rsidR="001D764F" w:rsidRDefault="001D764F" w:rsidP="001D764F">
      <w:pPr>
        <w:spacing w:line="560" w:lineRule="exact"/>
        <w:rPr>
          <w:rFonts w:eastAsia="方正仿宋_GBK" w:hint="eastAsia"/>
          <w:kern w:val="0"/>
          <w:position w:val="20"/>
          <w:sz w:val="28"/>
          <w:szCs w:val="28"/>
        </w:rPr>
      </w:pPr>
    </w:p>
    <w:p w:rsidR="00936C7C" w:rsidRDefault="00936C7C"/>
    <w:sectPr w:rsidR="00936C7C" w:rsidSect="001D764F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4F"/>
    <w:rsid w:val="001D764F"/>
    <w:rsid w:val="0093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1D764F"/>
    <w:pPr>
      <w:outlineLvl w:val="3"/>
    </w:pPr>
    <w:rPr>
      <w:rFonts w:cs="黑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1D764F"/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64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4">
    <w:name w:val="heading 4"/>
    <w:basedOn w:val="a"/>
    <w:next w:val="a"/>
    <w:link w:val="4Char"/>
    <w:qFormat/>
    <w:rsid w:val="001D764F"/>
    <w:pPr>
      <w:outlineLvl w:val="3"/>
    </w:pPr>
    <w:rPr>
      <w:rFonts w:cs="黑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rsid w:val="001D764F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张念</dc:creator>
  <cp:lastModifiedBy>张念</cp:lastModifiedBy>
  <cp:revision>1</cp:revision>
  <dcterms:created xsi:type="dcterms:W3CDTF">2020-12-10T06:19:00Z</dcterms:created>
  <dcterms:modified xsi:type="dcterms:W3CDTF">2020-12-10T06:20:00Z</dcterms:modified>
</cp:coreProperties>
</file>